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EF" w:rsidRPr="00B24687" w:rsidRDefault="00F34C8B" w:rsidP="00B24687">
      <w:pPr>
        <w:pStyle w:val="Titre1"/>
        <w:rPr>
          <w:b/>
          <w:bCs/>
          <w:color w:val="833C0B" w:themeColor="accent2" w:themeShade="80"/>
        </w:rPr>
      </w:pPr>
      <w:r w:rsidRPr="00B24687">
        <w:rPr>
          <w:b/>
          <w:bCs/>
          <w:color w:val="833C0B" w:themeColor="accent2" w:themeShade="80"/>
        </w:rPr>
        <w:t>Better education for rural youth would reduce migration.</w:t>
      </w:r>
    </w:p>
    <w:p w:rsidR="00897B88" w:rsidRPr="00DC11E5" w:rsidRDefault="00F34C8B">
      <w:pPr>
        <w:rPr>
          <w:rFonts w:ascii="Franklin Gothic Book" w:hAnsi="Franklin Gothic Book"/>
        </w:rPr>
      </w:pPr>
      <w:r w:rsidRPr="00DC11E5">
        <w:rPr>
          <w:rFonts w:ascii="Franklin Gothic Book" w:hAnsi="Franklin Gothic Book"/>
        </w:rPr>
        <w:t>This is one of the conclusions of a study</w:t>
      </w:r>
      <w:r w:rsidR="00631780">
        <w:rPr>
          <w:rStyle w:val="Appelnotedebasdep"/>
          <w:rFonts w:ascii="Franklin Gothic Book" w:hAnsi="Franklin Gothic Book"/>
        </w:rPr>
        <w:footnoteReference w:id="1"/>
      </w:r>
      <w:r w:rsidRPr="00DC11E5">
        <w:rPr>
          <w:rFonts w:ascii="Franklin Gothic Book" w:hAnsi="Franklin Gothic Book"/>
        </w:rPr>
        <w:t xml:space="preserve"> supported by Dryland Systems and carried out by HAFL (led by Alessandra Giuliani) in cooperation with YPARD.</w:t>
      </w:r>
    </w:p>
    <w:p w:rsidR="002A7AA2" w:rsidRPr="00DC11E5" w:rsidRDefault="00DC11E5" w:rsidP="00DC11E5">
      <w:pPr>
        <w:rPr>
          <w:rFonts w:ascii="Franklin Gothic Book" w:hAnsi="Franklin Gothic Book"/>
        </w:rPr>
      </w:pPr>
      <w:r w:rsidRPr="00DC11E5">
        <w:rPr>
          <w:rFonts w:ascii="Franklin Gothic Book" w:eastAsia="Times New Roman" w:hAnsi="Franklin Gothic Book" w:cs="Times New Roman"/>
          <w:lang w:eastAsia="en-GB"/>
        </w:rPr>
        <w:t>O</w:t>
      </w:r>
      <w:r w:rsidR="00897B88" w:rsidRPr="00DC11E5">
        <w:rPr>
          <w:rFonts w:ascii="Franklin Gothic Book" w:eastAsia="Times New Roman" w:hAnsi="Franklin Gothic Book" w:cs="Times New Roman"/>
          <w:lang w:eastAsia="en-GB"/>
        </w:rPr>
        <w:t>ne in five youths, or 125 million, are working but live in extreme poverty (on less than US$1/day)</w:t>
      </w:r>
      <w:r w:rsidRPr="00DC11E5">
        <w:rPr>
          <w:rStyle w:val="Appelnotedebasdep"/>
          <w:rFonts w:ascii="Franklin Gothic Book" w:eastAsia="Times New Roman" w:hAnsi="Franklin Gothic Book" w:cs="Times New Roman"/>
          <w:lang w:eastAsia="en-GB"/>
        </w:rPr>
        <w:footnoteReference w:id="2"/>
      </w:r>
      <w:r w:rsidR="00897B88" w:rsidRPr="00DC11E5">
        <w:rPr>
          <w:rFonts w:ascii="Franklin Gothic Book" w:eastAsia="Times New Roman" w:hAnsi="Franklin Gothic Book" w:cs="Times New Roman"/>
          <w:lang w:eastAsia="en-GB"/>
        </w:rPr>
        <w:t xml:space="preserve">. </w:t>
      </w:r>
      <w:r w:rsidR="00F34C8B" w:rsidRPr="00DC11E5">
        <w:rPr>
          <w:rFonts w:ascii="Franklin Gothic Book" w:hAnsi="Franklin Gothic Book"/>
        </w:rPr>
        <w:t xml:space="preserve"> </w:t>
      </w:r>
      <w:r w:rsidR="002A7AA2" w:rsidRPr="00DC11E5">
        <w:rPr>
          <w:rFonts w:ascii="Franklin Gothic Book" w:hAnsi="Franklin Gothic Book"/>
        </w:rPr>
        <w:t xml:space="preserve">70 </w:t>
      </w:r>
      <w:r>
        <w:rPr>
          <w:rFonts w:ascii="Franklin Gothic Book" w:hAnsi="Franklin Gothic Book"/>
        </w:rPr>
        <w:t>percent</w:t>
      </w:r>
      <w:r w:rsidR="002A7AA2" w:rsidRPr="00DC11E5">
        <w:rPr>
          <w:rFonts w:ascii="Franklin Gothic Book" w:hAnsi="Franklin Gothic Book"/>
        </w:rPr>
        <w:t xml:space="preserve"> of the world's poor</w:t>
      </w:r>
      <w:r w:rsidR="00897B88" w:rsidRPr="00DC11E5">
        <w:rPr>
          <w:rFonts w:ascii="Franklin Gothic Book" w:hAnsi="Franklin Gothic Book"/>
        </w:rPr>
        <w:t xml:space="preserve"> (youth)</w:t>
      </w:r>
      <w:r w:rsidR="002A7AA2" w:rsidRPr="00DC11E5">
        <w:rPr>
          <w:rFonts w:ascii="Franklin Gothic Book" w:hAnsi="Franklin Gothic Book"/>
        </w:rPr>
        <w:t xml:space="preserve"> live in rural areas </w:t>
      </w:r>
      <w:r w:rsidR="00897B88" w:rsidRPr="00DC11E5">
        <w:rPr>
          <w:rFonts w:ascii="Franklin Gothic Book" w:hAnsi="Franklin Gothic Book"/>
        </w:rPr>
        <w:t>w</w:t>
      </w:r>
      <w:r w:rsidR="002A7AA2" w:rsidRPr="00DC11E5">
        <w:rPr>
          <w:rFonts w:ascii="Franklin Gothic Book" w:hAnsi="Franklin Gothic Book"/>
        </w:rPr>
        <w:t>ith agriculture as main source of income and employment</w:t>
      </w:r>
      <w:r w:rsidR="002A7AA2" w:rsidRPr="00DC11E5">
        <w:rPr>
          <w:rStyle w:val="Appelnotedebasdep"/>
          <w:rFonts w:ascii="Franklin Gothic Book" w:hAnsi="Franklin Gothic Book"/>
        </w:rPr>
        <w:footnoteReference w:id="3"/>
      </w:r>
      <w:r w:rsidR="00897B88" w:rsidRPr="00DC11E5">
        <w:rPr>
          <w:rFonts w:ascii="Franklin Gothic Book" w:hAnsi="Franklin Gothic Book"/>
        </w:rPr>
        <w:t xml:space="preserve">. </w:t>
      </w:r>
      <w:r w:rsidR="002A7AA2" w:rsidRPr="00DC11E5">
        <w:rPr>
          <w:rFonts w:ascii="Franklin Gothic Book" w:hAnsi="Franklin Gothic Book"/>
          <w:lang w:val="en-US"/>
        </w:rPr>
        <w:t>Youth make up 40% of the world's unemployed in 2013</w:t>
      </w:r>
      <w:r w:rsidR="00897B88" w:rsidRPr="00DC11E5">
        <w:rPr>
          <w:rFonts w:ascii="Franklin Gothic Book" w:hAnsi="Franklin Gothic Book"/>
          <w:lang w:val="en-US"/>
        </w:rPr>
        <w:t xml:space="preserve">. </w:t>
      </w:r>
    </w:p>
    <w:p w:rsidR="00C044E8" w:rsidRPr="00DC11E5" w:rsidRDefault="00C044E8" w:rsidP="007D2AE7">
      <w:pPr>
        <w:rPr>
          <w:rFonts w:ascii="Franklin Gothic Book" w:hAnsi="Franklin Gothic Book"/>
          <w:lang w:val="en-US"/>
        </w:rPr>
      </w:pPr>
      <w:r w:rsidRPr="00DC11E5">
        <w:rPr>
          <w:rFonts w:ascii="Franklin Gothic Book" w:hAnsi="Franklin Gothic Book"/>
          <w:lang w:val="en-US"/>
        </w:rPr>
        <w:t>The DS/HAFL/YPARD study</w:t>
      </w:r>
      <w:r w:rsidR="00226F07">
        <w:rPr>
          <w:rFonts w:ascii="Franklin Gothic Book" w:hAnsi="Franklin Gothic Book"/>
          <w:lang w:val="en-US"/>
        </w:rPr>
        <w:t xml:space="preserve"> in </w:t>
      </w:r>
      <w:proofErr w:type="spellStart"/>
      <w:r w:rsidR="00226F07">
        <w:rPr>
          <w:rFonts w:ascii="Franklin Gothic Book" w:hAnsi="Franklin Gothic Book"/>
          <w:lang w:val="en-US"/>
        </w:rPr>
        <w:t>Midelt</w:t>
      </w:r>
      <w:proofErr w:type="spellEnd"/>
      <w:r w:rsidR="00226F07">
        <w:rPr>
          <w:rFonts w:ascii="Franklin Gothic Book" w:hAnsi="Franklin Gothic Book"/>
          <w:lang w:val="en-US"/>
        </w:rPr>
        <w:t xml:space="preserve"> area, Morocco,</w:t>
      </w:r>
      <w:r w:rsidRPr="00DC11E5">
        <w:rPr>
          <w:rFonts w:ascii="Franklin Gothic Book" w:hAnsi="Franklin Gothic Book"/>
          <w:lang w:val="en-US"/>
        </w:rPr>
        <w:t xml:space="preserve"> aimed at a diagnostic analysis</w:t>
      </w:r>
      <w:r w:rsidR="0012460A" w:rsidRPr="00DC11E5">
        <w:rPr>
          <w:rFonts w:ascii="Franklin Gothic Book" w:hAnsi="Franklin Gothic Book"/>
          <w:lang w:val="en-US"/>
        </w:rPr>
        <w:t xml:space="preserve"> of life choices of rural youth</w:t>
      </w:r>
      <w:r w:rsidRPr="00DC11E5">
        <w:rPr>
          <w:rFonts w:ascii="Franklin Gothic Book" w:hAnsi="Franklin Gothic Book"/>
          <w:lang w:val="en-US"/>
        </w:rPr>
        <w:t xml:space="preserve"> </w:t>
      </w:r>
      <w:r w:rsidR="0012460A" w:rsidRPr="00DC11E5">
        <w:rPr>
          <w:rFonts w:ascii="Franklin Gothic Book" w:hAnsi="Franklin Gothic Book"/>
          <w:lang w:val="en-US"/>
        </w:rPr>
        <w:t>especially with respect to</w:t>
      </w:r>
      <w:r w:rsidRPr="00DC11E5">
        <w:rPr>
          <w:rFonts w:ascii="Franklin Gothic Book" w:hAnsi="Franklin Gothic Book"/>
          <w:lang w:val="en-US"/>
        </w:rPr>
        <w:t xml:space="preserve"> </w:t>
      </w:r>
      <w:r w:rsidR="0012460A" w:rsidRPr="00DC11E5">
        <w:rPr>
          <w:rFonts w:ascii="Franklin Gothic Book" w:hAnsi="Franklin Gothic Book"/>
          <w:lang w:val="en-US"/>
        </w:rPr>
        <w:t xml:space="preserve">agriculture in drylands as livelihood </w:t>
      </w:r>
      <w:r w:rsidR="007D2AE7">
        <w:rPr>
          <w:rFonts w:ascii="Franklin Gothic Book" w:hAnsi="Franklin Gothic Book"/>
          <w:lang w:val="en-US"/>
        </w:rPr>
        <w:t xml:space="preserve">option </w:t>
      </w:r>
      <w:r w:rsidR="0012460A" w:rsidRPr="00DC11E5">
        <w:rPr>
          <w:rFonts w:ascii="Franklin Gothic Book" w:hAnsi="Franklin Gothic Book"/>
          <w:lang w:val="en-US"/>
        </w:rPr>
        <w:t>and migration to urban centers as alternative. R</w:t>
      </w:r>
      <w:r w:rsidRPr="00DC11E5">
        <w:rPr>
          <w:rFonts w:ascii="Franklin Gothic Book" w:hAnsi="Franklin Gothic Book"/>
          <w:lang w:val="en-US"/>
        </w:rPr>
        <w:t>ural youths’ viewpoints, aspirations, challenges, opportunities and options in three agricultural livelihoods systems of dry areas, namely ‘irrigated’, ‘</w:t>
      </w:r>
      <w:proofErr w:type="spellStart"/>
      <w:r w:rsidRPr="00DC11E5">
        <w:rPr>
          <w:rFonts w:ascii="Franklin Gothic Book" w:hAnsi="Franklin Gothic Book"/>
          <w:lang w:val="en-US"/>
        </w:rPr>
        <w:t>rainfed</w:t>
      </w:r>
      <w:proofErr w:type="spellEnd"/>
      <w:r w:rsidRPr="00DC11E5">
        <w:rPr>
          <w:rFonts w:ascii="Franklin Gothic Book" w:hAnsi="Franklin Gothic Book"/>
          <w:lang w:val="en-US"/>
        </w:rPr>
        <w:t>’ and ‘pastoral’</w:t>
      </w:r>
      <w:r w:rsidR="0012460A" w:rsidRPr="00DC11E5">
        <w:rPr>
          <w:rFonts w:ascii="Franklin Gothic Book" w:hAnsi="Franklin Gothic Book"/>
          <w:lang w:val="en-US"/>
        </w:rPr>
        <w:t xml:space="preserve">, have been collected </w:t>
      </w:r>
      <w:r w:rsidR="002A7AA2" w:rsidRPr="00DC11E5">
        <w:rPr>
          <w:rFonts w:ascii="Franklin Gothic Book" w:hAnsi="Franklin Gothic Book"/>
          <w:lang w:val="en-US"/>
        </w:rPr>
        <w:t>through participatory social research approaches</w:t>
      </w:r>
      <w:r w:rsidR="0012460A" w:rsidRPr="00DC11E5">
        <w:rPr>
          <w:rFonts w:ascii="Franklin Gothic Book" w:hAnsi="Franklin Gothic Book"/>
          <w:lang w:val="en-US"/>
        </w:rPr>
        <w:t>.</w:t>
      </w:r>
    </w:p>
    <w:p w:rsidR="00226F07" w:rsidRDefault="00F01342" w:rsidP="00226F07">
      <w:pPr>
        <w:rPr>
          <w:rFonts w:ascii="Franklin Gothic Book" w:hAnsi="Franklin Gothic Book"/>
          <w:lang w:val="en-US"/>
        </w:rPr>
      </w:pPr>
      <w:r w:rsidRPr="00DC11E5">
        <w:rPr>
          <w:rFonts w:ascii="Franklin Gothic Book" w:hAnsi="Franklin Gothic Book"/>
          <w:lang w:val="en-US"/>
        </w:rPr>
        <w:t>In areas where food security was assured</w:t>
      </w:r>
      <w:r w:rsidR="007D2AE7">
        <w:rPr>
          <w:rFonts w:ascii="Franklin Gothic Book" w:hAnsi="Franklin Gothic Book"/>
          <w:lang w:val="en-US"/>
        </w:rPr>
        <w:t xml:space="preserve">, </w:t>
      </w:r>
      <w:r w:rsidRPr="00DC11E5">
        <w:rPr>
          <w:rFonts w:ascii="Franklin Gothic Book" w:hAnsi="Franklin Gothic Book"/>
          <w:lang w:val="en-US"/>
        </w:rPr>
        <w:t xml:space="preserve">youth </w:t>
      </w:r>
      <w:r w:rsidR="007D2AE7">
        <w:rPr>
          <w:rFonts w:ascii="Franklin Gothic Book" w:hAnsi="Franklin Gothic Book"/>
          <w:lang w:val="en-US"/>
        </w:rPr>
        <w:t xml:space="preserve">first </w:t>
      </w:r>
      <w:r w:rsidRPr="00DC11E5">
        <w:rPr>
          <w:rFonts w:ascii="Franklin Gothic Book" w:hAnsi="Franklin Gothic Book"/>
          <w:lang w:val="en-US"/>
        </w:rPr>
        <w:t xml:space="preserve">raised the issue of the lack of access to education, access to potable water, of </w:t>
      </w:r>
      <w:r w:rsidR="007D2AE7">
        <w:rPr>
          <w:rFonts w:ascii="Franklin Gothic Book" w:hAnsi="Franklin Gothic Book"/>
          <w:lang w:val="en-US"/>
        </w:rPr>
        <w:t>roads and infrastructure as well as</w:t>
      </w:r>
      <w:r w:rsidRPr="00DC11E5">
        <w:rPr>
          <w:rFonts w:ascii="Franklin Gothic Book" w:hAnsi="Franklin Gothic Book"/>
          <w:lang w:val="en-US"/>
        </w:rPr>
        <w:t xml:space="preserve"> health care.</w:t>
      </w:r>
      <w:r w:rsidR="007F31B5" w:rsidRPr="00DC11E5">
        <w:rPr>
          <w:rFonts w:ascii="Franklin Gothic Book" w:hAnsi="Franklin Gothic Book"/>
          <w:lang w:val="en-US"/>
        </w:rPr>
        <w:t xml:space="preserve"> </w:t>
      </w:r>
      <w:r w:rsidR="007D2AE7">
        <w:rPr>
          <w:rFonts w:ascii="Franklin Gothic Book" w:hAnsi="Franklin Gothic Book"/>
          <w:lang w:val="en-US"/>
        </w:rPr>
        <w:t>R</w:t>
      </w:r>
      <w:r w:rsidR="007F31B5" w:rsidRPr="00DC11E5">
        <w:rPr>
          <w:rFonts w:ascii="Franklin Gothic Book" w:hAnsi="Franklin Gothic Book"/>
          <w:lang w:val="en-US"/>
        </w:rPr>
        <w:t>ural youth</w:t>
      </w:r>
      <w:r w:rsidR="007D2AE7">
        <w:rPr>
          <w:rFonts w:ascii="Franklin Gothic Book" w:hAnsi="Franklin Gothic Book"/>
          <w:lang w:val="en-US"/>
        </w:rPr>
        <w:t xml:space="preserve"> saw themselves as poor an</w:t>
      </w:r>
      <w:r w:rsidR="00645C80">
        <w:rPr>
          <w:rFonts w:ascii="Franklin Gothic Book" w:hAnsi="Franklin Gothic Book"/>
          <w:lang w:val="en-US"/>
        </w:rPr>
        <w:t xml:space="preserve">d </w:t>
      </w:r>
      <w:r w:rsidR="007D2AE7">
        <w:rPr>
          <w:rFonts w:ascii="Franklin Gothic Book" w:hAnsi="Franklin Gothic Book"/>
          <w:lang w:val="en-US"/>
        </w:rPr>
        <w:t>disadvantaged</w:t>
      </w:r>
      <w:r w:rsidR="007F31B5" w:rsidRPr="00DC11E5">
        <w:rPr>
          <w:rFonts w:ascii="Franklin Gothic Book" w:hAnsi="Franklin Gothic Book"/>
          <w:lang w:val="en-US"/>
        </w:rPr>
        <w:t xml:space="preserve"> </w:t>
      </w:r>
      <w:r w:rsidR="007D2AE7">
        <w:rPr>
          <w:rFonts w:ascii="Franklin Gothic Book" w:hAnsi="Franklin Gothic Book"/>
          <w:lang w:val="en-US"/>
        </w:rPr>
        <w:t>because they possess</w:t>
      </w:r>
      <w:r w:rsidR="007F31B5" w:rsidRPr="00DC11E5">
        <w:rPr>
          <w:rFonts w:ascii="Franklin Gothic Book" w:hAnsi="Franklin Gothic Book"/>
          <w:lang w:val="en-US"/>
        </w:rPr>
        <w:t xml:space="preserve"> no or very little land, few livestock, </w:t>
      </w:r>
      <w:r w:rsidR="00645C80">
        <w:rPr>
          <w:rFonts w:ascii="Franklin Gothic Book" w:hAnsi="Franklin Gothic Book"/>
          <w:lang w:val="en-US"/>
        </w:rPr>
        <w:t>and have no</w:t>
      </w:r>
      <w:r w:rsidR="007F31B5" w:rsidRPr="00DC11E5">
        <w:rPr>
          <w:rFonts w:ascii="Franklin Gothic Book" w:hAnsi="Franklin Gothic Book"/>
          <w:lang w:val="en-US"/>
        </w:rPr>
        <w:t xml:space="preserve"> access to wage </w:t>
      </w:r>
      <w:proofErr w:type="spellStart"/>
      <w:r w:rsidR="007F31B5" w:rsidRPr="00226F07">
        <w:rPr>
          <w:rFonts w:ascii="Franklin Gothic Book" w:hAnsi="Franklin Gothic Book"/>
          <w:lang w:val="en-US"/>
        </w:rPr>
        <w:t>labour</w:t>
      </w:r>
      <w:proofErr w:type="spellEnd"/>
      <w:r w:rsidR="007F31B5" w:rsidRPr="00226F07">
        <w:rPr>
          <w:rFonts w:ascii="Franklin Gothic Book" w:hAnsi="Franklin Gothic Book"/>
          <w:lang w:val="en-US"/>
        </w:rPr>
        <w:t xml:space="preserve"> opportunities because of</w:t>
      </w:r>
      <w:r w:rsidR="00226F07" w:rsidRPr="00226F07">
        <w:rPr>
          <w:rFonts w:ascii="Franklin Gothic Book" w:hAnsi="Franklin Gothic Book"/>
          <w:lang w:val="en-US"/>
        </w:rPr>
        <w:t xml:space="preserve"> their</w:t>
      </w:r>
      <w:r w:rsidR="007F31B5" w:rsidRPr="00226F07">
        <w:rPr>
          <w:rFonts w:ascii="Franklin Gothic Book" w:hAnsi="Franklin Gothic Book"/>
          <w:lang w:val="en-US"/>
        </w:rPr>
        <w:t xml:space="preserve"> limited or </w:t>
      </w:r>
      <w:r w:rsidR="00226F07" w:rsidRPr="00226F07">
        <w:rPr>
          <w:rFonts w:ascii="Franklin Gothic Book" w:hAnsi="Franklin Gothic Book"/>
          <w:lang w:val="en-US"/>
        </w:rPr>
        <w:t>missing</w:t>
      </w:r>
      <w:r w:rsidR="007F31B5" w:rsidRPr="00226F07">
        <w:rPr>
          <w:rFonts w:ascii="Franklin Gothic Book" w:hAnsi="Franklin Gothic Book"/>
          <w:lang w:val="en-US"/>
        </w:rPr>
        <w:t xml:space="preserve"> education. The situation is even more critical among young nomad herders and generally among </w:t>
      </w:r>
      <w:r w:rsidR="00226F07" w:rsidRPr="00226F07">
        <w:rPr>
          <w:rFonts w:ascii="Franklin Gothic Book" w:hAnsi="Franklin Gothic Book"/>
          <w:lang w:val="en-US"/>
        </w:rPr>
        <w:t xml:space="preserve">young women, for whom </w:t>
      </w:r>
      <w:r w:rsidR="007F31B5" w:rsidRPr="00226F07">
        <w:rPr>
          <w:rFonts w:ascii="Franklin Gothic Book" w:hAnsi="Franklin Gothic Book"/>
          <w:lang w:val="en-US"/>
        </w:rPr>
        <w:t>the physical work required in agriculture is seen as demeaning and of low status.</w:t>
      </w:r>
      <w:r w:rsidR="007F31B5" w:rsidRPr="00DC11E5">
        <w:rPr>
          <w:rFonts w:ascii="Franklin Gothic Book" w:hAnsi="Franklin Gothic Book"/>
          <w:lang w:val="en-US"/>
        </w:rPr>
        <w:t xml:space="preserve"> </w:t>
      </w:r>
    </w:p>
    <w:p w:rsidR="00F01342" w:rsidRPr="00DC11E5" w:rsidRDefault="00F01342" w:rsidP="00226F07">
      <w:pPr>
        <w:rPr>
          <w:rFonts w:ascii="Franklin Gothic Book" w:hAnsi="Franklin Gothic Book"/>
          <w:lang w:val="en-US"/>
        </w:rPr>
      </w:pPr>
      <w:r w:rsidRPr="00DC11E5">
        <w:rPr>
          <w:rFonts w:ascii="Franklin Gothic Book" w:hAnsi="Franklin Gothic Book"/>
          <w:lang w:val="en-US"/>
        </w:rPr>
        <w:t xml:space="preserve">The issue of outmigration from rural areas is not very widespread; the majority of young people in the surveyed area does not </w:t>
      </w:r>
      <w:r w:rsidR="00226F07">
        <w:rPr>
          <w:rFonts w:ascii="Franklin Gothic Book" w:hAnsi="Franklin Gothic Book"/>
          <w:lang w:val="en-US"/>
        </w:rPr>
        <w:t>want to or</w:t>
      </w:r>
      <w:r w:rsidRPr="00DC11E5">
        <w:rPr>
          <w:rFonts w:ascii="Franklin Gothic Book" w:hAnsi="Franklin Gothic Book"/>
          <w:lang w:val="en-US"/>
        </w:rPr>
        <w:t xml:space="preserve"> cannot le</w:t>
      </w:r>
      <w:r w:rsidR="00226F07">
        <w:rPr>
          <w:rFonts w:ascii="Franklin Gothic Book" w:hAnsi="Franklin Gothic Book"/>
          <w:lang w:val="en-US"/>
        </w:rPr>
        <w:t>ave their parents and families, in particular the young women</w:t>
      </w:r>
      <w:r w:rsidRPr="00DC11E5">
        <w:rPr>
          <w:rFonts w:ascii="Franklin Gothic Book" w:hAnsi="Franklin Gothic Book"/>
          <w:lang w:val="en-US"/>
        </w:rPr>
        <w:t>.</w:t>
      </w:r>
      <w:r w:rsidR="00226F07">
        <w:rPr>
          <w:rFonts w:ascii="Franklin Gothic Book" w:hAnsi="Franklin Gothic Book"/>
          <w:lang w:val="en-US"/>
        </w:rPr>
        <w:t xml:space="preserve"> And, </w:t>
      </w:r>
      <w:r w:rsidRPr="00DC11E5">
        <w:rPr>
          <w:rFonts w:ascii="Franklin Gothic Book" w:hAnsi="Franklin Gothic Book"/>
          <w:lang w:val="en-US"/>
        </w:rPr>
        <w:t>youths prefer to stay in their villages</w:t>
      </w:r>
      <w:r w:rsidR="00226F07">
        <w:rPr>
          <w:rFonts w:ascii="Franklin Gothic Book" w:hAnsi="Franklin Gothic Book"/>
          <w:lang w:val="en-US"/>
        </w:rPr>
        <w:t xml:space="preserve"> -</w:t>
      </w:r>
      <w:r w:rsidRPr="00DC11E5">
        <w:rPr>
          <w:rFonts w:ascii="Franklin Gothic Book" w:hAnsi="Franklin Gothic Book"/>
          <w:lang w:val="en-US"/>
        </w:rPr>
        <w:t xml:space="preserve"> if the</w:t>
      </w:r>
      <w:r w:rsidR="00226F07">
        <w:rPr>
          <w:rFonts w:ascii="Franklin Gothic Book" w:hAnsi="Franklin Gothic Book"/>
          <w:lang w:val="en-US"/>
        </w:rPr>
        <w:t xml:space="preserve"> only the</w:t>
      </w:r>
      <w:r w:rsidRPr="00DC11E5">
        <w:rPr>
          <w:rFonts w:ascii="Franklin Gothic Book" w:hAnsi="Franklin Gothic Book"/>
          <w:lang w:val="en-US"/>
        </w:rPr>
        <w:t xml:space="preserve"> conditions were better. When groups of young women and groups of young men were asked to draw the ‘village of their dreams’, they focused on </w:t>
      </w:r>
      <w:r w:rsidR="00226F07">
        <w:rPr>
          <w:rFonts w:ascii="Franklin Gothic Book" w:hAnsi="Franklin Gothic Book"/>
          <w:lang w:val="en-US"/>
        </w:rPr>
        <w:t xml:space="preserve">good infrastructure such as </w:t>
      </w:r>
      <w:r w:rsidRPr="00DC11E5">
        <w:rPr>
          <w:rFonts w:ascii="Franklin Gothic Book" w:hAnsi="Franklin Gothic Book"/>
          <w:lang w:val="en-US"/>
        </w:rPr>
        <w:t>schools, wells and better roads</w:t>
      </w:r>
      <w:r w:rsidR="00226F07">
        <w:rPr>
          <w:rFonts w:ascii="Franklin Gothic Book" w:hAnsi="Franklin Gothic Book"/>
          <w:lang w:val="en-US"/>
        </w:rPr>
        <w:t>, which would enable them to lead</w:t>
      </w:r>
      <w:r w:rsidRPr="00DC11E5">
        <w:rPr>
          <w:rFonts w:ascii="Franklin Gothic Book" w:hAnsi="Franklin Gothic Book"/>
          <w:lang w:val="en-US"/>
        </w:rPr>
        <w:t xml:space="preserve"> a more comfortable life</w:t>
      </w:r>
      <w:r w:rsidR="00226F07">
        <w:rPr>
          <w:rFonts w:ascii="Franklin Gothic Book" w:hAnsi="Franklin Gothic Book"/>
          <w:lang w:val="en-US"/>
        </w:rPr>
        <w:t xml:space="preserve">, building </w:t>
      </w:r>
      <w:r w:rsidRPr="00DC11E5">
        <w:rPr>
          <w:rFonts w:ascii="Franklin Gothic Book" w:hAnsi="Franklin Gothic Book"/>
          <w:lang w:val="en-US"/>
        </w:rPr>
        <w:t xml:space="preserve">their own families </w:t>
      </w:r>
      <w:r w:rsidR="00226F07">
        <w:rPr>
          <w:rFonts w:ascii="Franklin Gothic Book" w:hAnsi="Franklin Gothic Book"/>
          <w:lang w:val="en-US"/>
        </w:rPr>
        <w:t xml:space="preserve">and </w:t>
      </w:r>
      <w:r w:rsidRPr="00DC11E5">
        <w:rPr>
          <w:rFonts w:ascii="Franklin Gothic Book" w:hAnsi="Franklin Gothic Book"/>
          <w:lang w:val="en-US"/>
        </w:rPr>
        <w:t>earning a living as farmers, rather than chasing their ‘dream job’ outside of agriculture and the rural areas.</w:t>
      </w:r>
    </w:p>
    <w:p w:rsidR="00D544EF" w:rsidRPr="00DC11E5" w:rsidRDefault="00D544EF" w:rsidP="00B52B45">
      <w:pPr>
        <w:rPr>
          <w:rFonts w:ascii="Franklin Gothic Book" w:hAnsi="Franklin Gothic Book"/>
          <w:lang w:val="en-US"/>
        </w:rPr>
      </w:pPr>
      <w:r w:rsidRPr="00DC11E5">
        <w:rPr>
          <w:rFonts w:ascii="Franklin Gothic Book" w:hAnsi="Franklin Gothic Book"/>
          <w:lang w:val="en-US"/>
        </w:rPr>
        <w:t xml:space="preserve">Resulting from youths’ lack of education, as well as lack of infrastructure, the use of modern information and communication technology (ICT) </w:t>
      </w:r>
      <w:r w:rsidR="00B52B45">
        <w:rPr>
          <w:rFonts w:ascii="Franklin Gothic Book" w:hAnsi="Franklin Gothic Book"/>
          <w:lang w:val="en-US"/>
        </w:rPr>
        <w:t>is</w:t>
      </w:r>
      <w:r w:rsidRPr="00DC11E5">
        <w:rPr>
          <w:rFonts w:ascii="Franklin Gothic Book" w:hAnsi="Franklin Gothic Book"/>
          <w:lang w:val="en-US"/>
        </w:rPr>
        <w:t xml:space="preserve"> limited to mobile phones; internet use </w:t>
      </w:r>
      <w:r w:rsidR="00B52B45">
        <w:rPr>
          <w:rFonts w:ascii="Franklin Gothic Book" w:hAnsi="Franklin Gothic Book"/>
          <w:lang w:val="en-US"/>
        </w:rPr>
        <w:t>is</w:t>
      </w:r>
      <w:r w:rsidRPr="00DC11E5">
        <w:rPr>
          <w:rFonts w:ascii="Franklin Gothic Book" w:hAnsi="Franklin Gothic Book"/>
          <w:lang w:val="en-US"/>
        </w:rPr>
        <w:t xml:space="preserve"> not very widespread. Consequently, the potential benefits of these tools (e.g. improved marketing of agricultural produce, organizational development, etc.) are missed out. Young women’s positions are even more unfavorable, as their level of education is even lower than that of their male peers</w:t>
      </w:r>
      <w:r w:rsidR="00B52B45">
        <w:rPr>
          <w:rFonts w:ascii="Franklin Gothic Book" w:hAnsi="Franklin Gothic Book"/>
          <w:lang w:val="en-US"/>
        </w:rPr>
        <w:t xml:space="preserve"> (apart from the fact that </w:t>
      </w:r>
      <w:r w:rsidR="00B52B45" w:rsidRPr="00DC11E5">
        <w:rPr>
          <w:rFonts w:ascii="Franklin Gothic Book" w:hAnsi="Franklin Gothic Book"/>
          <w:lang w:val="en-US"/>
        </w:rPr>
        <w:t xml:space="preserve">their choices and desires are strongly influenced or </w:t>
      </w:r>
      <w:r w:rsidR="00B52B45">
        <w:rPr>
          <w:rFonts w:ascii="Franklin Gothic Book" w:hAnsi="Franklin Gothic Book"/>
          <w:lang w:val="en-US"/>
        </w:rPr>
        <w:t xml:space="preserve">decisions </w:t>
      </w:r>
      <w:r w:rsidR="00B52B45" w:rsidRPr="00DC11E5">
        <w:rPr>
          <w:rFonts w:ascii="Franklin Gothic Book" w:hAnsi="Franklin Gothic Book"/>
          <w:lang w:val="en-US"/>
        </w:rPr>
        <w:t>taken by their fathers or husbands</w:t>
      </w:r>
      <w:r w:rsidR="00B52B45">
        <w:rPr>
          <w:rFonts w:ascii="Franklin Gothic Book" w:hAnsi="Franklin Gothic Book"/>
          <w:lang w:val="en-US"/>
        </w:rPr>
        <w:t>)</w:t>
      </w:r>
      <w:r w:rsidRPr="00DC11E5">
        <w:rPr>
          <w:rFonts w:ascii="Franklin Gothic Book" w:hAnsi="Franklin Gothic Book"/>
          <w:lang w:val="en-US"/>
        </w:rPr>
        <w:t>.</w:t>
      </w:r>
      <w:r w:rsidR="007F31B5" w:rsidRPr="00DC11E5">
        <w:rPr>
          <w:rFonts w:ascii="Franklin Gothic Book" w:hAnsi="Franklin Gothic Book"/>
          <w:lang w:val="en-US"/>
        </w:rPr>
        <w:t xml:space="preserve"> </w:t>
      </w:r>
    </w:p>
    <w:p w:rsidR="007F31B5" w:rsidRPr="00DC11E5" w:rsidRDefault="007F31B5" w:rsidP="008E53B4">
      <w:pPr>
        <w:rPr>
          <w:rFonts w:ascii="Franklin Gothic Book" w:hAnsi="Franklin Gothic Book"/>
          <w:lang w:val="en-US"/>
        </w:rPr>
      </w:pPr>
      <w:r w:rsidRPr="00DC11E5">
        <w:rPr>
          <w:rFonts w:ascii="Franklin Gothic Book" w:hAnsi="Franklin Gothic Book"/>
          <w:lang w:val="en-US"/>
        </w:rPr>
        <w:t xml:space="preserve">The lack of access to skills and information is also the reason for hardly any value adding activities within the agricultural sector. Only few youths reported </w:t>
      </w:r>
      <w:r w:rsidR="008E53B4">
        <w:rPr>
          <w:rFonts w:ascii="Franklin Gothic Book" w:hAnsi="Franklin Gothic Book"/>
          <w:lang w:val="en-US"/>
        </w:rPr>
        <w:t>that they</w:t>
      </w:r>
      <w:r w:rsidRPr="00DC11E5">
        <w:rPr>
          <w:rFonts w:ascii="Franklin Gothic Book" w:hAnsi="Franklin Gothic Book"/>
          <w:lang w:val="en-US"/>
        </w:rPr>
        <w:t xml:space="preserve"> process or add value to their produce, and often these activities did not encompass what is sold on the markets but were instead limited to subsistence production.</w:t>
      </w:r>
    </w:p>
    <w:p w:rsidR="007F31B5" w:rsidRPr="00DC11E5" w:rsidRDefault="008E53B4" w:rsidP="008E53B4">
      <w:pPr>
        <w:rPr>
          <w:rFonts w:ascii="Franklin Gothic Book" w:hAnsi="Franklin Gothic Book"/>
          <w:lang w:val="en-US"/>
        </w:rPr>
      </w:pPr>
      <w:r>
        <w:rPr>
          <w:rFonts w:ascii="Franklin Gothic Book" w:hAnsi="Franklin Gothic Book"/>
          <w:lang w:val="en-US"/>
        </w:rPr>
        <w:t>Youth</w:t>
      </w:r>
      <w:r w:rsidR="007F31B5" w:rsidRPr="00DC11E5">
        <w:rPr>
          <w:rFonts w:ascii="Franklin Gothic Book" w:hAnsi="Franklin Gothic Book"/>
          <w:lang w:val="en-US"/>
        </w:rPr>
        <w:t xml:space="preserve"> aspire to be educated, have a family, and improve their agricultural activities through owning land, </w:t>
      </w:r>
      <w:r>
        <w:rPr>
          <w:rFonts w:ascii="Franklin Gothic Book" w:hAnsi="Franklin Gothic Book"/>
          <w:lang w:val="en-US"/>
        </w:rPr>
        <w:t>having access to trainings</w:t>
      </w:r>
      <w:r w:rsidR="007F31B5" w:rsidRPr="00DC11E5">
        <w:rPr>
          <w:rFonts w:ascii="Franklin Gothic Book" w:hAnsi="Franklin Gothic Book"/>
          <w:lang w:val="en-US"/>
        </w:rPr>
        <w:t>, and establishing a more market-oriented production.</w:t>
      </w:r>
    </w:p>
    <w:p w:rsidR="008E53B4" w:rsidRDefault="007F31B5" w:rsidP="007F31B5">
      <w:pPr>
        <w:rPr>
          <w:rFonts w:ascii="Franklin Gothic Book" w:hAnsi="Franklin Gothic Book"/>
          <w:lang w:val="en-US"/>
        </w:rPr>
      </w:pPr>
      <w:r w:rsidRPr="00DC11E5">
        <w:rPr>
          <w:rFonts w:ascii="Franklin Gothic Book" w:hAnsi="Franklin Gothic Book"/>
          <w:lang w:val="en-US"/>
        </w:rPr>
        <w:lastRenderedPageBreak/>
        <w:t xml:space="preserve">The desire for the majority of the youths interviewed to stay within their villages challenges the prevailing narrative whereby it is assumed that youth are eager to migrate from rural areas. </w:t>
      </w:r>
    </w:p>
    <w:p w:rsidR="007F31B5" w:rsidRPr="008E53B4" w:rsidRDefault="007F31B5" w:rsidP="008E53B4">
      <w:pPr>
        <w:rPr>
          <w:rFonts w:ascii="Franklin Gothic Book" w:hAnsi="Franklin Gothic Book"/>
          <w:lang w:val="en-US"/>
        </w:rPr>
      </w:pPr>
      <w:r w:rsidRPr="00DC11E5">
        <w:rPr>
          <w:rFonts w:ascii="Franklin Gothic Book" w:hAnsi="Franklin Gothic Book"/>
          <w:lang w:val="en-US"/>
        </w:rPr>
        <w:t xml:space="preserve">The high levels of illiteracy </w:t>
      </w:r>
      <w:r w:rsidR="008E53B4">
        <w:rPr>
          <w:rFonts w:ascii="Franklin Gothic Book" w:hAnsi="Franklin Gothic Book"/>
          <w:lang w:val="en-US"/>
        </w:rPr>
        <w:t xml:space="preserve">suggest that interventions need to focus </w:t>
      </w:r>
      <w:r w:rsidRPr="00DC11E5">
        <w:rPr>
          <w:rFonts w:ascii="Franklin Gothic Book" w:hAnsi="Franklin Gothic Book"/>
          <w:lang w:val="en-US"/>
        </w:rPr>
        <w:t>skills and competencies rather than those used in working with higher educated youth.</w:t>
      </w:r>
      <w:r w:rsidR="008E53B4">
        <w:rPr>
          <w:rFonts w:ascii="Franklin Gothic Book" w:hAnsi="Franklin Gothic Book"/>
          <w:lang w:val="en-US"/>
        </w:rPr>
        <w:t xml:space="preserve"> A research on gender, working conditions and migration within the framework of Dryland Systems</w:t>
      </w:r>
      <w:r w:rsidR="00631780">
        <w:rPr>
          <w:rStyle w:val="Appelnotedebasdep"/>
          <w:rFonts w:ascii="Franklin Gothic Book" w:hAnsi="Franklin Gothic Book"/>
          <w:lang w:val="en-US"/>
        </w:rPr>
        <w:footnoteReference w:id="4"/>
      </w:r>
      <w:r w:rsidR="008E53B4">
        <w:rPr>
          <w:rFonts w:ascii="Franklin Gothic Book" w:hAnsi="Franklin Gothic Book"/>
          <w:lang w:val="en-US"/>
        </w:rPr>
        <w:t xml:space="preserve"> adds to this with the recommendation that </w:t>
      </w:r>
      <w:r w:rsidR="008E53B4" w:rsidRPr="008E53B4">
        <w:rPr>
          <w:rFonts w:ascii="Franklin Gothic Book" w:hAnsi="Franklin Gothic Book" w:cstheme="majorBidi"/>
        </w:rPr>
        <w:t>attention should be paid to the living and working conditions (gender wag gap, social protection, and tenure security), when intervening to create jobs in the agricultural sector.</w:t>
      </w:r>
    </w:p>
    <w:p w:rsidR="00BB3019" w:rsidRDefault="00BB3019" w:rsidP="00F01342">
      <w:pPr>
        <w:rPr>
          <w:noProof/>
          <w:lang w:eastAsia="en-GB"/>
        </w:rPr>
      </w:pPr>
      <w:r>
        <w:rPr>
          <w:noProof/>
          <w:lang w:eastAsia="en-GB"/>
        </w:rPr>
        <w:drawing>
          <wp:inline distT="0" distB="0" distL="0" distR="0" wp14:anchorId="509A0461" wp14:editId="3FA6DC9F">
            <wp:extent cx="5943600" cy="3343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 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BB3019" w:rsidRDefault="00BB3019" w:rsidP="00F01342">
      <w:pPr>
        <w:rPr>
          <w:noProof/>
          <w:lang w:eastAsia="en-GB"/>
        </w:rPr>
      </w:pPr>
      <w:r>
        <w:rPr>
          <w:noProof/>
          <w:lang w:eastAsia="en-GB"/>
        </w:rPr>
        <w:t>Photo: Karin Reinprecht, Midelt, May 2016 (workshop participants)</w:t>
      </w:r>
    </w:p>
    <w:p w:rsidR="00BB3019" w:rsidRDefault="00BB3019" w:rsidP="00F01342">
      <w:pPr>
        <w:rPr>
          <w:noProof/>
          <w:lang w:eastAsia="en-GB"/>
        </w:rPr>
      </w:pPr>
      <w:r>
        <w:rPr>
          <w:noProof/>
          <w:lang w:eastAsia="en-GB"/>
        </w:rPr>
        <w:drawing>
          <wp:inline distT="0" distB="0" distL="0" distR="0">
            <wp:extent cx="3523278" cy="28575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9163" cy="2862273"/>
                    </a:xfrm>
                    <a:prstGeom prst="rect">
                      <a:avLst/>
                    </a:prstGeom>
                  </pic:spPr>
                </pic:pic>
              </a:graphicData>
            </a:graphic>
          </wp:inline>
        </w:drawing>
      </w:r>
    </w:p>
    <w:p w:rsidR="00BB3019" w:rsidRDefault="00BB3019" w:rsidP="00BB3019">
      <w:pPr>
        <w:rPr>
          <w:noProof/>
          <w:lang w:eastAsia="en-GB"/>
        </w:rPr>
      </w:pPr>
      <w:r>
        <w:rPr>
          <w:noProof/>
          <w:lang w:eastAsia="en-GB"/>
        </w:rPr>
        <w:t>Photo: Karin Reinprecht, Midelt, May 2016 (workshop participants)</w:t>
      </w:r>
    </w:p>
    <w:p w:rsidR="00BB3019" w:rsidRDefault="00BB3019" w:rsidP="00BB3019">
      <w:pPr>
        <w:rPr>
          <w:noProof/>
          <w:lang w:eastAsia="en-GB"/>
        </w:rPr>
      </w:pPr>
      <w:bookmarkStart w:id="0" w:name="_GoBack"/>
      <w:r>
        <w:rPr>
          <w:noProof/>
          <w:lang w:eastAsia="en-GB"/>
        </w:rPr>
        <w:drawing>
          <wp:inline distT="0" distB="0" distL="0" distR="0">
            <wp:extent cx="4870905" cy="4627880"/>
            <wp:effectExtent l="0" t="0" r="635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ial 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2494" cy="4629390"/>
                    </a:xfrm>
                    <a:prstGeom prst="rect">
                      <a:avLst/>
                    </a:prstGeom>
                  </pic:spPr>
                </pic:pic>
              </a:graphicData>
            </a:graphic>
          </wp:inline>
        </w:drawing>
      </w:r>
      <w:bookmarkEnd w:id="0"/>
    </w:p>
    <w:p w:rsidR="00BB3019" w:rsidRDefault="00BB3019" w:rsidP="00F01342">
      <w:pPr>
        <w:rPr>
          <w:noProof/>
          <w:lang w:eastAsia="en-GB"/>
        </w:rPr>
      </w:pPr>
      <w:r>
        <w:rPr>
          <w:noProof/>
          <w:lang w:eastAsia="en-GB"/>
        </w:rPr>
        <w:drawing>
          <wp:inline distT="0" distB="0" distL="0" distR="0">
            <wp:extent cx="3936206" cy="524827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al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8412" cy="5251217"/>
                    </a:xfrm>
                    <a:prstGeom prst="rect">
                      <a:avLst/>
                    </a:prstGeom>
                  </pic:spPr>
                </pic:pic>
              </a:graphicData>
            </a:graphic>
          </wp:inline>
        </w:drawing>
      </w:r>
    </w:p>
    <w:p w:rsidR="00BB3019" w:rsidRDefault="00BB3019" w:rsidP="00BB3019">
      <w:pPr>
        <w:rPr>
          <w:noProof/>
          <w:lang w:eastAsia="en-GB"/>
        </w:rPr>
      </w:pPr>
      <w:r>
        <w:rPr>
          <w:noProof/>
          <w:lang w:eastAsia="en-GB"/>
        </w:rPr>
        <w:t>Photo: Karin Reinprecht, Midelt, May 2016 (workshop participant)</w:t>
      </w:r>
    </w:p>
    <w:p w:rsidR="00BB3019" w:rsidRDefault="00BB3019" w:rsidP="00F01342">
      <w:pPr>
        <w:rPr>
          <w:noProof/>
          <w:lang w:eastAsia="en-GB"/>
        </w:rPr>
      </w:pPr>
    </w:p>
    <w:p w:rsidR="00BB3019" w:rsidRDefault="00BB3019" w:rsidP="00F01342">
      <w:pPr>
        <w:rPr>
          <w:noProof/>
          <w:lang w:eastAsia="en-GB"/>
        </w:rPr>
      </w:pPr>
    </w:p>
    <w:p w:rsidR="00BB3019" w:rsidRDefault="00BB3019" w:rsidP="00F01342">
      <w:pPr>
        <w:rPr>
          <w:noProof/>
          <w:lang w:eastAsia="en-GB"/>
        </w:rPr>
      </w:pPr>
    </w:p>
    <w:p w:rsidR="00BB3019" w:rsidRDefault="00BB3019" w:rsidP="00F01342">
      <w:pPr>
        <w:rPr>
          <w:noProof/>
          <w:lang w:eastAsia="en-GB"/>
        </w:rPr>
      </w:pPr>
    </w:p>
    <w:p w:rsidR="00BB3019" w:rsidRDefault="00BB3019" w:rsidP="00F01342">
      <w:pPr>
        <w:rPr>
          <w:noProof/>
          <w:lang w:eastAsia="en-GB"/>
        </w:rPr>
      </w:pPr>
    </w:p>
    <w:p w:rsidR="00BB3019" w:rsidRDefault="00BB3019" w:rsidP="00F01342">
      <w:pPr>
        <w:rPr>
          <w:noProof/>
          <w:lang w:eastAsia="en-GB"/>
        </w:rPr>
      </w:pPr>
    </w:p>
    <w:p w:rsidR="007F31B5" w:rsidRPr="007F31B5" w:rsidRDefault="007F31B5" w:rsidP="00F01342">
      <w:pPr>
        <w:rPr>
          <w:lang w:val="en-US"/>
        </w:rPr>
      </w:pPr>
    </w:p>
    <w:sectPr w:rsidR="007F31B5" w:rsidRPr="007F31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13" w:rsidRDefault="00026F13" w:rsidP="00897B88">
      <w:pPr>
        <w:spacing w:after="0" w:line="240" w:lineRule="auto"/>
      </w:pPr>
      <w:r>
        <w:separator/>
      </w:r>
    </w:p>
  </w:endnote>
  <w:endnote w:type="continuationSeparator" w:id="0">
    <w:p w:rsidR="00026F13" w:rsidRDefault="00026F13" w:rsidP="0089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altName w:val="Lucida Sans"/>
    <w:panose1 w:val="00000000000000000000"/>
    <w:charset w:val="00"/>
    <w:family w:val="swiss"/>
    <w:notTrueType/>
    <w:pitch w:val="default"/>
    <w:sig w:usb0="00000003" w:usb1="00000000" w:usb2="00000000" w:usb3="00000000" w:csb0="00000001" w:csb1="00000000"/>
  </w:font>
  <w:font w:name="Franklin Gothic 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13" w:rsidRDefault="00026F13" w:rsidP="00897B88">
      <w:pPr>
        <w:spacing w:after="0" w:line="240" w:lineRule="auto"/>
      </w:pPr>
      <w:r>
        <w:separator/>
      </w:r>
    </w:p>
  </w:footnote>
  <w:footnote w:type="continuationSeparator" w:id="0">
    <w:p w:rsidR="00026F13" w:rsidRDefault="00026F13" w:rsidP="00897B88">
      <w:pPr>
        <w:spacing w:after="0" w:line="240" w:lineRule="auto"/>
      </w:pPr>
      <w:r>
        <w:continuationSeparator/>
      </w:r>
    </w:p>
  </w:footnote>
  <w:footnote w:id="1">
    <w:p w:rsidR="00631780" w:rsidRPr="00631780" w:rsidRDefault="00631780">
      <w:pPr>
        <w:pStyle w:val="Notedebasdepage"/>
      </w:pPr>
      <w:r>
        <w:rPr>
          <w:rStyle w:val="Appelnotedebasdep"/>
        </w:rPr>
        <w:footnoteRef/>
      </w:r>
      <w:r>
        <w:t xml:space="preserve"> </w:t>
      </w:r>
      <w:r w:rsidRPr="00631780">
        <w:t xml:space="preserve">Link </w:t>
      </w:r>
      <w:r>
        <w:t>to journal article of Alessandra Giuliani</w:t>
      </w:r>
    </w:p>
  </w:footnote>
  <w:footnote w:id="2">
    <w:p w:rsidR="00DC11E5" w:rsidRPr="00DC11E5" w:rsidRDefault="00DC11E5" w:rsidP="00DC11E5">
      <w:pPr>
        <w:rPr>
          <w:sz w:val="20"/>
          <w:szCs w:val="20"/>
        </w:rPr>
      </w:pPr>
      <w:r>
        <w:rPr>
          <w:rStyle w:val="Appelnotedebasdep"/>
        </w:rPr>
        <w:footnoteRef/>
      </w:r>
      <w:r>
        <w:t xml:space="preserve"> </w:t>
      </w:r>
      <w:r w:rsidRPr="00DC11E5">
        <w:rPr>
          <w:sz w:val="20"/>
          <w:szCs w:val="20"/>
        </w:rPr>
        <w:t>http://www.un.org/en/events/youthskillsday/</w:t>
      </w:r>
    </w:p>
  </w:footnote>
  <w:footnote w:id="3">
    <w:p w:rsidR="002A7AA2" w:rsidRPr="00897B88" w:rsidRDefault="002A7AA2" w:rsidP="002A7AA2">
      <w:pPr>
        <w:pStyle w:val="Notedebasdepage"/>
      </w:pPr>
      <w:r>
        <w:rPr>
          <w:rStyle w:val="Appelnotedebasdep"/>
        </w:rPr>
        <w:footnoteRef/>
      </w:r>
      <w:r>
        <w:t xml:space="preserve"> </w:t>
      </w:r>
      <w:r w:rsidRPr="00897B88">
        <w:rPr>
          <w:lang w:val="en-US"/>
        </w:rPr>
        <w:t>Population reference bureau – youth % of population 2013</w:t>
      </w:r>
      <w:r>
        <w:rPr>
          <w:lang w:val="en-US"/>
        </w:rPr>
        <w:t xml:space="preserve">; </w:t>
      </w:r>
      <w:r>
        <w:t>World Economic Forum, 2013;</w:t>
      </w:r>
    </w:p>
  </w:footnote>
  <w:footnote w:id="4">
    <w:p w:rsidR="00631780" w:rsidRPr="00631780" w:rsidRDefault="00631780">
      <w:pPr>
        <w:pStyle w:val="Notedebasdepage"/>
      </w:pPr>
      <w:r>
        <w:rPr>
          <w:rStyle w:val="Appelnotedebasdep"/>
        </w:rPr>
        <w:footnoteRef/>
      </w:r>
      <w:r>
        <w:t xml:space="preserve"> </w:t>
      </w:r>
      <w:r w:rsidRPr="00631780">
        <w:t xml:space="preserve">Link to journal article of Dina </w:t>
      </w:r>
      <w:proofErr w:type="spellStart"/>
      <w:r w:rsidRPr="00631780">
        <w:t>Najjar</w:t>
      </w:r>
      <w:proofErr w:type="spellEnd"/>
      <w:r w:rsidRPr="00631780">
        <w:t xml:space="preserve"> et 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DDE"/>
    <w:multiLevelType w:val="hybridMultilevel"/>
    <w:tmpl w:val="0E1EF214"/>
    <w:lvl w:ilvl="0" w:tplc="A94EA7F8">
      <w:start w:val="1"/>
      <w:numFmt w:val="bullet"/>
      <w:lvlText w:val="•"/>
      <w:lvlJc w:val="left"/>
      <w:pPr>
        <w:tabs>
          <w:tab w:val="num" w:pos="720"/>
        </w:tabs>
        <w:ind w:left="720" w:hanging="360"/>
      </w:pPr>
      <w:rPr>
        <w:rFonts w:ascii="Arial" w:hAnsi="Arial" w:hint="default"/>
      </w:rPr>
    </w:lvl>
    <w:lvl w:ilvl="1" w:tplc="86920A1A" w:tentative="1">
      <w:start w:val="1"/>
      <w:numFmt w:val="bullet"/>
      <w:lvlText w:val="•"/>
      <w:lvlJc w:val="left"/>
      <w:pPr>
        <w:tabs>
          <w:tab w:val="num" w:pos="1440"/>
        </w:tabs>
        <w:ind w:left="1440" w:hanging="360"/>
      </w:pPr>
      <w:rPr>
        <w:rFonts w:ascii="Arial" w:hAnsi="Arial" w:hint="default"/>
      </w:rPr>
    </w:lvl>
    <w:lvl w:ilvl="2" w:tplc="E550F2AA" w:tentative="1">
      <w:start w:val="1"/>
      <w:numFmt w:val="bullet"/>
      <w:lvlText w:val="•"/>
      <w:lvlJc w:val="left"/>
      <w:pPr>
        <w:tabs>
          <w:tab w:val="num" w:pos="2160"/>
        </w:tabs>
        <w:ind w:left="2160" w:hanging="360"/>
      </w:pPr>
      <w:rPr>
        <w:rFonts w:ascii="Arial" w:hAnsi="Arial" w:hint="default"/>
      </w:rPr>
    </w:lvl>
    <w:lvl w:ilvl="3" w:tplc="F724D1B2" w:tentative="1">
      <w:start w:val="1"/>
      <w:numFmt w:val="bullet"/>
      <w:lvlText w:val="•"/>
      <w:lvlJc w:val="left"/>
      <w:pPr>
        <w:tabs>
          <w:tab w:val="num" w:pos="2880"/>
        </w:tabs>
        <w:ind w:left="2880" w:hanging="360"/>
      </w:pPr>
      <w:rPr>
        <w:rFonts w:ascii="Arial" w:hAnsi="Arial" w:hint="default"/>
      </w:rPr>
    </w:lvl>
    <w:lvl w:ilvl="4" w:tplc="2BDC0AD0" w:tentative="1">
      <w:start w:val="1"/>
      <w:numFmt w:val="bullet"/>
      <w:lvlText w:val="•"/>
      <w:lvlJc w:val="left"/>
      <w:pPr>
        <w:tabs>
          <w:tab w:val="num" w:pos="3600"/>
        </w:tabs>
        <w:ind w:left="3600" w:hanging="360"/>
      </w:pPr>
      <w:rPr>
        <w:rFonts w:ascii="Arial" w:hAnsi="Arial" w:hint="default"/>
      </w:rPr>
    </w:lvl>
    <w:lvl w:ilvl="5" w:tplc="4BC891B4" w:tentative="1">
      <w:start w:val="1"/>
      <w:numFmt w:val="bullet"/>
      <w:lvlText w:val="•"/>
      <w:lvlJc w:val="left"/>
      <w:pPr>
        <w:tabs>
          <w:tab w:val="num" w:pos="4320"/>
        </w:tabs>
        <w:ind w:left="4320" w:hanging="360"/>
      </w:pPr>
      <w:rPr>
        <w:rFonts w:ascii="Arial" w:hAnsi="Arial" w:hint="default"/>
      </w:rPr>
    </w:lvl>
    <w:lvl w:ilvl="6" w:tplc="0DB40188" w:tentative="1">
      <w:start w:val="1"/>
      <w:numFmt w:val="bullet"/>
      <w:lvlText w:val="•"/>
      <w:lvlJc w:val="left"/>
      <w:pPr>
        <w:tabs>
          <w:tab w:val="num" w:pos="5040"/>
        </w:tabs>
        <w:ind w:left="5040" w:hanging="360"/>
      </w:pPr>
      <w:rPr>
        <w:rFonts w:ascii="Arial" w:hAnsi="Arial" w:hint="default"/>
      </w:rPr>
    </w:lvl>
    <w:lvl w:ilvl="7" w:tplc="08142F36" w:tentative="1">
      <w:start w:val="1"/>
      <w:numFmt w:val="bullet"/>
      <w:lvlText w:val="•"/>
      <w:lvlJc w:val="left"/>
      <w:pPr>
        <w:tabs>
          <w:tab w:val="num" w:pos="5760"/>
        </w:tabs>
        <w:ind w:left="5760" w:hanging="360"/>
      </w:pPr>
      <w:rPr>
        <w:rFonts w:ascii="Arial" w:hAnsi="Arial" w:hint="default"/>
      </w:rPr>
    </w:lvl>
    <w:lvl w:ilvl="8" w:tplc="8E3883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5F431E"/>
    <w:multiLevelType w:val="hybridMultilevel"/>
    <w:tmpl w:val="25C4328C"/>
    <w:lvl w:ilvl="0" w:tplc="A94E87F6">
      <w:start w:val="1"/>
      <w:numFmt w:val="bullet"/>
      <w:lvlText w:val="•"/>
      <w:lvlJc w:val="left"/>
      <w:pPr>
        <w:tabs>
          <w:tab w:val="num" w:pos="720"/>
        </w:tabs>
        <w:ind w:left="720" w:hanging="360"/>
      </w:pPr>
      <w:rPr>
        <w:rFonts w:ascii="Arial" w:hAnsi="Arial" w:hint="default"/>
      </w:rPr>
    </w:lvl>
    <w:lvl w:ilvl="1" w:tplc="5F50F8C8" w:tentative="1">
      <w:start w:val="1"/>
      <w:numFmt w:val="bullet"/>
      <w:lvlText w:val="•"/>
      <w:lvlJc w:val="left"/>
      <w:pPr>
        <w:tabs>
          <w:tab w:val="num" w:pos="1440"/>
        </w:tabs>
        <w:ind w:left="1440" w:hanging="360"/>
      </w:pPr>
      <w:rPr>
        <w:rFonts w:ascii="Arial" w:hAnsi="Arial" w:hint="default"/>
      </w:rPr>
    </w:lvl>
    <w:lvl w:ilvl="2" w:tplc="91CA7DDC" w:tentative="1">
      <w:start w:val="1"/>
      <w:numFmt w:val="bullet"/>
      <w:lvlText w:val="•"/>
      <w:lvlJc w:val="left"/>
      <w:pPr>
        <w:tabs>
          <w:tab w:val="num" w:pos="2160"/>
        </w:tabs>
        <w:ind w:left="2160" w:hanging="360"/>
      </w:pPr>
      <w:rPr>
        <w:rFonts w:ascii="Arial" w:hAnsi="Arial" w:hint="default"/>
      </w:rPr>
    </w:lvl>
    <w:lvl w:ilvl="3" w:tplc="C5AE44AC" w:tentative="1">
      <w:start w:val="1"/>
      <w:numFmt w:val="bullet"/>
      <w:lvlText w:val="•"/>
      <w:lvlJc w:val="left"/>
      <w:pPr>
        <w:tabs>
          <w:tab w:val="num" w:pos="2880"/>
        </w:tabs>
        <w:ind w:left="2880" w:hanging="360"/>
      </w:pPr>
      <w:rPr>
        <w:rFonts w:ascii="Arial" w:hAnsi="Arial" w:hint="default"/>
      </w:rPr>
    </w:lvl>
    <w:lvl w:ilvl="4" w:tplc="E660700C" w:tentative="1">
      <w:start w:val="1"/>
      <w:numFmt w:val="bullet"/>
      <w:lvlText w:val="•"/>
      <w:lvlJc w:val="left"/>
      <w:pPr>
        <w:tabs>
          <w:tab w:val="num" w:pos="3600"/>
        </w:tabs>
        <w:ind w:left="3600" w:hanging="360"/>
      </w:pPr>
      <w:rPr>
        <w:rFonts w:ascii="Arial" w:hAnsi="Arial" w:hint="default"/>
      </w:rPr>
    </w:lvl>
    <w:lvl w:ilvl="5" w:tplc="1B46D0DC" w:tentative="1">
      <w:start w:val="1"/>
      <w:numFmt w:val="bullet"/>
      <w:lvlText w:val="•"/>
      <w:lvlJc w:val="left"/>
      <w:pPr>
        <w:tabs>
          <w:tab w:val="num" w:pos="4320"/>
        </w:tabs>
        <w:ind w:left="4320" w:hanging="360"/>
      </w:pPr>
      <w:rPr>
        <w:rFonts w:ascii="Arial" w:hAnsi="Arial" w:hint="default"/>
      </w:rPr>
    </w:lvl>
    <w:lvl w:ilvl="6" w:tplc="293E8BBC" w:tentative="1">
      <w:start w:val="1"/>
      <w:numFmt w:val="bullet"/>
      <w:lvlText w:val="•"/>
      <w:lvlJc w:val="left"/>
      <w:pPr>
        <w:tabs>
          <w:tab w:val="num" w:pos="5040"/>
        </w:tabs>
        <w:ind w:left="5040" w:hanging="360"/>
      </w:pPr>
      <w:rPr>
        <w:rFonts w:ascii="Arial" w:hAnsi="Arial" w:hint="default"/>
      </w:rPr>
    </w:lvl>
    <w:lvl w:ilvl="7" w:tplc="5050703E" w:tentative="1">
      <w:start w:val="1"/>
      <w:numFmt w:val="bullet"/>
      <w:lvlText w:val="•"/>
      <w:lvlJc w:val="left"/>
      <w:pPr>
        <w:tabs>
          <w:tab w:val="num" w:pos="5760"/>
        </w:tabs>
        <w:ind w:left="5760" w:hanging="360"/>
      </w:pPr>
      <w:rPr>
        <w:rFonts w:ascii="Arial" w:hAnsi="Arial" w:hint="default"/>
      </w:rPr>
    </w:lvl>
    <w:lvl w:ilvl="8" w:tplc="61F8F4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8B"/>
    <w:rsid w:val="00026F13"/>
    <w:rsid w:val="0012460A"/>
    <w:rsid w:val="00170459"/>
    <w:rsid w:val="00226F07"/>
    <w:rsid w:val="002A7AA2"/>
    <w:rsid w:val="00631780"/>
    <w:rsid w:val="00645C80"/>
    <w:rsid w:val="007D2AE7"/>
    <w:rsid w:val="007F31B5"/>
    <w:rsid w:val="00897B88"/>
    <w:rsid w:val="008E53B4"/>
    <w:rsid w:val="009D70B9"/>
    <w:rsid w:val="00B24687"/>
    <w:rsid w:val="00B52B45"/>
    <w:rsid w:val="00BB3019"/>
    <w:rsid w:val="00BC38EF"/>
    <w:rsid w:val="00C044E8"/>
    <w:rsid w:val="00D544EF"/>
    <w:rsid w:val="00DC11E5"/>
    <w:rsid w:val="00F01342"/>
    <w:rsid w:val="00F34C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65FA0-F504-4147-A24D-70ADDCAB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4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7B88"/>
    <w:pPr>
      <w:spacing w:after="0" w:line="240" w:lineRule="auto"/>
      <w:ind w:left="720"/>
      <w:contextualSpacing/>
    </w:pPr>
    <w:rPr>
      <w:rFonts w:ascii="Times New Roman" w:eastAsia="Times New Roman" w:hAnsi="Times New Roman" w:cs="Times New Roman"/>
      <w:sz w:val="24"/>
      <w:szCs w:val="24"/>
      <w:lang w:eastAsia="en-GB"/>
    </w:rPr>
  </w:style>
  <w:style w:type="paragraph" w:styleId="Notedebasdepage">
    <w:name w:val="footnote text"/>
    <w:basedOn w:val="Normal"/>
    <w:link w:val="NotedebasdepageCar"/>
    <w:uiPriority w:val="99"/>
    <w:semiHidden/>
    <w:unhideWhenUsed/>
    <w:rsid w:val="00897B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7B88"/>
    <w:rPr>
      <w:sz w:val="20"/>
      <w:szCs w:val="20"/>
    </w:rPr>
  </w:style>
  <w:style w:type="character" w:styleId="Appelnotedebasdep">
    <w:name w:val="footnote reference"/>
    <w:basedOn w:val="Policepardfaut"/>
    <w:uiPriority w:val="99"/>
    <w:semiHidden/>
    <w:unhideWhenUsed/>
    <w:rsid w:val="00897B88"/>
    <w:rPr>
      <w:vertAlign w:val="superscript"/>
    </w:rPr>
  </w:style>
  <w:style w:type="paragraph" w:styleId="NormalWeb">
    <w:name w:val="Normal (Web)"/>
    <w:basedOn w:val="Normal"/>
    <w:uiPriority w:val="99"/>
    <w:semiHidden/>
    <w:unhideWhenUsed/>
    <w:rsid w:val="00897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044E8"/>
    <w:pPr>
      <w:autoSpaceDE w:val="0"/>
      <w:autoSpaceDN w:val="0"/>
      <w:adjustRightInd w:val="0"/>
      <w:spacing w:after="0" w:line="240" w:lineRule="auto"/>
    </w:pPr>
    <w:rPr>
      <w:rFonts w:ascii="Lucida Sans" w:hAnsi="Lucida Sans" w:cs="Lucida Sans"/>
      <w:color w:val="000000"/>
      <w:sz w:val="24"/>
      <w:szCs w:val="24"/>
    </w:rPr>
  </w:style>
  <w:style w:type="character" w:customStyle="1" w:styleId="Titre1Car">
    <w:name w:val="Titre 1 Car"/>
    <w:basedOn w:val="Policepardfaut"/>
    <w:link w:val="Titre1"/>
    <w:uiPriority w:val="9"/>
    <w:rsid w:val="00B246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6554">
      <w:bodyDiv w:val="1"/>
      <w:marLeft w:val="0"/>
      <w:marRight w:val="0"/>
      <w:marTop w:val="0"/>
      <w:marBottom w:val="0"/>
      <w:divBdr>
        <w:top w:val="none" w:sz="0" w:space="0" w:color="auto"/>
        <w:left w:val="none" w:sz="0" w:space="0" w:color="auto"/>
        <w:bottom w:val="none" w:sz="0" w:space="0" w:color="auto"/>
        <w:right w:val="none" w:sz="0" w:space="0" w:color="auto"/>
      </w:divBdr>
      <w:divsChild>
        <w:div w:id="1825511474">
          <w:marLeft w:val="547"/>
          <w:marRight w:val="0"/>
          <w:marTop w:val="125"/>
          <w:marBottom w:val="0"/>
          <w:divBdr>
            <w:top w:val="none" w:sz="0" w:space="0" w:color="auto"/>
            <w:left w:val="none" w:sz="0" w:space="0" w:color="auto"/>
            <w:bottom w:val="none" w:sz="0" w:space="0" w:color="auto"/>
            <w:right w:val="none" w:sz="0" w:space="0" w:color="auto"/>
          </w:divBdr>
        </w:div>
        <w:div w:id="214122950">
          <w:marLeft w:val="547"/>
          <w:marRight w:val="0"/>
          <w:marTop w:val="125"/>
          <w:marBottom w:val="0"/>
          <w:divBdr>
            <w:top w:val="none" w:sz="0" w:space="0" w:color="auto"/>
            <w:left w:val="none" w:sz="0" w:space="0" w:color="auto"/>
            <w:bottom w:val="none" w:sz="0" w:space="0" w:color="auto"/>
            <w:right w:val="none" w:sz="0" w:space="0" w:color="auto"/>
          </w:divBdr>
        </w:div>
        <w:div w:id="1174690289">
          <w:marLeft w:val="547"/>
          <w:marRight w:val="0"/>
          <w:marTop w:val="125"/>
          <w:marBottom w:val="0"/>
          <w:divBdr>
            <w:top w:val="none" w:sz="0" w:space="0" w:color="auto"/>
            <w:left w:val="none" w:sz="0" w:space="0" w:color="auto"/>
            <w:bottom w:val="none" w:sz="0" w:space="0" w:color="auto"/>
            <w:right w:val="none" w:sz="0" w:space="0" w:color="auto"/>
          </w:divBdr>
        </w:div>
      </w:divsChild>
    </w:div>
    <w:div w:id="529805462">
      <w:bodyDiv w:val="1"/>
      <w:marLeft w:val="0"/>
      <w:marRight w:val="0"/>
      <w:marTop w:val="0"/>
      <w:marBottom w:val="0"/>
      <w:divBdr>
        <w:top w:val="none" w:sz="0" w:space="0" w:color="auto"/>
        <w:left w:val="none" w:sz="0" w:space="0" w:color="auto"/>
        <w:bottom w:val="none" w:sz="0" w:space="0" w:color="auto"/>
        <w:right w:val="none" w:sz="0" w:space="0" w:color="auto"/>
      </w:divBdr>
    </w:div>
    <w:div w:id="1835073575">
      <w:bodyDiv w:val="1"/>
      <w:marLeft w:val="0"/>
      <w:marRight w:val="0"/>
      <w:marTop w:val="0"/>
      <w:marBottom w:val="0"/>
      <w:divBdr>
        <w:top w:val="none" w:sz="0" w:space="0" w:color="auto"/>
        <w:left w:val="none" w:sz="0" w:space="0" w:color="auto"/>
        <w:bottom w:val="none" w:sz="0" w:space="0" w:color="auto"/>
        <w:right w:val="none" w:sz="0" w:space="0" w:color="auto"/>
      </w:divBdr>
      <w:divsChild>
        <w:div w:id="1124809027">
          <w:marLeft w:val="547"/>
          <w:marRight w:val="0"/>
          <w:marTop w:val="154"/>
          <w:marBottom w:val="0"/>
          <w:divBdr>
            <w:top w:val="none" w:sz="0" w:space="0" w:color="auto"/>
            <w:left w:val="none" w:sz="0" w:space="0" w:color="auto"/>
            <w:bottom w:val="none" w:sz="0" w:space="0" w:color="auto"/>
            <w:right w:val="none" w:sz="0" w:space="0" w:color="auto"/>
          </w:divBdr>
        </w:div>
        <w:div w:id="7767539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4D3B-82CC-4B7B-8B13-451D5184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630</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Reinprecht</dc:creator>
  <cp:keywords/>
  <dc:description/>
  <cp:lastModifiedBy>Karin Reinprecht</cp:lastModifiedBy>
  <cp:revision>10</cp:revision>
  <dcterms:created xsi:type="dcterms:W3CDTF">2016-06-08T14:09:00Z</dcterms:created>
  <dcterms:modified xsi:type="dcterms:W3CDTF">2016-06-29T07:52:00Z</dcterms:modified>
</cp:coreProperties>
</file>