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04" w:rsidRPr="002A14BD" w:rsidRDefault="00C91804" w:rsidP="00210ABF">
      <w:pPr>
        <w:jc w:val="both"/>
        <w:rPr>
          <w:rFonts w:ascii="Calibri" w:hAnsi="Calibri" w:cs="Calibri"/>
        </w:rPr>
      </w:pPr>
      <w:r w:rsidRPr="002A14BD">
        <w:rPr>
          <w:rFonts w:ascii="Calibri" w:hAnsi="Calibri" w:cs="Calibri"/>
        </w:rPr>
        <w:t xml:space="preserve">2.3.1.1. Identification of genes and genetic mechanisms contributing to improved crop performance in low fertility soils, especially under water constraint. Traits associated with </w:t>
      </w:r>
      <w:proofErr w:type="spellStart"/>
      <w:r w:rsidRPr="002A14BD">
        <w:rPr>
          <w:rFonts w:ascii="Calibri" w:hAnsi="Calibri" w:cs="Calibri"/>
        </w:rPr>
        <w:t>photosynthate</w:t>
      </w:r>
      <w:proofErr w:type="spellEnd"/>
      <w:r w:rsidRPr="002A14BD">
        <w:rPr>
          <w:rFonts w:ascii="Calibri" w:hAnsi="Calibri" w:cs="Calibri"/>
        </w:rPr>
        <w:t xml:space="preserve"> mobilization in drought and low P. </w:t>
      </w:r>
    </w:p>
    <w:p w:rsidR="00210ABF" w:rsidRPr="002A14BD" w:rsidRDefault="00210ABF" w:rsidP="00210ABF">
      <w:pPr>
        <w:jc w:val="both"/>
        <w:rPr>
          <w:b/>
        </w:rPr>
      </w:pPr>
      <w:r w:rsidRPr="002A14BD">
        <w:rPr>
          <w:b/>
        </w:rPr>
        <w:t>Phenotypic differences in adaptation to combined stress of inadequate P supply and drought (BASE 80 trial)</w:t>
      </w:r>
    </w:p>
    <w:p w:rsidR="002C404F" w:rsidRPr="002A14BD" w:rsidRDefault="00C91804" w:rsidP="00C91804">
      <w:pPr>
        <w:rPr>
          <w:rFonts w:cs="Segoe UI"/>
          <w:bCs/>
          <w:lang w:eastAsia="en-GB"/>
        </w:rPr>
      </w:pPr>
      <w:r w:rsidRPr="002A14BD">
        <w:rPr>
          <w:u w:val="single"/>
        </w:rPr>
        <w:t xml:space="preserve">Objective and intended output: </w:t>
      </w:r>
      <w:r w:rsidR="001658CC" w:rsidRPr="002A14BD">
        <w:rPr>
          <w:u w:val="single"/>
        </w:rPr>
        <w:t xml:space="preserve"> </w:t>
      </w:r>
      <w:r w:rsidR="002C404F" w:rsidRPr="002A14BD">
        <w:rPr>
          <w:rFonts w:cs="Segoe UI"/>
          <w:bCs/>
          <w:lang w:eastAsia="en-GB"/>
        </w:rPr>
        <w:t>To determine genotypic differences in adaptation to combined low P and drought stress</w:t>
      </w:r>
      <w:r w:rsidR="00BA3C35" w:rsidRPr="002A14BD">
        <w:rPr>
          <w:rFonts w:cs="Segoe UI"/>
          <w:bCs/>
          <w:lang w:eastAsia="en-GB"/>
        </w:rPr>
        <w:t xml:space="preserve"> and correlations</w:t>
      </w:r>
      <w:r w:rsidR="001658CC" w:rsidRPr="002A14BD">
        <w:rPr>
          <w:rFonts w:cs="Segoe UI"/>
          <w:bCs/>
          <w:lang w:eastAsia="en-GB"/>
        </w:rPr>
        <w:t xml:space="preserve"> between a </w:t>
      </w:r>
      <w:proofErr w:type="gramStart"/>
      <w:r w:rsidR="001658CC" w:rsidRPr="002A14BD">
        <w:rPr>
          <w:rFonts w:cs="Segoe UI"/>
          <w:bCs/>
          <w:lang w:eastAsia="en-GB"/>
        </w:rPr>
        <w:t>number</w:t>
      </w:r>
      <w:proofErr w:type="gramEnd"/>
      <w:r w:rsidR="001658CC" w:rsidRPr="002A14BD">
        <w:rPr>
          <w:rFonts w:cs="Segoe UI"/>
          <w:bCs/>
          <w:lang w:eastAsia="en-GB"/>
        </w:rPr>
        <w:t xml:space="preserve"> of plant attributes.</w:t>
      </w:r>
      <w:r w:rsidR="002C404F" w:rsidRPr="002A14BD">
        <w:rPr>
          <w:rFonts w:cs="Segoe UI"/>
          <w:bCs/>
          <w:lang w:eastAsia="en-GB"/>
        </w:rPr>
        <w:t xml:space="preserve"> </w:t>
      </w:r>
    </w:p>
    <w:p w:rsidR="00C91804" w:rsidRPr="002A14BD" w:rsidRDefault="00C91804" w:rsidP="00DE1D1F">
      <w:pPr>
        <w:rPr>
          <w:rFonts w:cs="Segoe UI"/>
          <w:bCs/>
          <w:lang w:eastAsia="en-GB"/>
        </w:rPr>
      </w:pPr>
      <w:r w:rsidRPr="002A14BD">
        <w:rPr>
          <w:u w:val="single"/>
        </w:rPr>
        <w:t>Materials and methods</w:t>
      </w:r>
      <w:r w:rsidRPr="002A14BD">
        <w:t xml:space="preserve">:  </w:t>
      </w:r>
      <w:r w:rsidR="00DE1D1F" w:rsidRPr="002A14BD">
        <w:rPr>
          <w:rFonts w:cs="Segoe UI"/>
          <w:bCs/>
          <w:lang w:eastAsia="en-GB"/>
        </w:rPr>
        <w:t>A field trial was conducted during the dry season (May to July 2016) at Darien, Valle del Cauca-Colombia, The BASE (</w:t>
      </w:r>
      <w:r w:rsidR="00DE1D1F" w:rsidRPr="002A14BD">
        <w:rPr>
          <w:rFonts w:cs="Segoe UI"/>
          <w:b/>
          <w:bCs/>
          <w:lang w:eastAsia="en-GB"/>
        </w:rPr>
        <w:t>B</w:t>
      </w:r>
      <w:r w:rsidR="00DE1D1F" w:rsidRPr="002A14BD">
        <w:rPr>
          <w:rFonts w:cs="Segoe UI"/>
          <w:bCs/>
          <w:lang w:eastAsia="en-GB"/>
        </w:rPr>
        <w:t xml:space="preserve">ean </w:t>
      </w:r>
      <w:r w:rsidR="00DE1D1F" w:rsidRPr="002A14BD">
        <w:rPr>
          <w:rFonts w:cs="Segoe UI"/>
          <w:b/>
          <w:bCs/>
          <w:lang w:eastAsia="en-GB"/>
        </w:rPr>
        <w:t>A</w:t>
      </w:r>
      <w:r w:rsidR="00DE1D1F" w:rsidRPr="002A14BD">
        <w:rPr>
          <w:rFonts w:cs="Segoe UI"/>
          <w:bCs/>
          <w:lang w:eastAsia="en-GB"/>
        </w:rPr>
        <w:t xml:space="preserve">biotic </w:t>
      </w:r>
      <w:r w:rsidR="00DE1D1F" w:rsidRPr="002A14BD">
        <w:rPr>
          <w:rFonts w:cs="Segoe UI"/>
          <w:b/>
          <w:bCs/>
          <w:lang w:eastAsia="en-GB"/>
        </w:rPr>
        <w:t>S</w:t>
      </w:r>
      <w:r w:rsidR="00DE1D1F" w:rsidRPr="002A14BD">
        <w:rPr>
          <w:rFonts w:cs="Segoe UI"/>
          <w:bCs/>
          <w:lang w:eastAsia="en-GB"/>
        </w:rPr>
        <w:t xml:space="preserve">tress </w:t>
      </w:r>
      <w:r w:rsidR="00DE1D1F" w:rsidRPr="002A14BD">
        <w:rPr>
          <w:rFonts w:cs="Segoe UI"/>
          <w:b/>
          <w:bCs/>
          <w:lang w:eastAsia="en-GB"/>
        </w:rPr>
        <w:t>E</w:t>
      </w:r>
      <w:r w:rsidR="00DE1D1F" w:rsidRPr="002A14BD">
        <w:rPr>
          <w:rFonts w:cs="Segoe UI"/>
          <w:bCs/>
          <w:lang w:eastAsia="en-GB"/>
        </w:rPr>
        <w:t xml:space="preserve">valuation). </w:t>
      </w:r>
      <w:r w:rsidR="002C404F" w:rsidRPr="002A14BD">
        <w:rPr>
          <w:rFonts w:cs="Segoe UI"/>
          <w:bCs/>
          <w:lang w:eastAsia="en-GB"/>
        </w:rPr>
        <w:t>The</w:t>
      </w:r>
      <w:r w:rsidR="00BA3C35" w:rsidRPr="002A14BD">
        <w:rPr>
          <w:rFonts w:cs="Segoe UI"/>
          <w:bCs/>
          <w:lang w:eastAsia="en-GB"/>
        </w:rPr>
        <w:t xml:space="preserve"> BASE</w:t>
      </w:r>
      <w:r w:rsidR="002C404F" w:rsidRPr="002A14BD">
        <w:rPr>
          <w:rFonts w:cs="Segoe UI"/>
          <w:bCs/>
          <w:lang w:eastAsia="en-GB"/>
        </w:rPr>
        <w:t xml:space="preserve"> </w:t>
      </w:r>
      <w:r w:rsidR="00266BE1" w:rsidRPr="002A14BD">
        <w:rPr>
          <w:rFonts w:cs="Segoe UI"/>
          <w:bCs/>
          <w:lang w:eastAsia="en-GB"/>
        </w:rPr>
        <w:t>trial included 80 bean genotypes: 58 belong to Mesoamerican gene p</w:t>
      </w:r>
      <w:bookmarkStart w:id="0" w:name="_GoBack"/>
      <w:bookmarkEnd w:id="0"/>
      <w:r w:rsidR="00266BE1" w:rsidRPr="002A14BD">
        <w:rPr>
          <w:rFonts w:cs="Segoe UI"/>
          <w:bCs/>
          <w:lang w:eastAsia="en-GB"/>
        </w:rPr>
        <w:t xml:space="preserve">ool, 11 to Andean gene pool and 11 interspecific lines. An 8 X 10 alpha lattice design with 3 replicates was used. The soil is an </w:t>
      </w:r>
      <w:proofErr w:type="spellStart"/>
      <w:r w:rsidR="00266BE1" w:rsidRPr="002A14BD">
        <w:rPr>
          <w:rFonts w:cs="Segoe UI"/>
          <w:bCs/>
          <w:lang w:eastAsia="en-GB"/>
        </w:rPr>
        <w:t>Andisol</w:t>
      </w:r>
      <w:proofErr w:type="spellEnd"/>
      <w:r w:rsidR="00266BE1" w:rsidRPr="002A14BD">
        <w:rPr>
          <w:rFonts w:cs="Segoe UI"/>
          <w:bCs/>
          <w:lang w:eastAsia="en-GB"/>
        </w:rPr>
        <w:t xml:space="preserve"> with inadequate level of P supply (available P content (Bray-II) of 7 mg/kg). One level of water supply (</w:t>
      </w:r>
      <w:proofErr w:type="spellStart"/>
      <w:r w:rsidR="00266BE1" w:rsidRPr="002A14BD">
        <w:rPr>
          <w:rFonts w:cs="Segoe UI"/>
          <w:bCs/>
          <w:lang w:eastAsia="en-GB"/>
        </w:rPr>
        <w:t>Rainfed</w:t>
      </w:r>
      <w:proofErr w:type="spellEnd"/>
      <w:r w:rsidR="00266BE1" w:rsidRPr="002A14BD">
        <w:rPr>
          <w:rFonts w:cs="Segoe UI"/>
          <w:bCs/>
          <w:lang w:eastAsia="en-GB"/>
        </w:rPr>
        <w:t xml:space="preserve">) was applied to induce drought stress. Experimental units consisted of 2 rows of 2.5 m long with 0.6 m between rows. A number of plant attributes were measured at mid-pod filling including root traits using </w:t>
      </w:r>
      <w:proofErr w:type="spellStart"/>
      <w:r w:rsidR="00266BE1" w:rsidRPr="002A14BD">
        <w:rPr>
          <w:rFonts w:cs="Segoe UI"/>
          <w:bCs/>
          <w:lang w:eastAsia="en-GB"/>
        </w:rPr>
        <w:t>shovelomics</w:t>
      </w:r>
      <w:proofErr w:type="spellEnd"/>
      <w:r w:rsidR="00266BE1" w:rsidRPr="002A14BD">
        <w:rPr>
          <w:rFonts w:cs="Segoe UI"/>
          <w:bCs/>
          <w:lang w:eastAsia="en-GB"/>
        </w:rPr>
        <w:t xml:space="preserve"> methodology (basal root whorl number; basal root number; adventitious root number; tap root branching density; 3rd order branching density; and minimum, maximum and mean basal root growth angle), SPAD chlorophyll meter readings (SCMR), canopy temperature depression (CTD), and canopy biomass per area. At the time of harvest, grain yield and yield components were determined. Pod partitioning ind</w:t>
      </w:r>
      <w:r w:rsidR="001658CC" w:rsidRPr="002A14BD">
        <w:rPr>
          <w:rFonts w:cs="Segoe UI"/>
          <w:bCs/>
          <w:lang w:eastAsia="en-GB"/>
        </w:rPr>
        <w:t>ex</w:t>
      </w:r>
      <w:r w:rsidR="00266BE1" w:rsidRPr="002A14BD">
        <w:rPr>
          <w:rFonts w:cs="Segoe UI"/>
          <w:bCs/>
          <w:lang w:eastAsia="en-GB"/>
        </w:rPr>
        <w:t xml:space="preserve">, pod number per area, seed number per area, and pod harvest were also determined. </w:t>
      </w:r>
    </w:p>
    <w:p w:rsidR="00D52BA7" w:rsidRPr="002A14BD" w:rsidRDefault="00C91804" w:rsidP="00DE1D1F">
      <w:r w:rsidRPr="002A14BD">
        <w:rPr>
          <w:u w:val="single"/>
        </w:rPr>
        <w:t>Results and interpretation</w:t>
      </w:r>
      <w:r w:rsidRPr="002A14BD">
        <w:t xml:space="preserve">: </w:t>
      </w:r>
      <w:r w:rsidR="00D52BA7" w:rsidRPr="002A14BD">
        <w:t xml:space="preserve"> </w:t>
      </w:r>
      <w:r w:rsidR="00266BE1" w:rsidRPr="002A14BD">
        <w:t xml:space="preserve"> The mean seed yield at 14% moisture (kg/ha) under inadequate P supply and drought was 1975, the grain yield of 80 genotypes ranged from 1283 to 2898 kg/ha (Figure </w:t>
      </w:r>
      <w:r w:rsidR="009848B7" w:rsidRPr="002A14BD">
        <w:t>1</w:t>
      </w:r>
      <w:r w:rsidR="00266BE1" w:rsidRPr="002A14BD">
        <w:t xml:space="preserve">). Among the lines tested, SEN 56, SEF 15, SER 119, NCB 226, BFS 87, SAB 618, SEF 60 and ICA </w:t>
      </w:r>
      <w:proofErr w:type="spellStart"/>
      <w:r w:rsidR="00266BE1" w:rsidRPr="002A14BD">
        <w:t>Quimbaya</w:t>
      </w:r>
      <w:proofErr w:type="spellEnd"/>
      <w:r w:rsidR="00266BE1" w:rsidRPr="002A14BD">
        <w:t xml:space="preserve"> were outstanding in their response to inadequate P supply and drought. The lines INB 827, </w:t>
      </w:r>
      <w:proofErr w:type="spellStart"/>
      <w:r w:rsidR="00266BE1" w:rsidRPr="002A14BD">
        <w:t>Jamapa</w:t>
      </w:r>
      <w:proofErr w:type="spellEnd"/>
      <w:r w:rsidR="00266BE1" w:rsidRPr="002A14BD">
        <w:t xml:space="preserve">, DICTA 17, BAT 881, ALB 88, SAB 659, SEA 5 and MIB 778 showed poor adaptation to inadequate P supply </w:t>
      </w:r>
      <w:r w:rsidR="009848B7" w:rsidRPr="002A14BD">
        <w:t>and drought (Figure 1</w:t>
      </w:r>
      <w:r w:rsidR="00266BE1" w:rsidRPr="002A14BD">
        <w:t xml:space="preserve">). Results of two seasons of evaluation under both irrigated and drought conditions in CIAT-Palmira (CRP report 2015) showed that the lines BFS 81, NCB 226, SEF 10, BFS 10, SEN 56, BFS 142, SEF 15, BFS 87, SEF 60 and SEF 16 were better adapted to drought stress. </w:t>
      </w:r>
      <w:proofErr w:type="gramStart"/>
      <w:r w:rsidR="00266BE1" w:rsidRPr="002A14BD">
        <w:t>According</w:t>
      </w:r>
      <w:r w:rsidR="00DE1D1F" w:rsidRPr="002A14BD">
        <w:t xml:space="preserve">  to</w:t>
      </w:r>
      <w:proofErr w:type="gramEnd"/>
      <w:r w:rsidR="00266BE1" w:rsidRPr="002A14BD">
        <w:t xml:space="preserve"> results of evaluation under drought stress in Palmira and inadequate P supply and drought conditions in Darien, the lines SEF 60, SEF 15, BFS 87, NCB 226 and SEN 56 are responsive to drought and low P stress. Results on the relationship between pod harvest index (PHI) and grain yield indicated that the lines: SEN 56, SEF 15, SER 119, NCB 226, BFS 87, SEF 60 and SEF 16 were superior in mobilizing </w:t>
      </w:r>
      <w:proofErr w:type="spellStart"/>
      <w:r w:rsidR="00266BE1" w:rsidRPr="002A14BD">
        <w:t>photosynthates</w:t>
      </w:r>
      <w:proofErr w:type="spellEnd"/>
      <w:r w:rsidR="00266BE1" w:rsidRPr="002A14BD">
        <w:t xml:space="preserve"> from plant reserves and pod wall to seeds formation (PHI); while the lines MIB 778, SAB 659, SMC 141 and INB 827 showed the lowest values of PHI and poor grain yield under inadequate P supply and drought conditions</w:t>
      </w:r>
      <w:r w:rsidR="00BA3C35" w:rsidRPr="002A14BD">
        <w:t xml:space="preserve"> (Figure 1</w:t>
      </w:r>
      <w:r w:rsidR="00266BE1" w:rsidRPr="002A14BD">
        <w:t xml:space="preserve">). Correlation coefficients between final grain yield and other shoot attributes under inadequate P supply and drought conditions indicated that greater seed yield was positively related to canopy biomass, harvest index, pod harvest index, pod and seed number per area, and nodule score (Table </w:t>
      </w:r>
      <w:r w:rsidR="00BA3C35" w:rsidRPr="002A14BD">
        <w:t>1</w:t>
      </w:r>
      <w:r w:rsidR="00266BE1" w:rsidRPr="002A14BD">
        <w:t xml:space="preserve">). Significant negative relationship was also observed between seed yield and maximum basal root growth angle (Table </w:t>
      </w:r>
      <w:r w:rsidR="00BA3C35" w:rsidRPr="002A14BD">
        <w:t>1</w:t>
      </w:r>
      <w:r w:rsidR="00266BE1" w:rsidRPr="002A14BD">
        <w:t xml:space="preserve">). The results indicate that under inadequate P supply and drought conditions grain yield was associated with the ability to fill pods and seeds and shallow basal root growth development. </w:t>
      </w:r>
    </w:p>
    <w:p w:rsidR="00DE1D1F" w:rsidRPr="002A14BD" w:rsidRDefault="00DE1D1F" w:rsidP="00DE1D1F">
      <w:r w:rsidRPr="002A14BD">
        <w:rPr>
          <w:u w:val="single"/>
        </w:rPr>
        <w:t>Next steps</w:t>
      </w:r>
      <w:r w:rsidRPr="002A14BD">
        <w:t xml:space="preserve">: </w:t>
      </w:r>
      <w:r w:rsidRPr="002A14BD">
        <w:t xml:space="preserve">PHI and </w:t>
      </w:r>
      <w:proofErr w:type="spellStart"/>
      <w:r w:rsidRPr="002A14BD">
        <w:t>photosynthate</w:t>
      </w:r>
      <w:proofErr w:type="spellEnd"/>
      <w:r w:rsidRPr="002A14BD">
        <w:t xml:space="preserve"> remobilization continue to emerge a key determinants of yield under stress. We will seek collaboration with advanced institutions to explore the basis of this trait. </w:t>
      </w:r>
      <w:r w:rsidRPr="002A14BD">
        <w:br w:type="page"/>
      </w:r>
    </w:p>
    <w:p w:rsidR="00DE1D1F" w:rsidRPr="002A14BD" w:rsidRDefault="00DE1D1F" w:rsidP="00266BE1">
      <w:pPr>
        <w:jc w:val="both"/>
      </w:pPr>
    </w:p>
    <w:p w:rsidR="00E3687F" w:rsidRPr="002A14BD" w:rsidRDefault="00E3687F" w:rsidP="002067E1">
      <w:pPr>
        <w:jc w:val="both"/>
      </w:pPr>
      <w:r w:rsidRPr="002A14BD">
        <w:object w:dxaOrig="1294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1pt;height:201.8pt" o:ole="">
            <v:imagedata r:id="rId4" o:title=""/>
          </v:shape>
          <o:OLEObject Type="Embed" ProgID="SigmaPlotGraphicObject.11" ShapeID="_x0000_i1025" DrawAspect="Content" ObjectID="_1547541102" r:id="rId5"/>
        </w:object>
      </w:r>
    </w:p>
    <w:p w:rsidR="00E3687F" w:rsidRPr="002A14BD" w:rsidRDefault="00BA3C35" w:rsidP="002067E1">
      <w:pPr>
        <w:jc w:val="both"/>
      </w:pPr>
      <w:r w:rsidRPr="002A14BD">
        <w:rPr>
          <w:b/>
        </w:rPr>
        <w:t>Figure 1</w:t>
      </w:r>
      <w:r w:rsidR="00E3687F" w:rsidRPr="002A14BD">
        <w:t xml:space="preserve"> Relationship between grain yield and canopy biomass (A) and pod harvest index (B) under inadequate P supply and drought conditions when grown in an </w:t>
      </w:r>
      <w:proofErr w:type="spellStart"/>
      <w:r w:rsidR="00E3687F" w:rsidRPr="002A14BD">
        <w:t>Andisol</w:t>
      </w:r>
      <w:proofErr w:type="spellEnd"/>
      <w:r w:rsidR="00E3687F" w:rsidRPr="002A14BD">
        <w:t xml:space="preserve"> at Darien 2016. </w:t>
      </w:r>
    </w:p>
    <w:p w:rsidR="002A14BD" w:rsidRPr="002A14BD" w:rsidRDefault="002A14BD" w:rsidP="002067E1">
      <w:pPr>
        <w:jc w:val="both"/>
      </w:pPr>
    </w:p>
    <w:p w:rsidR="008B03C0" w:rsidRPr="002A14BD" w:rsidRDefault="008B03C0" w:rsidP="008B03C0">
      <w:pPr>
        <w:jc w:val="both"/>
      </w:pPr>
      <w:r w:rsidRPr="002A14BD">
        <w:rPr>
          <w:b/>
        </w:rPr>
        <w:t xml:space="preserve">Table </w:t>
      </w:r>
      <w:r w:rsidR="00BA3C35" w:rsidRPr="002A14BD">
        <w:rPr>
          <w:b/>
        </w:rPr>
        <w:t>1</w:t>
      </w:r>
      <w:r w:rsidRPr="002A14BD">
        <w:rPr>
          <w:b/>
        </w:rPr>
        <w:t xml:space="preserve"> </w:t>
      </w:r>
      <w:r w:rsidRPr="002A14BD">
        <w:t xml:space="preserve">Correlation coefficients (r) between final grain yield (kg/ha) and other shoot attributes of BASE 80 lines grown under </w:t>
      </w:r>
      <w:r w:rsidR="005454F0" w:rsidRPr="002A14BD">
        <w:t>inadequate P supply and drought</w:t>
      </w:r>
      <w:r w:rsidRPr="002A14BD">
        <w:t xml:space="preserve"> conditions in a</w:t>
      </w:r>
      <w:r w:rsidR="005454F0" w:rsidRPr="002A14BD">
        <w:t>n</w:t>
      </w:r>
      <w:r w:rsidRPr="002A14BD">
        <w:t xml:space="preserve"> </w:t>
      </w:r>
      <w:proofErr w:type="spellStart"/>
      <w:r w:rsidR="005454F0" w:rsidRPr="002A14BD">
        <w:t>Andisol</w:t>
      </w:r>
      <w:proofErr w:type="spellEnd"/>
      <w:r w:rsidRPr="002A14BD">
        <w:t xml:space="preserve"> in </w:t>
      </w:r>
      <w:r w:rsidR="005454F0" w:rsidRPr="002A14BD">
        <w:t>Darien</w:t>
      </w:r>
      <w:r w:rsidRPr="002A14BD">
        <w:t xml:space="preserve"> 201</w:t>
      </w:r>
      <w:r w:rsidR="005454F0" w:rsidRPr="002A14BD">
        <w:t>6</w:t>
      </w:r>
      <w:r w:rsidRPr="002A14BD">
        <w:t>.</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2307"/>
      </w:tblGrid>
      <w:tr w:rsidR="002A14BD" w:rsidRPr="002A14BD" w:rsidTr="008B03C0">
        <w:trPr>
          <w:jc w:val="center"/>
        </w:trPr>
        <w:tc>
          <w:tcPr>
            <w:tcW w:w="3500" w:type="dxa"/>
          </w:tcPr>
          <w:p w:rsidR="008B03C0" w:rsidRPr="002A14BD" w:rsidRDefault="008B03C0" w:rsidP="00F953A5">
            <w:pPr>
              <w:spacing w:after="0" w:line="240" w:lineRule="auto"/>
              <w:jc w:val="center"/>
              <w:rPr>
                <w:b/>
              </w:rPr>
            </w:pPr>
            <w:r w:rsidRPr="002A14BD">
              <w:rPr>
                <w:b/>
              </w:rPr>
              <w:t>Plant traits</w:t>
            </w:r>
          </w:p>
        </w:tc>
        <w:tc>
          <w:tcPr>
            <w:tcW w:w="2307" w:type="dxa"/>
          </w:tcPr>
          <w:p w:rsidR="008B03C0" w:rsidRPr="002A14BD" w:rsidRDefault="008B03C0" w:rsidP="00F953A5">
            <w:pPr>
              <w:spacing w:after="0" w:line="240" w:lineRule="auto"/>
              <w:jc w:val="center"/>
              <w:rPr>
                <w:b/>
              </w:rPr>
            </w:pPr>
            <w:r w:rsidRPr="002A14BD">
              <w:rPr>
                <w:b/>
              </w:rPr>
              <w:t>Inadequate P supply and drought</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SPAD chlorophyll meter readings</w:t>
            </w:r>
          </w:p>
        </w:tc>
        <w:tc>
          <w:tcPr>
            <w:tcW w:w="2307" w:type="dxa"/>
          </w:tcPr>
          <w:p w:rsidR="008B03C0" w:rsidRPr="002A14BD" w:rsidRDefault="008B03C0" w:rsidP="008B03C0">
            <w:pPr>
              <w:spacing w:after="0" w:line="240" w:lineRule="auto"/>
              <w:jc w:val="center"/>
            </w:pPr>
            <w:r w:rsidRPr="002A14BD">
              <w:t>-0.08</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Canopy temperature depression (</w:t>
            </w:r>
            <w:proofErr w:type="spellStart"/>
            <w:r w:rsidRPr="002A14BD">
              <w:rPr>
                <w:vertAlign w:val="superscript"/>
              </w:rPr>
              <w:t>o</w:t>
            </w:r>
            <w:r w:rsidRPr="002A14BD">
              <w:t>C</w:t>
            </w:r>
            <w:proofErr w:type="spellEnd"/>
            <w:r w:rsidRPr="002A14BD">
              <w:t>)</w:t>
            </w:r>
          </w:p>
        </w:tc>
        <w:tc>
          <w:tcPr>
            <w:tcW w:w="2307" w:type="dxa"/>
          </w:tcPr>
          <w:p w:rsidR="008B03C0" w:rsidRPr="002A14BD" w:rsidRDefault="008B03C0" w:rsidP="008B03C0">
            <w:pPr>
              <w:spacing w:after="0" w:line="240" w:lineRule="auto"/>
              <w:jc w:val="center"/>
            </w:pPr>
            <w:r w:rsidRPr="002A14BD">
              <w:t>0.12</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Canopy biomass (kg ha</w:t>
            </w:r>
            <w:r w:rsidRPr="002A14BD">
              <w:rPr>
                <w:vertAlign w:val="superscript"/>
              </w:rPr>
              <w:t>-1</w:t>
            </w:r>
            <w:r w:rsidRPr="002A14BD">
              <w:t>)</w:t>
            </w:r>
          </w:p>
        </w:tc>
        <w:tc>
          <w:tcPr>
            <w:tcW w:w="2307" w:type="dxa"/>
          </w:tcPr>
          <w:p w:rsidR="008B03C0" w:rsidRPr="002A14BD" w:rsidRDefault="008B03C0" w:rsidP="008B03C0">
            <w:pPr>
              <w:spacing w:after="0" w:line="240" w:lineRule="auto"/>
              <w:jc w:val="center"/>
            </w:pPr>
            <w:r w:rsidRPr="002A14BD">
              <w:t>0.39***</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Pod partitioning index (%)</w:t>
            </w:r>
          </w:p>
        </w:tc>
        <w:tc>
          <w:tcPr>
            <w:tcW w:w="2307" w:type="dxa"/>
          </w:tcPr>
          <w:p w:rsidR="008B03C0" w:rsidRPr="002A14BD" w:rsidRDefault="00553FA6" w:rsidP="008B03C0">
            <w:pPr>
              <w:spacing w:after="0" w:line="240" w:lineRule="auto"/>
              <w:jc w:val="center"/>
            </w:pPr>
            <w:r w:rsidRPr="002A14BD">
              <w:t>0.09</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Harvest index (%)</w:t>
            </w:r>
          </w:p>
        </w:tc>
        <w:tc>
          <w:tcPr>
            <w:tcW w:w="2307" w:type="dxa"/>
          </w:tcPr>
          <w:p w:rsidR="008B03C0" w:rsidRPr="002A14BD" w:rsidRDefault="00553FA6" w:rsidP="008B03C0">
            <w:pPr>
              <w:spacing w:after="0" w:line="240" w:lineRule="auto"/>
              <w:jc w:val="center"/>
            </w:pPr>
            <w:r w:rsidRPr="002A14BD">
              <w:t>0.13*</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Pod harvest index (%)</w:t>
            </w:r>
          </w:p>
        </w:tc>
        <w:tc>
          <w:tcPr>
            <w:tcW w:w="2307" w:type="dxa"/>
          </w:tcPr>
          <w:p w:rsidR="008B03C0" w:rsidRPr="002A14BD" w:rsidRDefault="00553FA6" w:rsidP="008B03C0">
            <w:pPr>
              <w:spacing w:after="0" w:line="240" w:lineRule="auto"/>
              <w:jc w:val="center"/>
            </w:pPr>
            <w:r w:rsidRPr="002A14BD">
              <w:t>0.28***</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Pod number per area (no. m</w:t>
            </w:r>
            <w:r w:rsidRPr="002A14BD">
              <w:rPr>
                <w:vertAlign w:val="superscript"/>
              </w:rPr>
              <w:t>-2</w:t>
            </w:r>
            <w:r w:rsidRPr="002A14BD">
              <w:t>)</w:t>
            </w:r>
          </w:p>
        </w:tc>
        <w:tc>
          <w:tcPr>
            <w:tcW w:w="2307" w:type="dxa"/>
          </w:tcPr>
          <w:p w:rsidR="008B03C0" w:rsidRPr="002A14BD" w:rsidRDefault="00553FA6" w:rsidP="008B03C0">
            <w:pPr>
              <w:spacing w:after="0" w:line="240" w:lineRule="auto"/>
              <w:jc w:val="center"/>
            </w:pPr>
            <w:r w:rsidRPr="002A14BD">
              <w:t>0.39***</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Seed number per area (no. m</w:t>
            </w:r>
            <w:r w:rsidRPr="002A14BD">
              <w:rPr>
                <w:vertAlign w:val="superscript"/>
              </w:rPr>
              <w:t>-2</w:t>
            </w:r>
            <w:r w:rsidRPr="002A14BD">
              <w:t>)</w:t>
            </w:r>
          </w:p>
        </w:tc>
        <w:tc>
          <w:tcPr>
            <w:tcW w:w="2307" w:type="dxa"/>
          </w:tcPr>
          <w:p w:rsidR="008B03C0" w:rsidRPr="002A14BD" w:rsidRDefault="00553FA6" w:rsidP="008B03C0">
            <w:pPr>
              <w:spacing w:after="0" w:line="240" w:lineRule="auto"/>
              <w:jc w:val="center"/>
            </w:pPr>
            <w:r w:rsidRPr="002A14BD">
              <w:t>0.42***</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Basal root whorl number</w:t>
            </w:r>
          </w:p>
        </w:tc>
        <w:tc>
          <w:tcPr>
            <w:tcW w:w="2307" w:type="dxa"/>
          </w:tcPr>
          <w:p w:rsidR="008B03C0" w:rsidRPr="002A14BD" w:rsidRDefault="00553FA6" w:rsidP="008B03C0">
            <w:pPr>
              <w:spacing w:after="0" w:line="240" w:lineRule="auto"/>
              <w:jc w:val="center"/>
            </w:pPr>
            <w:r w:rsidRPr="002A14BD">
              <w:t>0.06</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Basal root number</w:t>
            </w:r>
          </w:p>
        </w:tc>
        <w:tc>
          <w:tcPr>
            <w:tcW w:w="2307" w:type="dxa"/>
          </w:tcPr>
          <w:p w:rsidR="008B03C0" w:rsidRPr="002A14BD" w:rsidRDefault="00553FA6" w:rsidP="008B03C0">
            <w:pPr>
              <w:spacing w:after="0" w:line="240" w:lineRule="auto"/>
              <w:jc w:val="center"/>
            </w:pPr>
            <w:r w:rsidRPr="002A14BD">
              <w:t>0.07</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Adventitious root number</w:t>
            </w:r>
          </w:p>
        </w:tc>
        <w:tc>
          <w:tcPr>
            <w:tcW w:w="2307" w:type="dxa"/>
          </w:tcPr>
          <w:p w:rsidR="008B03C0" w:rsidRPr="002A14BD" w:rsidRDefault="00553FA6" w:rsidP="008B03C0">
            <w:pPr>
              <w:spacing w:after="0" w:line="240" w:lineRule="auto"/>
              <w:jc w:val="center"/>
            </w:pPr>
            <w:r w:rsidRPr="002A14BD">
              <w:t>-0.07</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Tap root branching density</w:t>
            </w:r>
          </w:p>
        </w:tc>
        <w:tc>
          <w:tcPr>
            <w:tcW w:w="2307" w:type="dxa"/>
          </w:tcPr>
          <w:p w:rsidR="008B03C0" w:rsidRPr="002A14BD" w:rsidRDefault="00553FA6" w:rsidP="008B03C0">
            <w:pPr>
              <w:spacing w:after="0" w:line="240" w:lineRule="auto"/>
              <w:jc w:val="center"/>
            </w:pPr>
            <w:r w:rsidRPr="002A14BD">
              <w:t>-0.08</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3rd order branching density</w:t>
            </w:r>
          </w:p>
        </w:tc>
        <w:tc>
          <w:tcPr>
            <w:tcW w:w="2307" w:type="dxa"/>
          </w:tcPr>
          <w:p w:rsidR="008B03C0" w:rsidRPr="002A14BD" w:rsidRDefault="00553FA6" w:rsidP="008B03C0">
            <w:pPr>
              <w:spacing w:after="0" w:line="240" w:lineRule="auto"/>
              <w:jc w:val="center"/>
            </w:pPr>
            <w:r w:rsidRPr="002A14BD">
              <w:t>0.12</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Minimum basal root growth angle</w:t>
            </w:r>
          </w:p>
        </w:tc>
        <w:tc>
          <w:tcPr>
            <w:tcW w:w="2307" w:type="dxa"/>
          </w:tcPr>
          <w:p w:rsidR="008B03C0" w:rsidRPr="002A14BD" w:rsidRDefault="00553FA6" w:rsidP="00553FA6">
            <w:pPr>
              <w:spacing w:after="0" w:line="240" w:lineRule="auto"/>
              <w:jc w:val="center"/>
            </w:pPr>
            <w:r w:rsidRPr="002A14BD">
              <w:t>-0.06</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Maximum basal root growth angle</w:t>
            </w:r>
          </w:p>
        </w:tc>
        <w:tc>
          <w:tcPr>
            <w:tcW w:w="2307" w:type="dxa"/>
          </w:tcPr>
          <w:p w:rsidR="008B03C0" w:rsidRPr="002A14BD" w:rsidRDefault="00553FA6" w:rsidP="008B03C0">
            <w:pPr>
              <w:spacing w:after="0" w:line="240" w:lineRule="auto"/>
              <w:jc w:val="center"/>
            </w:pPr>
            <w:r w:rsidRPr="002A14BD">
              <w:t>-0.18**</w:t>
            </w:r>
          </w:p>
        </w:tc>
      </w:tr>
      <w:tr w:rsidR="002A14BD" w:rsidRPr="002A14BD" w:rsidTr="008B03C0">
        <w:trPr>
          <w:jc w:val="center"/>
        </w:trPr>
        <w:tc>
          <w:tcPr>
            <w:tcW w:w="3500" w:type="dxa"/>
          </w:tcPr>
          <w:p w:rsidR="008B03C0" w:rsidRPr="002A14BD" w:rsidRDefault="008B03C0" w:rsidP="00F953A5">
            <w:pPr>
              <w:spacing w:after="0" w:line="240" w:lineRule="auto"/>
              <w:jc w:val="both"/>
            </w:pPr>
            <w:r w:rsidRPr="002A14BD">
              <w:t>Nodule score</w:t>
            </w:r>
          </w:p>
        </w:tc>
        <w:tc>
          <w:tcPr>
            <w:tcW w:w="2307" w:type="dxa"/>
          </w:tcPr>
          <w:p w:rsidR="008B03C0" w:rsidRPr="002A14BD" w:rsidRDefault="00553FA6" w:rsidP="008B03C0">
            <w:pPr>
              <w:spacing w:after="0" w:line="240" w:lineRule="auto"/>
              <w:jc w:val="center"/>
            </w:pPr>
            <w:r w:rsidRPr="002A14BD">
              <w:t>0.25***</w:t>
            </w:r>
          </w:p>
        </w:tc>
      </w:tr>
    </w:tbl>
    <w:p w:rsidR="00CD67CA" w:rsidRPr="002A14BD" w:rsidRDefault="008B03C0" w:rsidP="00E3687F">
      <w:pPr>
        <w:jc w:val="both"/>
      </w:pPr>
      <w:r w:rsidRPr="002A14BD">
        <w:t>*, **, *** Significant at the 0.05, 0.01 and 0.001 probability levels, respectively.</w:t>
      </w:r>
    </w:p>
    <w:sectPr w:rsidR="00CD67CA" w:rsidRPr="002A14BD" w:rsidSect="00210AB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BF"/>
    <w:rsid w:val="00017447"/>
    <w:rsid w:val="0007696A"/>
    <w:rsid w:val="001658CC"/>
    <w:rsid w:val="001864AE"/>
    <w:rsid w:val="00187CEC"/>
    <w:rsid w:val="002067E1"/>
    <w:rsid w:val="00210ABF"/>
    <w:rsid w:val="00266BE1"/>
    <w:rsid w:val="002A14BD"/>
    <w:rsid w:val="002C404F"/>
    <w:rsid w:val="003A70A7"/>
    <w:rsid w:val="00404353"/>
    <w:rsid w:val="005454F0"/>
    <w:rsid w:val="00553FA6"/>
    <w:rsid w:val="0082014F"/>
    <w:rsid w:val="008B03C0"/>
    <w:rsid w:val="009100D4"/>
    <w:rsid w:val="009848B7"/>
    <w:rsid w:val="009B5523"/>
    <w:rsid w:val="00A72A3F"/>
    <w:rsid w:val="00AC7857"/>
    <w:rsid w:val="00BA3C35"/>
    <w:rsid w:val="00BC69E2"/>
    <w:rsid w:val="00C91804"/>
    <w:rsid w:val="00CD67CA"/>
    <w:rsid w:val="00D52BA7"/>
    <w:rsid w:val="00DE1D1F"/>
    <w:rsid w:val="00E3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AC38D2-162A-4B2A-9CA4-803AE23E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Polania, Jose Arnulfo (CIAT)</dc:creator>
  <cp:keywords/>
  <dc:description/>
  <cp:lastModifiedBy>Beebe, Steve (CIAT)</cp:lastModifiedBy>
  <cp:revision>2</cp:revision>
  <dcterms:created xsi:type="dcterms:W3CDTF">2017-02-02T16:45:00Z</dcterms:created>
  <dcterms:modified xsi:type="dcterms:W3CDTF">2017-02-02T16:45:00Z</dcterms:modified>
</cp:coreProperties>
</file>