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04" w:rsidRPr="00B00FA6" w:rsidRDefault="00437304" w:rsidP="00437304">
      <w:pPr>
        <w:shd w:val="clear" w:color="auto" w:fill="FFFFFF"/>
        <w:jc w:val="both"/>
        <w:rPr>
          <w:b/>
          <w:sz w:val="22"/>
          <w:szCs w:val="22"/>
        </w:rPr>
      </w:pPr>
      <w:r w:rsidRPr="00B00FA6">
        <w:rPr>
          <w:b/>
          <w:sz w:val="22"/>
          <w:szCs w:val="22"/>
        </w:rPr>
        <w:t>3. Extra-early maturing chickpea and lentil varieties</w:t>
      </w:r>
    </w:p>
    <w:p w:rsidR="00437304" w:rsidRPr="00B00FA6" w:rsidRDefault="00437304" w:rsidP="00437304">
      <w:pPr>
        <w:shd w:val="clear" w:color="auto" w:fill="FFFFFF"/>
        <w:jc w:val="both"/>
        <w:rPr>
          <w:sz w:val="22"/>
          <w:szCs w:val="22"/>
        </w:rPr>
      </w:pPr>
      <w:r w:rsidRPr="00B00FA6">
        <w:rPr>
          <w:b/>
          <w:sz w:val="22"/>
          <w:szCs w:val="22"/>
        </w:rPr>
        <w:t xml:space="preserve">Activities: </w:t>
      </w:r>
      <w:bookmarkStart w:id="0" w:name="_GoBack"/>
      <w:r w:rsidRPr="00B00FA6">
        <w:rPr>
          <w:sz w:val="22"/>
          <w:szCs w:val="22"/>
        </w:rPr>
        <w:t xml:space="preserve">Evaluation early and extra-early chickpea lines for grain yield and other adaptive traits </w:t>
      </w:r>
      <w:bookmarkEnd w:id="0"/>
      <w:r w:rsidRPr="00B00FA6">
        <w:rPr>
          <w:sz w:val="22"/>
          <w:szCs w:val="22"/>
        </w:rPr>
        <w:t>in Ethiopia</w:t>
      </w:r>
    </w:p>
    <w:p w:rsidR="00437304" w:rsidRPr="00B00FA6" w:rsidRDefault="00437304" w:rsidP="00437304">
      <w:pPr>
        <w:shd w:val="clear" w:color="auto" w:fill="FFFFFF"/>
        <w:jc w:val="both"/>
        <w:rPr>
          <w:b/>
          <w:sz w:val="22"/>
          <w:szCs w:val="22"/>
        </w:rPr>
      </w:pPr>
    </w:p>
    <w:p w:rsidR="00437304" w:rsidRPr="00B00FA6" w:rsidRDefault="00437304" w:rsidP="00437304">
      <w:pPr>
        <w:jc w:val="both"/>
        <w:rPr>
          <w:rFonts w:eastAsia="Calibri"/>
          <w:b/>
          <w:sz w:val="22"/>
          <w:szCs w:val="22"/>
        </w:rPr>
      </w:pPr>
      <w:proofErr w:type="gramStart"/>
      <w:r w:rsidRPr="00B00FA6">
        <w:rPr>
          <w:rFonts w:eastAsia="Calibri"/>
          <w:b/>
          <w:sz w:val="22"/>
          <w:szCs w:val="22"/>
        </w:rPr>
        <w:t>Objective :</w:t>
      </w:r>
      <w:proofErr w:type="gramEnd"/>
    </w:p>
    <w:p w:rsidR="00437304" w:rsidRPr="00B00FA6" w:rsidRDefault="00437304" w:rsidP="00437304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B00FA6">
        <w:rPr>
          <w:rFonts w:eastAsia="Calibri"/>
          <w:sz w:val="22"/>
          <w:szCs w:val="22"/>
        </w:rPr>
        <w:t xml:space="preserve">1. </w:t>
      </w:r>
      <w:r w:rsidRPr="00B00FA6">
        <w:rPr>
          <w:rFonts w:eastAsia="Calibri"/>
          <w:color w:val="000000"/>
          <w:sz w:val="22"/>
          <w:szCs w:val="22"/>
        </w:rPr>
        <w:t>To identify high yielding early maturing chickpea lines.</w:t>
      </w:r>
    </w:p>
    <w:p w:rsidR="00437304" w:rsidRPr="00B00FA6" w:rsidRDefault="00437304" w:rsidP="00437304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B00FA6">
        <w:rPr>
          <w:rFonts w:eastAsia="Calibri"/>
          <w:color w:val="000000"/>
          <w:sz w:val="22"/>
          <w:szCs w:val="22"/>
        </w:rPr>
        <w:t>2. To identify chickpea lines that fits double cropping system.</w:t>
      </w:r>
    </w:p>
    <w:p w:rsidR="00437304" w:rsidRPr="00B00FA6" w:rsidRDefault="00437304" w:rsidP="00437304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B00FA6">
        <w:rPr>
          <w:rFonts w:eastAsia="Calibri"/>
          <w:color w:val="000000"/>
          <w:sz w:val="22"/>
          <w:szCs w:val="22"/>
        </w:rPr>
        <w:t>3. To identify lines that escape terminal drought and disease</w:t>
      </w:r>
    </w:p>
    <w:p w:rsidR="00437304" w:rsidRPr="00B00FA6" w:rsidRDefault="00437304" w:rsidP="00437304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B00FA6">
        <w:rPr>
          <w:rFonts w:eastAsia="Calibri"/>
          <w:b/>
          <w:sz w:val="22"/>
          <w:szCs w:val="22"/>
        </w:rPr>
        <w:t xml:space="preserve">M&amp;M: </w:t>
      </w:r>
    </w:p>
    <w:p w:rsidR="00437304" w:rsidRPr="00B00FA6" w:rsidRDefault="00437304" w:rsidP="00437304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B00FA6">
        <w:rPr>
          <w:rFonts w:eastAsia="Calibri"/>
          <w:sz w:val="22"/>
          <w:szCs w:val="22"/>
        </w:rPr>
        <w:t>Fifteen  early and extra early maturing chickpea lines including the standard checks (‘</w:t>
      </w:r>
      <w:proofErr w:type="spellStart"/>
      <w:r w:rsidRPr="00B00FA6">
        <w:rPr>
          <w:rFonts w:eastAsia="Calibri"/>
          <w:sz w:val="22"/>
          <w:szCs w:val="22"/>
        </w:rPr>
        <w:t>Ejere</w:t>
      </w:r>
      <w:proofErr w:type="spellEnd"/>
      <w:r w:rsidRPr="00B00FA6">
        <w:rPr>
          <w:rFonts w:eastAsia="Calibri"/>
          <w:sz w:val="22"/>
          <w:szCs w:val="22"/>
        </w:rPr>
        <w:t>’ and ‘</w:t>
      </w:r>
      <w:proofErr w:type="spellStart"/>
      <w:r w:rsidRPr="00B00FA6">
        <w:rPr>
          <w:rFonts w:eastAsia="Calibri"/>
          <w:sz w:val="22"/>
          <w:szCs w:val="22"/>
        </w:rPr>
        <w:t>Minjar</w:t>
      </w:r>
      <w:proofErr w:type="spellEnd"/>
      <w:r w:rsidRPr="00B00FA6">
        <w:rPr>
          <w:rFonts w:eastAsia="Calibri"/>
          <w:sz w:val="22"/>
          <w:szCs w:val="22"/>
        </w:rPr>
        <w:t xml:space="preserve">’) were evaluated for earliness at </w:t>
      </w:r>
      <w:proofErr w:type="spellStart"/>
      <w:r w:rsidRPr="00B00FA6">
        <w:rPr>
          <w:rFonts w:eastAsia="Calibri"/>
          <w:sz w:val="22"/>
          <w:szCs w:val="22"/>
        </w:rPr>
        <w:t>Debre</w:t>
      </w:r>
      <w:proofErr w:type="spellEnd"/>
      <w:r w:rsidRPr="00B00FA6">
        <w:rPr>
          <w:rFonts w:eastAsia="Calibri"/>
          <w:sz w:val="22"/>
          <w:szCs w:val="22"/>
        </w:rPr>
        <w:t xml:space="preserve"> </w:t>
      </w:r>
      <w:proofErr w:type="spellStart"/>
      <w:r w:rsidRPr="00B00FA6">
        <w:rPr>
          <w:rFonts w:eastAsia="Calibri"/>
          <w:sz w:val="22"/>
          <w:szCs w:val="22"/>
        </w:rPr>
        <w:t>Zeit</w:t>
      </w:r>
      <w:proofErr w:type="spellEnd"/>
      <w:r w:rsidRPr="00B00FA6">
        <w:rPr>
          <w:rFonts w:eastAsia="Calibri"/>
          <w:sz w:val="22"/>
          <w:szCs w:val="22"/>
        </w:rPr>
        <w:t xml:space="preserve"> during </w:t>
      </w:r>
      <w:r w:rsidRPr="00B00FA6">
        <w:rPr>
          <w:rFonts w:eastAsia="Calibri"/>
          <w:color w:val="000000"/>
          <w:sz w:val="22"/>
          <w:szCs w:val="22"/>
        </w:rPr>
        <w:t>2014 off season, 2014 main season, 2015 main season and</w:t>
      </w:r>
      <w:r w:rsidRPr="00B00FA6">
        <w:rPr>
          <w:rFonts w:eastAsia="Calibri"/>
          <w:sz w:val="22"/>
          <w:szCs w:val="22"/>
        </w:rPr>
        <w:t xml:space="preserve"> 2016 main season.</w:t>
      </w:r>
      <w:r w:rsidRPr="00B00FA6">
        <w:rPr>
          <w:rFonts w:eastAsia="Calibri"/>
          <w:color w:val="111111"/>
          <w:sz w:val="22"/>
          <w:szCs w:val="22"/>
        </w:rPr>
        <w:t xml:space="preserve"> (</w:t>
      </w:r>
      <w:r w:rsidRPr="00B00FA6">
        <w:rPr>
          <w:rFonts w:eastAsia="Calibri"/>
          <w:color w:val="000000"/>
          <w:sz w:val="22"/>
          <w:szCs w:val="22"/>
        </w:rPr>
        <w:t>The first 6 lines were repeated for 3 seasons (2014 off season, 2014 main season and 2015 main season. while the others were replaced by line 7 and line 8 which were included in the trial since 2015 main season. Line 9-13 are included in the trial starting from 2016 main season</w:t>
      </w:r>
      <w:r w:rsidRPr="00B00FA6">
        <w:rPr>
          <w:rFonts w:eastAsia="Calibri"/>
          <w:color w:val="111111"/>
          <w:sz w:val="22"/>
          <w:szCs w:val="22"/>
        </w:rPr>
        <w:t xml:space="preserve">). The treatments were laid on </w:t>
      </w:r>
      <w:r w:rsidRPr="00B00FA6">
        <w:rPr>
          <w:rFonts w:eastAsia="Calibri"/>
          <w:sz w:val="22"/>
          <w:szCs w:val="22"/>
        </w:rPr>
        <w:t>Randomized Complete Block Design (RCBD) with three replications. The gross plot size was 4.8m2</w:t>
      </w:r>
      <w:r w:rsidRPr="00B00FA6">
        <w:rPr>
          <w:rFonts w:eastAsia="Calibri"/>
          <w:color w:val="111111"/>
          <w:sz w:val="22"/>
          <w:szCs w:val="22"/>
        </w:rPr>
        <w:t xml:space="preserve">(4mx1.2m) accommodating 4 rows of </w:t>
      </w:r>
      <w:r w:rsidRPr="00B00FA6">
        <w:rPr>
          <w:rFonts w:eastAsia="Calibri"/>
          <w:sz w:val="22"/>
          <w:szCs w:val="22"/>
        </w:rPr>
        <w:t>4m</w:t>
      </w:r>
      <w:r w:rsidRPr="00B00FA6">
        <w:rPr>
          <w:rFonts w:eastAsia="Calibri"/>
          <w:color w:val="111111"/>
          <w:sz w:val="22"/>
          <w:szCs w:val="22"/>
        </w:rPr>
        <w:t xml:space="preserve"> length. The seeds were sown using spacing of 30cm between rows and 10cm between plants. Harvesting was done from two central rows of each plot </w:t>
      </w:r>
      <w:r w:rsidRPr="00B00FA6">
        <w:rPr>
          <w:rFonts w:eastAsia="Calibri"/>
          <w:sz w:val="22"/>
          <w:szCs w:val="22"/>
        </w:rPr>
        <w:t>(2.4m</w:t>
      </w:r>
      <w:r w:rsidRPr="00B00FA6">
        <w:rPr>
          <w:rFonts w:eastAsia="Calibri"/>
          <w:sz w:val="22"/>
          <w:szCs w:val="22"/>
          <w:vertAlign w:val="superscript"/>
        </w:rPr>
        <w:t>2</w:t>
      </w:r>
      <w:r w:rsidRPr="00B00FA6">
        <w:rPr>
          <w:rFonts w:eastAsia="Calibri"/>
          <w:color w:val="111111"/>
          <w:sz w:val="22"/>
          <w:szCs w:val="22"/>
        </w:rPr>
        <w:t xml:space="preserve">). </w:t>
      </w:r>
      <w:r w:rsidRPr="00B00FA6">
        <w:rPr>
          <w:rFonts w:eastAsia="Calibri"/>
          <w:sz w:val="22"/>
          <w:szCs w:val="22"/>
        </w:rPr>
        <w:t xml:space="preserve">All data (DFF= days to first flowering, DFFF= days to 50% flowering, DFP= days to first </w:t>
      </w:r>
      <w:proofErr w:type="spellStart"/>
      <w:r w:rsidRPr="00B00FA6">
        <w:rPr>
          <w:rFonts w:eastAsia="Calibri"/>
          <w:sz w:val="22"/>
          <w:szCs w:val="22"/>
        </w:rPr>
        <w:t>podding</w:t>
      </w:r>
      <w:proofErr w:type="spellEnd"/>
      <w:r w:rsidRPr="00B00FA6">
        <w:rPr>
          <w:rFonts w:eastAsia="Calibri"/>
          <w:sz w:val="22"/>
          <w:szCs w:val="22"/>
        </w:rPr>
        <w:t xml:space="preserve">, DEP= days to end of </w:t>
      </w:r>
      <w:proofErr w:type="spellStart"/>
      <w:r w:rsidRPr="00B00FA6">
        <w:rPr>
          <w:rFonts w:eastAsia="Calibri"/>
          <w:sz w:val="22"/>
          <w:szCs w:val="22"/>
        </w:rPr>
        <w:t>podding</w:t>
      </w:r>
      <w:proofErr w:type="spellEnd"/>
      <w:r w:rsidRPr="00B00FA6">
        <w:rPr>
          <w:rFonts w:eastAsia="Calibri"/>
          <w:sz w:val="22"/>
          <w:szCs w:val="22"/>
        </w:rPr>
        <w:t>, DM= days to maturity,  MP = Maturity Period (DM-DFF), NBR= Number of primary branches, FPH= First pod height, PPP = Number of pods per plant, SPP = Number of seeds per plant, HSW = Hundred seed weight, YLD= grain yield/ha, BYLD= biomass yield/ha, HI= harvest index were taken and subjected to statistical analysis, except  for 2016 main season trial.</w:t>
      </w:r>
      <w:r w:rsidRPr="00B00FA6">
        <w:rPr>
          <w:rFonts w:eastAsia="Calibri"/>
          <w:color w:val="000000"/>
          <w:sz w:val="22"/>
          <w:szCs w:val="22"/>
        </w:rPr>
        <w:t xml:space="preserve"> List of chickpea lines evaluated for earliness are indicated in the graph with their relative performances in yield and maturity periods.</w:t>
      </w:r>
    </w:p>
    <w:p w:rsidR="00437304" w:rsidRPr="00B00FA6" w:rsidRDefault="00437304" w:rsidP="00437304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B00FA6">
        <w:rPr>
          <w:rFonts w:eastAsia="Calibri"/>
          <w:color w:val="000000"/>
          <w:sz w:val="22"/>
          <w:szCs w:val="22"/>
        </w:rPr>
        <w:t xml:space="preserve"> </w:t>
      </w:r>
    </w:p>
    <w:p w:rsidR="00437304" w:rsidRPr="00B00FA6" w:rsidRDefault="00437304" w:rsidP="00437304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</w:p>
    <w:p w:rsidR="00437304" w:rsidRPr="00B00FA6" w:rsidRDefault="00437304" w:rsidP="00437304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</w:p>
    <w:p w:rsidR="00437304" w:rsidRPr="00B00FA6" w:rsidRDefault="00437304" w:rsidP="00437304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B00FA6">
        <w:rPr>
          <w:rFonts w:eastAsia="Calibri"/>
          <w:noProof/>
          <w:color w:val="000000"/>
          <w:sz w:val="22"/>
          <w:szCs w:val="22"/>
        </w:rPr>
        <w:drawing>
          <wp:inline distT="0" distB="0" distL="0" distR="0">
            <wp:extent cx="6534150" cy="1953895"/>
            <wp:effectExtent l="0" t="0" r="0" b="825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37304" w:rsidRPr="00B00FA6" w:rsidRDefault="00437304" w:rsidP="00437304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B00FA6">
        <w:rPr>
          <w:rFonts w:eastAsia="Calibri"/>
          <w:color w:val="000000"/>
          <w:sz w:val="22"/>
          <w:szCs w:val="22"/>
        </w:rPr>
        <w:lastRenderedPageBreak/>
        <w:t xml:space="preserve">However, the yield responses of the genotype set could not be consistent in responses. Maturity date ranged </w:t>
      </w:r>
      <w:proofErr w:type="gramStart"/>
      <w:r w:rsidRPr="00B00FA6">
        <w:rPr>
          <w:rFonts w:eastAsia="Calibri"/>
          <w:color w:val="000000"/>
          <w:sz w:val="22"/>
          <w:szCs w:val="22"/>
        </w:rPr>
        <w:t>between 101-111,</w:t>
      </w:r>
      <w:proofErr w:type="gramEnd"/>
      <w:r w:rsidRPr="00B00FA6">
        <w:rPr>
          <w:rFonts w:eastAsia="Calibri"/>
          <w:color w:val="000000"/>
          <w:sz w:val="22"/>
          <w:szCs w:val="22"/>
        </w:rPr>
        <w:t xml:space="preserve"> and the yield of the standard check, </w:t>
      </w:r>
      <w:proofErr w:type="spellStart"/>
      <w:r w:rsidRPr="00B00FA6">
        <w:rPr>
          <w:rFonts w:eastAsia="Calibri"/>
          <w:color w:val="000000"/>
          <w:sz w:val="22"/>
          <w:szCs w:val="22"/>
        </w:rPr>
        <w:t>Ejere</w:t>
      </w:r>
      <w:proofErr w:type="spellEnd"/>
      <w:r w:rsidRPr="00B00FA6">
        <w:rPr>
          <w:rFonts w:eastAsia="Calibri"/>
          <w:color w:val="000000"/>
          <w:sz w:val="22"/>
          <w:szCs w:val="22"/>
        </w:rPr>
        <w:t xml:space="preserve"> was still outsmarting. On the other hand, those materials supposed to be clustered under super early </w:t>
      </w:r>
      <w:proofErr w:type="gramStart"/>
      <w:r w:rsidRPr="00B00FA6">
        <w:rPr>
          <w:rFonts w:eastAsia="Calibri"/>
          <w:color w:val="000000"/>
          <w:sz w:val="22"/>
          <w:szCs w:val="22"/>
        </w:rPr>
        <w:t>sets(</w:t>
      </w:r>
      <w:proofErr w:type="gramEnd"/>
      <w:r w:rsidRPr="00B00FA6">
        <w:rPr>
          <w:rFonts w:eastAsia="Calibri"/>
          <w:color w:val="000000"/>
          <w:sz w:val="22"/>
          <w:szCs w:val="22"/>
        </w:rPr>
        <w:t xml:space="preserve">below 90 days of maturity) could not maintain while they are in Ethiopian Ecology. Hence, they clustered under early maturing group. </w:t>
      </w:r>
    </w:p>
    <w:p w:rsidR="00437304" w:rsidRPr="00B00FA6" w:rsidRDefault="00437304" w:rsidP="00437304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</w:p>
    <w:p w:rsidR="00437304" w:rsidRPr="00B00FA6" w:rsidRDefault="00437304" w:rsidP="00437304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B00FA6">
        <w:rPr>
          <w:rFonts w:eastAsia="Calibri"/>
          <w:b/>
          <w:color w:val="000000"/>
          <w:sz w:val="22"/>
          <w:szCs w:val="22"/>
        </w:rPr>
        <w:t>Next step</w:t>
      </w:r>
      <w:r w:rsidRPr="00B00FA6">
        <w:rPr>
          <w:rFonts w:eastAsia="Calibri"/>
          <w:color w:val="000000"/>
          <w:sz w:val="22"/>
          <w:szCs w:val="22"/>
        </w:rPr>
        <w:t xml:space="preserve">: The main focus in </w:t>
      </w:r>
      <w:proofErr w:type="spellStart"/>
      <w:r w:rsidRPr="00B00FA6">
        <w:rPr>
          <w:rFonts w:eastAsia="Calibri"/>
          <w:color w:val="000000"/>
          <w:sz w:val="22"/>
          <w:szCs w:val="22"/>
        </w:rPr>
        <w:t>phenological</w:t>
      </w:r>
      <w:proofErr w:type="spellEnd"/>
      <w:r w:rsidRPr="00B00FA6">
        <w:rPr>
          <w:rFonts w:eastAsia="Calibri"/>
          <w:color w:val="000000"/>
          <w:sz w:val="22"/>
          <w:szCs w:val="22"/>
        </w:rPr>
        <w:t xml:space="preserve"> breeding is to attain early maturing and high yielding composed genotypes. Hence, the effort would be contributing with aggregating resources of more number to come up with competent varieties of </w:t>
      </w:r>
      <w:proofErr w:type="gramStart"/>
      <w:r w:rsidRPr="00B00FA6">
        <w:rPr>
          <w:rFonts w:eastAsia="Calibri"/>
          <w:color w:val="000000"/>
          <w:sz w:val="22"/>
          <w:szCs w:val="22"/>
        </w:rPr>
        <w:t>farmers</w:t>
      </w:r>
      <w:proofErr w:type="gramEnd"/>
      <w:r w:rsidRPr="00B00FA6">
        <w:rPr>
          <w:rFonts w:eastAsia="Calibri"/>
          <w:color w:val="000000"/>
          <w:sz w:val="22"/>
          <w:szCs w:val="22"/>
        </w:rPr>
        <w:t xml:space="preserve"> preferences.  </w:t>
      </w:r>
    </w:p>
    <w:p w:rsidR="0083777E" w:rsidRDefault="0083777E"/>
    <w:sectPr w:rsidR="00837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E1"/>
    <w:rsid w:val="00437304"/>
    <w:rsid w:val="0083777E"/>
    <w:rsid w:val="008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8A9F0-62FE-413E-94EE-A51FE55F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0.11265507436570428"/>
          <c:y val="5.1400554097404488E-2"/>
          <c:w val="0.87694356955380615"/>
          <c:h val="0.44611876640419945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Sheet6!$B$3</c:f>
              <c:strCache>
                <c:ptCount val="1"/>
                <c:pt idx="0">
                  <c:v>DM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Sheet6!$A$4:$A$18</c:f>
              <c:strCache>
                <c:ptCount val="15"/>
                <c:pt idx="0">
                  <c:v>ICCV-10103 (D)</c:v>
                </c:pt>
                <c:pt idx="1">
                  <c:v>ICCV-09311 (K)</c:v>
                </c:pt>
                <c:pt idx="2">
                  <c:v>ICCV-10409 (K)</c:v>
                </c:pt>
                <c:pt idx="3">
                  <c:v>ICCV-07313 (K)</c:v>
                </c:pt>
                <c:pt idx="4">
                  <c:v> ICCV-09304 (K)</c:v>
                </c:pt>
                <c:pt idx="5">
                  <c:v>ICCV-09315 (K)</c:v>
                </c:pt>
                <c:pt idx="6">
                  <c:v> ICCV-10107 (D)</c:v>
                </c:pt>
                <c:pt idx="7">
                  <c:v> ICCV-10311 (K)</c:v>
                </c:pt>
                <c:pt idx="8">
                  <c:v> ICCV-09318 (K)</c:v>
                </c:pt>
                <c:pt idx="9">
                  <c:v> ICCV-09309 (D)</c:v>
                </c:pt>
                <c:pt idx="10">
                  <c:v> ICCV-09307 (K)</c:v>
                </c:pt>
                <c:pt idx="11">
                  <c:v> ICCX-060039-F3-P80-BP (D)</c:v>
                </c:pt>
                <c:pt idx="12">
                  <c:v> ICCV-09305 (K)</c:v>
                </c:pt>
                <c:pt idx="13">
                  <c:v>EJERE (K)</c:v>
                </c:pt>
                <c:pt idx="14">
                  <c:v>MINJAR (D)</c:v>
                </c:pt>
              </c:strCache>
            </c:strRef>
          </c:cat>
          <c:val>
            <c:numRef>
              <c:f>Sheet6!$B$4:$B$18</c:f>
              <c:numCache>
                <c:formatCode>General</c:formatCode>
                <c:ptCount val="15"/>
                <c:pt idx="0">
                  <c:v>110.7</c:v>
                </c:pt>
                <c:pt idx="1">
                  <c:v>108</c:v>
                </c:pt>
                <c:pt idx="2">
                  <c:v>107.3</c:v>
                </c:pt>
                <c:pt idx="3">
                  <c:v>107</c:v>
                </c:pt>
                <c:pt idx="4">
                  <c:v>101</c:v>
                </c:pt>
                <c:pt idx="5">
                  <c:v>106.7</c:v>
                </c:pt>
                <c:pt idx="6">
                  <c:v>107.7</c:v>
                </c:pt>
                <c:pt idx="7">
                  <c:v>105.3</c:v>
                </c:pt>
                <c:pt idx="8">
                  <c:v>112.7</c:v>
                </c:pt>
                <c:pt idx="9">
                  <c:v>109.3</c:v>
                </c:pt>
                <c:pt idx="10">
                  <c:v>111.3</c:v>
                </c:pt>
                <c:pt idx="11">
                  <c:v>110.7</c:v>
                </c:pt>
                <c:pt idx="12">
                  <c:v>109</c:v>
                </c:pt>
                <c:pt idx="13">
                  <c:v>102.3</c:v>
                </c:pt>
                <c:pt idx="14">
                  <c:v>104</c:v>
                </c:pt>
              </c:numCache>
            </c:numRef>
          </c:val>
        </c:ser>
        <c:ser>
          <c:idx val="1"/>
          <c:order val="1"/>
          <c:tx>
            <c:strRef>
              <c:f>Sheet6!$C$3</c:f>
              <c:strCache>
                <c:ptCount val="1"/>
                <c:pt idx="0">
                  <c:v>yield kg/ha</c:v>
                </c:pt>
              </c:strCache>
            </c:strRef>
          </c:tx>
          <c:invertIfNegative val="1"/>
          <c:cat>
            <c:strRef>
              <c:f>Sheet6!$A$4:$A$18</c:f>
              <c:strCache>
                <c:ptCount val="15"/>
                <c:pt idx="0">
                  <c:v>ICCV-10103 (D)</c:v>
                </c:pt>
                <c:pt idx="1">
                  <c:v>ICCV-09311 (K)</c:v>
                </c:pt>
                <c:pt idx="2">
                  <c:v>ICCV-10409 (K)</c:v>
                </c:pt>
                <c:pt idx="3">
                  <c:v>ICCV-07313 (K)</c:v>
                </c:pt>
                <c:pt idx="4">
                  <c:v> ICCV-09304 (K)</c:v>
                </c:pt>
                <c:pt idx="5">
                  <c:v>ICCV-09315 (K)</c:v>
                </c:pt>
                <c:pt idx="6">
                  <c:v> ICCV-10107 (D)</c:v>
                </c:pt>
                <c:pt idx="7">
                  <c:v> ICCV-10311 (K)</c:v>
                </c:pt>
                <c:pt idx="8">
                  <c:v> ICCV-09318 (K)</c:v>
                </c:pt>
                <c:pt idx="9">
                  <c:v> ICCV-09309 (D)</c:v>
                </c:pt>
                <c:pt idx="10">
                  <c:v> ICCV-09307 (K)</c:v>
                </c:pt>
                <c:pt idx="11">
                  <c:v> ICCX-060039-F3-P80-BP (D)</c:v>
                </c:pt>
                <c:pt idx="12">
                  <c:v> ICCV-09305 (K)</c:v>
                </c:pt>
                <c:pt idx="13">
                  <c:v>EJERE (K)</c:v>
                </c:pt>
                <c:pt idx="14">
                  <c:v>MINJAR (D)</c:v>
                </c:pt>
              </c:strCache>
            </c:strRef>
          </c:cat>
          <c:val>
            <c:numRef>
              <c:f>Sheet6!$C$4:$C$18</c:f>
              <c:numCache>
                <c:formatCode>General</c:formatCode>
                <c:ptCount val="15"/>
                <c:pt idx="0">
                  <c:v>597.20000000000005</c:v>
                </c:pt>
                <c:pt idx="1">
                  <c:v>2140.3000000000002</c:v>
                </c:pt>
                <c:pt idx="2">
                  <c:v>900</c:v>
                </c:pt>
                <c:pt idx="3">
                  <c:v>287.5</c:v>
                </c:pt>
                <c:pt idx="4">
                  <c:v>1790.3</c:v>
                </c:pt>
                <c:pt idx="5">
                  <c:v>1541.7</c:v>
                </c:pt>
                <c:pt idx="6">
                  <c:v>486.1</c:v>
                </c:pt>
                <c:pt idx="7">
                  <c:v>508.3</c:v>
                </c:pt>
                <c:pt idx="8">
                  <c:v>400</c:v>
                </c:pt>
                <c:pt idx="9">
                  <c:v>1012.5</c:v>
                </c:pt>
                <c:pt idx="10">
                  <c:v>1018.1</c:v>
                </c:pt>
                <c:pt idx="11">
                  <c:v>829.2</c:v>
                </c:pt>
                <c:pt idx="12">
                  <c:v>693.1</c:v>
                </c:pt>
                <c:pt idx="13">
                  <c:v>3450</c:v>
                </c:pt>
                <c:pt idx="14">
                  <c:v>1213.9000000000001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933184"/>
        <c:axId val="127933744"/>
      </c:barChart>
      <c:catAx>
        <c:axId val="127933184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127933744"/>
        <c:crosses val="autoZero"/>
        <c:auto val="1"/>
        <c:lblAlgn val="ctr"/>
        <c:lblOffset val="100"/>
        <c:noMultiLvlLbl val="1"/>
      </c:catAx>
      <c:valAx>
        <c:axId val="127933744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127933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534875328083989"/>
          <c:y val="0.11998651210265383"/>
          <c:w val="0.14659185230051372"/>
          <c:h val="0.16743438320209991"/>
        </c:manualLayout>
      </c:layout>
      <c:overlay val="1"/>
    </c:legend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ICARDA</dc:creator>
  <cp:keywords/>
  <dc:description/>
  <cp:lastModifiedBy>ICARDA</cp:lastModifiedBy>
  <cp:revision>2</cp:revision>
  <dcterms:created xsi:type="dcterms:W3CDTF">2017-04-04T05:49:00Z</dcterms:created>
  <dcterms:modified xsi:type="dcterms:W3CDTF">2017-04-04T05:50:00Z</dcterms:modified>
</cp:coreProperties>
</file>