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88" w:rsidRPr="00B06A11" w:rsidRDefault="00AD1088" w:rsidP="0026588A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b/>
          <w:i/>
          <w:sz w:val="24"/>
          <w:szCs w:val="24"/>
          <w:lang w:val="en-US"/>
        </w:rPr>
        <w:t>Flagship Project: 2:  Improved Varieties and Hybrids</w:t>
      </w:r>
    </w:p>
    <w:p w:rsidR="00AD1088" w:rsidRPr="00B06A11" w:rsidRDefault="00AD1088" w:rsidP="0026588A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b/>
          <w:i/>
          <w:sz w:val="24"/>
          <w:szCs w:val="24"/>
          <w:lang w:val="en-US"/>
        </w:rPr>
        <w:t>COA: Sorghum-WCA</w:t>
      </w:r>
    </w:p>
    <w:p w:rsidR="00AD1088" w:rsidRPr="00B06A11" w:rsidRDefault="00AD1088" w:rsidP="002658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b/>
          <w:sz w:val="24"/>
          <w:szCs w:val="24"/>
          <w:lang w:val="en-US"/>
        </w:rPr>
        <w:t>Documentation of performances of at least 10 seed cooperatives in Mali</w:t>
      </w:r>
    </w:p>
    <w:p w:rsidR="00AD1088" w:rsidRPr="00B06A11" w:rsidRDefault="00AD1088" w:rsidP="0026588A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>Aboubacar Toure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>, Baloua Nebie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>, Mamourou Sidibe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>, Abdoulaye Diallo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>, Bocar Diallo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>, Krista Isaacs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06A11">
        <w:rPr>
          <w:rFonts w:ascii="Times New Roman" w:hAnsi="Times New Roman" w:cs="Times New Roman"/>
          <w:sz w:val="24"/>
          <w:szCs w:val="24"/>
          <w:lang w:val="en-US"/>
        </w:rPr>
        <w:t>Ramadjita Tabo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</w:p>
    <w:p w:rsidR="00AD1088" w:rsidRPr="00B06A11" w:rsidRDefault="00AD1088" w:rsidP="0026588A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ICRISAT-Mali,      </w:t>
      </w:r>
      <w:r w:rsidRPr="00B06A1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06A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IER </w:t>
      </w:r>
    </w:p>
    <w:p w:rsidR="00AD1088" w:rsidRPr="00B06A11" w:rsidRDefault="00AD1088" w:rsidP="00002AA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 of the activity </w:t>
      </w:r>
    </w:p>
    <w:p w:rsidR="00002AA0" w:rsidRPr="00B06A11" w:rsidRDefault="00002AA0" w:rsidP="00002A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sz w:val="24"/>
          <w:szCs w:val="24"/>
          <w:lang w:val="en-US"/>
        </w:rPr>
        <w:t>The objectives were to:</w:t>
      </w:r>
    </w:p>
    <w:p w:rsidR="00002AA0" w:rsidRPr="00B06A11" w:rsidRDefault="00002AA0" w:rsidP="00002A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- Evaluate the performance of seed cooperatives </w:t>
      </w:r>
      <w:r w:rsidR="00D53F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53FA0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seed </w:t>
      </w:r>
      <w:r w:rsidR="00D53FA0">
        <w:rPr>
          <w:rFonts w:ascii="Times New Roman" w:hAnsi="Times New Roman" w:cs="Times New Roman"/>
          <w:sz w:val="24"/>
          <w:szCs w:val="24"/>
          <w:lang w:val="en-US"/>
        </w:rPr>
        <w:t xml:space="preserve">production and </w:t>
      </w:r>
      <w:r w:rsidRPr="00B06A11">
        <w:rPr>
          <w:rFonts w:ascii="Times New Roman" w:hAnsi="Times New Roman" w:cs="Times New Roman"/>
          <w:sz w:val="24"/>
          <w:szCs w:val="24"/>
          <w:lang w:val="en-US"/>
        </w:rPr>
        <w:t>commercialization</w:t>
      </w:r>
    </w:p>
    <w:p w:rsidR="00002AA0" w:rsidRPr="00B06A11" w:rsidRDefault="00002AA0" w:rsidP="00002A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sz w:val="24"/>
          <w:szCs w:val="24"/>
          <w:lang w:val="en-US"/>
        </w:rPr>
        <w:t>- Identify specific success experiences in order to share them with other seed cooperatives</w:t>
      </w:r>
    </w:p>
    <w:p w:rsidR="00DD4BB2" w:rsidRPr="00B06A11" w:rsidRDefault="00DD4BB2" w:rsidP="0026588A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color w:val="auto"/>
          <w:sz w:val="24"/>
          <w:szCs w:val="24"/>
          <w:lang w:val="en-US"/>
        </w:rPr>
        <w:t>Methodology</w:t>
      </w:r>
    </w:p>
    <w:p w:rsidR="00DD4BB2" w:rsidRPr="00B06A11" w:rsidRDefault="00D53FA0" w:rsidP="0026588A">
      <w:pPr>
        <w:jc w:val="both"/>
        <w:rPr>
          <w:rStyle w:val="Heading2Char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Seed producer c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ooperatives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involved 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different projects with ICRISAT and IER in Mali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partners 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were targeted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this activity. These cooperatives were trained from 2014 to 2016 on seed production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techniques, 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communication tools for seed </w:t>
      </w:r>
      <w:r>
        <w:rPr>
          <w:rFonts w:ascii="Times New Roman" w:hAnsi="Times New Roman" w:cs="Times New Roman"/>
          <w:sz w:val="24"/>
          <w:szCs w:val="24"/>
          <w:lang w:val="en-US"/>
        </w:rPr>
        <w:t>marketing and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capacity building of the 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>organization.  I</w:t>
      </w:r>
      <w:r w:rsidR="00DD4BB2" w:rsidRPr="00B06A11">
        <w:rPr>
          <w:rFonts w:ascii="Times New Roman" w:hAnsi="Times New Roman" w:cs="Times New Roman"/>
          <w:sz w:val="24"/>
          <w:szCs w:val="24"/>
          <w:lang w:val="en-US"/>
        </w:rPr>
        <w:t>nformation</w:t>
      </w:r>
      <w:r w:rsidR="00AD1088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were then collected each year to evaluate the performance of these cooperatives. </w:t>
      </w:r>
      <w:r w:rsidR="003A59F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>orkshop</w:t>
      </w:r>
      <w:r w:rsidR="003A59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9FC">
        <w:rPr>
          <w:rFonts w:ascii="Times New Roman" w:hAnsi="Times New Roman" w:cs="Times New Roman"/>
          <w:sz w:val="24"/>
          <w:szCs w:val="24"/>
          <w:lang w:val="en-US"/>
        </w:rPr>
        <w:t>and i</w:t>
      </w:r>
      <w:r w:rsidR="003A59FC" w:rsidRPr="003A59FC">
        <w:rPr>
          <w:rFonts w:ascii="Times New Roman" w:hAnsi="Times New Roman" w:cs="Times New Roman"/>
          <w:sz w:val="24"/>
          <w:szCs w:val="24"/>
          <w:lang w:val="en-US"/>
        </w:rPr>
        <w:t xml:space="preserve">nterviews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were organized to discuss problems </w:t>
      </w:r>
      <w:r>
        <w:rPr>
          <w:rFonts w:ascii="Times New Roman" w:hAnsi="Times New Roman" w:cs="Times New Roman"/>
          <w:sz w:val="24"/>
          <w:szCs w:val="24"/>
          <w:lang w:val="en-US"/>
        </w:rPr>
        <w:t>occurring during the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seed production, cooperatives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DD4BB2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organizational progress. </w:t>
      </w:r>
      <w:r w:rsidR="00DD4BB2" w:rsidRPr="00B06A11">
        <w:rPr>
          <w:rStyle w:val="Heading2Char"/>
          <w:rFonts w:ascii="Times New Roman" w:hAnsi="Times New Roman" w:cs="Times New Roman"/>
          <w:color w:val="auto"/>
          <w:sz w:val="24"/>
          <w:szCs w:val="24"/>
          <w:lang w:val="en-US"/>
        </w:rPr>
        <w:t>Results</w:t>
      </w:r>
    </w:p>
    <w:p w:rsidR="0026588A" w:rsidRPr="00B06A11" w:rsidRDefault="003A59FC" w:rsidP="002658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FC">
        <w:rPr>
          <w:rFonts w:ascii="Times New Roman" w:hAnsi="Times New Roman" w:cs="Times New Roman"/>
          <w:sz w:val="24"/>
          <w:szCs w:val="24"/>
          <w:lang w:val="en-US"/>
        </w:rPr>
        <w:t>From 2015 to 2016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200A39" w:rsidRPr="00B06A11">
        <w:rPr>
          <w:rFonts w:ascii="Times New Roman" w:hAnsi="Times New Roman" w:cs="Times New Roman"/>
          <w:sz w:val="24"/>
          <w:szCs w:val="24"/>
          <w:lang w:val="en-US"/>
        </w:rPr>
        <w:t>eed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sales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average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by 77% for the 11 </w:t>
      </w:r>
      <w:r w:rsidR="00200A39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seed </w:t>
      </w:r>
      <w:r w:rsidR="00B7751F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cooperatives </w:t>
      </w:r>
      <w:r w:rsidR="00B7751F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7751F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B7751F" w:rsidRPr="00B06A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>Figure1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0D5C">
        <w:rPr>
          <w:rFonts w:ascii="Times New Roman" w:hAnsi="Times New Roman" w:cs="Times New Roman"/>
          <w:sz w:val="24"/>
          <w:szCs w:val="24"/>
          <w:lang w:val="en-US"/>
        </w:rPr>
        <w:t xml:space="preserve">Nine out the eleven seed cooperatives </w:t>
      </w:r>
      <w:r w:rsidR="00B7751F">
        <w:rPr>
          <w:rFonts w:ascii="Times New Roman" w:hAnsi="Times New Roman" w:cs="Times New Roman"/>
          <w:sz w:val="24"/>
          <w:szCs w:val="24"/>
          <w:lang w:val="en-US"/>
        </w:rPr>
        <w:t>showed higher</w:t>
      </w:r>
      <w:r w:rsidR="00D45EF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quantity of seed </w:t>
      </w:r>
      <w:r w:rsidR="00B7751F" w:rsidRPr="00B06A11">
        <w:rPr>
          <w:rFonts w:ascii="Times New Roman" w:hAnsi="Times New Roman" w:cs="Times New Roman"/>
          <w:sz w:val="24"/>
          <w:szCs w:val="24"/>
          <w:lang w:val="en-US"/>
        </w:rPr>
        <w:t>sold in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 w:rsidR="00D20D5C">
        <w:rPr>
          <w:rFonts w:ascii="Times New Roman" w:hAnsi="Times New Roman" w:cs="Times New Roman"/>
          <w:sz w:val="24"/>
          <w:szCs w:val="24"/>
          <w:lang w:val="en-US"/>
        </w:rPr>
        <w:t xml:space="preserve">compared to </w:t>
      </w:r>
      <w:r w:rsidR="00B7751F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7751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2015. A</w:t>
      </w:r>
      <w:r w:rsidR="00D20D5C">
        <w:rPr>
          <w:rFonts w:ascii="Times New Roman" w:hAnsi="Times New Roman" w:cs="Times New Roman"/>
          <w:sz w:val="24"/>
          <w:szCs w:val="24"/>
          <w:lang w:val="en-US"/>
        </w:rPr>
        <w:t xml:space="preserve"> key result of this activity is the networking of these cooperatives in supplying emergency seeds to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D20D5C">
        <w:rPr>
          <w:rFonts w:ascii="Times New Roman" w:hAnsi="Times New Roman" w:cs="Times New Roman"/>
          <w:sz w:val="24"/>
          <w:szCs w:val="24"/>
          <w:lang w:val="en-US"/>
        </w:rPr>
        <w:t xml:space="preserve">projects involved in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food </w:t>
      </w:r>
      <w:r w:rsidR="00D20D5C" w:rsidRPr="00B06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0D5C">
        <w:rPr>
          <w:rFonts w:ascii="Times New Roman" w:hAnsi="Times New Roman" w:cs="Times New Roman"/>
          <w:sz w:val="24"/>
          <w:szCs w:val="24"/>
          <w:lang w:val="en-US"/>
        </w:rPr>
        <w:t xml:space="preserve"> security</w:t>
      </w:r>
      <w:r w:rsidR="00D20D5C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69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43694" w:rsidRPr="00B06A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ULPC</w:t>
      </w:r>
      <w:r w:rsidR="00243694">
        <w:rPr>
          <w:rFonts w:ascii="Times New Roman" w:hAnsi="Times New Roman" w:cs="Times New Roman"/>
          <w:sz w:val="24"/>
          <w:szCs w:val="24"/>
          <w:lang w:val="en-US"/>
        </w:rPr>
        <w:t xml:space="preserve"> (Union Locale des </w:t>
      </w:r>
      <w:proofErr w:type="spellStart"/>
      <w:r w:rsidR="00243694">
        <w:rPr>
          <w:rFonts w:ascii="Times New Roman" w:hAnsi="Times New Roman" w:cs="Times New Roman"/>
          <w:sz w:val="24"/>
          <w:szCs w:val="24"/>
          <w:lang w:val="en-US"/>
        </w:rPr>
        <w:t>Producteurs</w:t>
      </w:r>
      <w:proofErr w:type="spellEnd"/>
      <w:r w:rsidR="002436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43694">
        <w:rPr>
          <w:rFonts w:ascii="Times New Roman" w:hAnsi="Times New Roman" w:cs="Times New Roman"/>
          <w:sz w:val="24"/>
          <w:szCs w:val="24"/>
          <w:lang w:val="en-US"/>
        </w:rPr>
        <w:t>Semences</w:t>
      </w:r>
      <w:proofErr w:type="spellEnd"/>
      <w:r w:rsidR="00243694">
        <w:rPr>
          <w:rFonts w:ascii="Times New Roman" w:hAnsi="Times New Roman" w:cs="Times New Roman"/>
          <w:sz w:val="24"/>
          <w:szCs w:val="24"/>
          <w:lang w:val="en-US"/>
        </w:rPr>
        <w:t xml:space="preserve">) at </w:t>
      </w:r>
      <w:proofErr w:type="spellStart"/>
      <w:r w:rsidR="00243694">
        <w:rPr>
          <w:rFonts w:ascii="Times New Roman" w:hAnsi="Times New Roman" w:cs="Times New Roman"/>
          <w:sz w:val="24"/>
          <w:szCs w:val="24"/>
          <w:lang w:val="en-US"/>
        </w:rPr>
        <w:t>Dioila</w:t>
      </w:r>
      <w:proofErr w:type="spellEnd"/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3694">
        <w:rPr>
          <w:rFonts w:ascii="Times New Roman" w:hAnsi="Times New Roman" w:cs="Times New Roman"/>
          <w:sz w:val="24"/>
          <w:szCs w:val="24"/>
          <w:lang w:val="en-US"/>
        </w:rPr>
        <w:t xml:space="preserve">the cooperative has </w:t>
      </w:r>
      <w:r w:rsidR="00243694" w:rsidRPr="00B06A11">
        <w:rPr>
          <w:rFonts w:ascii="Times New Roman" w:hAnsi="Times New Roman" w:cs="Times New Roman"/>
          <w:sz w:val="24"/>
          <w:szCs w:val="24"/>
          <w:lang w:val="en-US"/>
        </w:rPr>
        <w:t>institutionaliz</w:t>
      </w:r>
      <w:r w:rsidR="0024369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43694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new rules for profit sharing, decision making and information </w:t>
      </w:r>
      <w:r w:rsidR="00243694">
        <w:rPr>
          <w:rFonts w:ascii="Times New Roman" w:hAnsi="Times New Roman" w:cs="Times New Roman"/>
          <w:sz w:val="24"/>
          <w:szCs w:val="24"/>
          <w:lang w:val="en-US"/>
        </w:rPr>
        <w:t>sharing. This internal</w:t>
      </w:r>
      <w:r w:rsidR="00243694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694">
        <w:rPr>
          <w:rFonts w:ascii="Times New Roman" w:hAnsi="Times New Roman" w:cs="Times New Roman"/>
          <w:sz w:val="24"/>
          <w:szCs w:val="24"/>
          <w:lang w:val="en-US"/>
        </w:rPr>
        <w:t xml:space="preserve">rules have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increased farmers trust in the seed business. </w:t>
      </w:r>
      <w:r w:rsidR="005D15A2">
        <w:rPr>
          <w:rFonts w:ascii="Times New Roman" w:hAnsi="Times New Roman" w:cs="Times New Roman"/>
          <w:sz w:val="24"/>
          <w:szCs w:val="24"/>
          <w:lang w:val="en-US"/>
        </w:rPr>
        <w:t xml:space="preserve">Another key element of this success </w:t>
      </w:r>
      <w:r w:rsidR="00B7751F">
        <w:rPr>
          <w:rFonts w:ascii="Times New Roman" w:hAnsi="Times New Roman" w:cs="Times New Roman"/>
          <w:sz w:val="24"/>
          <w:szCs w:val="24"/>
          <w:lang w:val="en-US"/>
        </w:rPr>
        <w:t>was the</w:t>
      </w:r>
      <w:r w:rsidR="005D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5A2" w:rsidRPr="005D15A2">
        <w:rPr>
          <w:rFonts w:ascii="Times New Roman" w:hAnsi="Times New Roman" w:cs="Times New Roman"/>
          <w:sz w:val="24"/>
          <w:szCs w:val="24"/>
          <w:lang w:val="en-US"/>
        </w:rPr>
        <w:t>commitment</w:t>
      </w:r>
      <w:r w:rsidR="005D15A2" w:rsidRPr="005D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5A2">
        <w:rPr>
          <w:rFonts w:ascii="Times New Roman" w:hAnsi="Times New Roman" w:cs="Times New Roman"/>
          <w:sz w:val="24"/>
          <w:szCs w:val="24"/>
          <w:lang w:val="en-US"/>
        </w:rPr>
        <w:t xml:space="preserve">of ULPC to produce and sell locally quality seed to farmers. </w:t>
      </w:r>
      <w:r w:rsidR="005D15A2">
        <w:rPr>
          <w:rFonts w:ascii="Times New Roman" w:hAnsi="Times New Roman" w:cs="Times New Roman"/>
          <w:sz w:val="24"/>
          <w:szCs w:val="24"/>
          <w:lang w:val="en-US"/>
        </w:rPr>
        <w:t xml:space="preserve">As consequence the Union received a grant to build 4 seed stores close to the farmers.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COOPROSEM </w:t>
      </w:r>
      <w:r w:rsidR="005D15A2">
        <w:rPr>
          <w:rFonts w:ascii="Times New Roman" w:hAnsi="Times New Roman" w:cs="Times New Roman"/>
          <w:sz w:val="24"/>
          <w:szCs w:val="24"/>
          <w:lang w:val="en-US"/>
        </w:rPr>
        <w:t>realized</w:t>
      </w:r>
      <w:r w:rsidR="005D15A2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a significant economic progress in 2016 with </w:t>
      </w:r>
      <w:r w:rsidR="00C91B5B" w:rsidRPr="00B06A11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C91B5B" w:rsidRPr="00B06A11">
        <w:rPr>
          <w:rFonts w:ascii="Times New Roman" w:hAnsi="Times New Roman" w:cs="Times New Roman"/>
          <w:sz w:val="24"/>
          <w:szCs w:val="24"/>
          <w:lang w:val="en-US"/>
        </w:rPr>
        <w:t>$US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of net profit </w:t>
      </w:r>
      <w:r w:rsidR="00C91B5B" w:rsidRPr="00B06A11"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to 2015. </w:t>
      </w:r>
      <w:r w:rsidR="003C6C1D">
        <w:rPr>
          <w:rFonts w:ascii="Times New Roman" w:hAnsi="Times New Roman" w:cs="Times New Roman"/>
          <w:sz w:val="24"/>
          <w:szCs w:val="24"/>
          <w:lang w:val="en-US"/>
        </w:rPr>
        <w:t>The cooperative was able to pay a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3C6C1D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B5B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seed 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>producers</w:t>
      </w:r>
      <w:r w:rsidR="00C91B5B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members </w:t>
      </w:r>
      <w:r w:rsidR="003C6C1D">
        <w:rPr>
          <w:rFonts w:ascii="Times New Roman" w:hAnsi="Times New Roman" w:cs="Times New Roman"/>
          <w:sz w:val="24"/>
          <w:szCs w:val="24"/>
          <w:lang w:val="en-US"/>
        </w:rPr>
        <w:t>on time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="00B7751F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B7751F">
        <w:rPr>
          <w:rFonts w:ascii="Times New Roman" w:hAnsi="Times New Roman" w:cs="Times New Roman"/>
          <w:sz w:val="24"/>
          <w:szCs w:val="24"/>
          <w:lang w:val="en-US"/>
        </w:rPr>
        <w:t>seed</w:t>
      </w:r>
      <w:r w:rsidR="003C6C1D">
        <w:rPr>
          <w:rFonts w:ascii="Times New Roman" w:hAnsi="Times New Roman" w:cs="Times New Roman"/>
          <w:sz w:val="24"/>
          <w:szCs w:val="24"/>
          <w:lang w:val="en-US"/>
        </w:rPr>
        <w:t xml:space="preserve"> producers </w:t>
      </w:r>
      <w:r w:rsidR="003C6C1D" w:rsidRPr="00B06A11">
        <w:rPr>
          <w:rFonts w:ascii="Times New Roman" w:hAnsi="Times New Roman" w:cs="Times New Roman"/>
          <w:sz w:val="24"/>
          <w:szCs w:val="24"/>
          <w:lang w:val="en-US"/>
        </w:rPr>
        <w:t>gained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 more than </w:t>
      </w:r>
      <w:r w:rsidR="00C91B5B" w:rsidRPr="00B06A11">
        <w:rPr>
          <w:rFonts w:ascii="Times New Roman" w:hAnsi="Times New Roman" w:cs="Times New Roman"/>
          <w:sz w:val="24"/>
          <w:szCs w:val="24"/>
          <w:lang w:val="en-US"/>
        </w:rPr>
        <w:t>1,600$US</w:t>
      </w:r>
      <w:r w:rsidR="0026588A" w:rsidRPr="00B0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588A" w:rsidRPr="00B06A11" w:rsidRDefault="0026588A" w:rsidP="0026588A">
      <w:pPr>
        <w:jc w:val="both"/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26588A" w:rsidRPr="00B06A11" w:rsidRDefault="0026588A" w:rsidP="0026588A">
      <w:pPr>
        <w:jc w:val="both"/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DD4BB2" w:rsidRPr="00B06A11" w:rsidRDefault="00DD4BB2" w:rsidP="0026588A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06A11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83A1E5E" wp14:editId="18ABDA7C">
            <wp:extent cx="5288889" cy="2699309"/>
            <wp:effectExtent l="0" t="0" r="762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4BB2" w:rsidRPr="00B06A11" w:rsidRDefault="0026588A" w:rsidP="0026588A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Fig.</w:t>
      </w:r>
      <w:r w:rsidR="00DD4BB2"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DD4BB2" w:rsidRPr="00B06A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DD4BB2"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instrText xml:space="preserve"> SEQ Figure \* ARABIC </w:instrText>
      </w:r>
      <w:r w:rsidR="00DD4BB2" w:rsidRPr="00B06A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DD4BB2" w:rsidRPr="00B06A11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1</w:t>
      </w:r>
      <w:r w:rsidR="00DD4BB2" w:rsidRPr="00B06A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="003C6C1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Sorghum h</w:t>
      </w:r>
      <w:r w:rsidR="00DD4BB2"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ybrid seed </w:t>
      </w:r>
      <w:r w:rsidR="003C6C1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sale</w:t>
      </w:r>
      <w:r w:rsidR="003C6C1D"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3C6C1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by</w:t>
      </w:r>
      <w:r w:rsidR="003C6C1D"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11 Malian farmers’ cooperatives in </w:t>
      </w:r>
      <w:r w:rsidR="003C6C1D"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2016 </w:t>
      </w:r>
      <w:r w:rsidR="003C6C1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and</w:t>
      </w:r>
      <w:r w:rsidRPr="00B06A1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2015</w:t>
      </w:r>
    </w:p>
    <w:p w:rsidR="00AD1088" w:rsidRPr="00B06A11" w:rsidRDefault="00AD1088" w:rsidP="0026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11">
        <w:rPr>
          <w:rFonts w:ascii="Times New Roman" w:hAnsi="Times New Roman" w:cs="Times New Roman"/>
          <w:b/>
          <w:sz w:val="24"/>
          <w:szCs w:val="24"/>
          <w:lang w:val="en-US"/>
        </w:rPr>
        <w:t>Next step</w:t>
      </w:r>
    </w:p>
    <w:p w:rsidR="00AD1088" w:rsidRPr="00B06A11" w:rsidRDefault="00AD1088" w:rsidP="0026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A4E" w:rsidRPr="00B06A11" w:rsidRDefault="009D7A4E" w:rsidP="002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nformation 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are being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collected on the current weaknesses of cooperatives. 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Based on the analysis of these info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rmation</w:t>
      </w:r>
      <w:r w:rsidR="003C6C1D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specific </w:t>
      </w:r>
      <w:r w:rsidR="003C6C1D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actions </w:t>
      </w:r>
      <w:r w:rsidR="003C6C1D">
        <w:rPr>
          <w:rFonts w:ascii="Times New Roman" w:eastAsia="Times New Roman" w:hAnsi="Times New Roman" w:cs="Times New Roman"/>
          <w:sz w:val="24"/>
          <w:szCs w:val="24"/>
          <w:lang w:val="en"/>
        </w:rPr>
        <w:t>have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C6C1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been </w:t>
      </w:r>
      <w:r w:rsidR="003C6C1D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develop</w:t>
      </w:r>
      <w:r w:rsidR="003C6C1D">
        <w:rPr>
          <w:rFonts w:ascii="Times New Roman" w:eastAsia="Times New Roman" w:hAnsi="Times New Roman" w:cs="Times New Roman"/>
          <w:sz w:val="24"/>
          <w:szCs w:val="24"/>
          <w:lang w:val="en"/>
        </w:rPr>
        <w:t>ed</w:t>
      </w:r>
      <w:r w:rsidR="003C6C1D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strengthen 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seed co</w:t>
      </w:r>
      <w:r w:rsidR="00AD1088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operatives.</w:t>
      </w:r>
    </w:p>
    <w:p w:rsidR="00AD1088" w:rsidRPr="00B06A11" w:rsidRDefault="00AD1088" w:rsidP="002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deeper analysis of the specific performance </w:t>
      </w:r>
      <w:r w:rsidR="00200A39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cooperatives 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the </w:t>
      </w:r>
      <w:r w:rsidR="00200A39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factors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00A39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progress </w:t>
      </w:r>
      <w:r w:rsidR="00200A39" w:rsidRPr="00B06A11">
        <w:rPr>
          <w:rFonts w:ascii="Times New Roman" w:eastAsia="Times New Roman" w:hAnsi="Times New Roman" w:cs="Times New Roman"/>
          <w:sz w:val="24"/>
          <w:szCs w:val="24"/>
          <w:lang w:val="en"/>
        </w:rPr>
        <w:t>will be analyzed and documented for sharing experience to others seed cooperatives.</w:t>
      </w:r>
    </w:p>
    <w:p w:rsidR="00AD1088" w:rsidRPr="00B06A11" w:rsidRDefault="00AD1088" w:rsidP="002658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1088" w:rsidRPr="00B0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B2"/>
    <w:rsid w:val="0000090E"/>
    <w:rsid w:val="00002AA0"/>
    <w:rsid w:val="00112DAB"/>
    <w:rsid w:val="00200A39"/>
    <w:rsid w:val="00243694"/>
    <w:rsid w:val="0026588A"/>
    <w:rsid w:val="003A59FC"/>
    <w:rsid w:val="003C6C1D"/>
    <w:rsid w:val="004E184C"/>
    <w:rsid w:val="00561798"/>
    <w:rsid w:val="005D15A2"/>
    <w:rsid w:val="005D4CCB"/>
    <w:rsid w:val="009D7A4E"/>
    <w:rsid w:val="00AD1088"/>
    <w:rsid w:val="00AD1115"/>
    <w:rsid w:val="00B06A11"/>
    <w:rsid w:val="00B61193"/>
    <w:rsid w:val="00B7751F"/>
    <w:rsid w:val="00BC6626"/>
    <w:rsid w:val="00C91B5B"/>
    <w:rsid w:val="00D20D5C"/>
    <w:rsid w:val="00D45EFA"/>
    <w:rsid w:val="00D53FA0"/>
    <w:rsid w:val="00D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CD292-9E21-4C52-B3E6-188901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D4B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erformance%20coo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'2016'!$C$36</c:f>
              <c:strCache>
                <c:ptCount val="1"/>
                <c:pt idx="0">
                  <c:v>2015</c:v>
                </c:pt>
              </c:strCache>
            </c:strRef>
          </c:tx>
          <c:spPr>
            <a:pattFill prst="dkHorz">
              <a:fgClr>
                <a:srgbClr val="00B0F0"/>
              </a:fgClr>
              <a:bgClr>
                <a:schemeClr val="bg1"/>
              </a:bgClr>
            </a:pattFill>
            <a:ln>
              <a:solidFill>
                <a:srgbClr val="00B0F0"/>
              </a:solidFill>
            </a:ln>
          </c:spPr>
          <c:invertIfNegative val="0"/>
          <c:cat>
            <c:strRef>
              <c:f>'2016'!$A$37:$A$47</c:f>
              <c:strCache>
                <c:ptCount val="11"/>
                <c:pt idx="0">
                  <c:v>Jiguiya </c:v>
                </c:pt>
                <c:pt idx="1">
                  <c:v>Seneyiriwaton</c:v>
                </c:pt>
                <c:pt idx="2">
                  <c:v>Womukon</c:v>
                </c:pt>
                <c:pt idx="3">
                  <c:v>Jiguiseme</c:v>
                </c:pt>
                <c:pt idx="4">
                  <c:v>PDRN</c:v>
                </c:pt>
                <c:pt idx="5">
                  <c:v>Jiguisemè</c:v>
                </c:pt>
                <c:pt idx="6">
                  <c:v>Dunkafa</c:v>
                </c:pt>
                <c:pt idx="7">
                  <c:v>Nupaganion</c:v>
                </c:pt>
                <c:pt idx="8">
                  <c:v>Union Nietaa</c:v>
                </c:pt>
                <c:pt idx="9">
                  <c:v>COOPROSEM</c:v>
                </c:pt>
                <c:pt idx="10">
                  <c:v>ULPC</c:v>
                </c:pt>
              </c:strCache>
            </c:strRef>
          </c:cat>
          <c:val>
            <c:numRef>
              <c:f>'2016'!$C$37:$C$47</c:f>
              <c:numCache>
                <c:formatCode>General</c:formatCode>
                <c:ptCount val="11"/>
                <c:pt idx="0">
                  <c:v>753</c:v>
                </c:pt>
                <c:pt idx="1">
                  <c:v>2200</c:v>
                </c:pt>
                <c:pt idx="2">
                  <c:v>2675</c:v>
                </c:pt>
                <c:pt idx="3">
                  <c:v>1088</c:v>
                </c:pt>
                <c:pt idx="4">
                  <c:v>1165</c:v>
                </c:pt>
                <c:pt idx="5">
                  <c:v>773</c:v>
                </c:pt>
                <c:pt idx="6">
                  <c:v>232</c:v>
                </c:pt>
                <c:pt idx="7">
                  <c:v>90</c:v>
                </c:pt>
                <c:pt idx="8">
                  <c:v>1436</c:v>
                </c:pt>
                <c:pt idx="9">
                  <c:v>3946</c:v>
                </c:pt>
                <c:pt idx="10">
                  <c:v>1534</c:v>
                </c:pt>
              </c:numCache>
            </c:numRef>
          </c:val>
        </c:ser>
        <c:ser>
          <c:idx val="1"/>
          <c:order val="1"/>
          <c:tx>
            <c:strRef>
              <c:f>'2016'!$D$36</c:f>
              <c:strCache>
                <c:ptCount val="1"/>
                <c:pt idx="0">
                  <c:v>2016</c:v>
                </c:pt>
              </c:strCache>
            </c:strRef>
          </c:tx>
          <c:spPr>
            <a:pattFill prst="pct60">
              <a:fgClr>
                <a:srgbClr val="C00000"/>
              </a:fgClr>
              <a:bgClr>
                <a:schemeClr val="bg1"/>
              </a:bgClr>
            </a:pattFill>
            <a:ln>
              <a:solidFill>
                <a:srgbClr val="C00000"/>
              </a:solidFill>
            </a:ln>
          </c:spPr>
          <c:invertIfNegative val="0"/>
          <c:cat>
            <c:strRef>
              <c:f>'2016'!$A$37:$A$47</c:f>
              <c:strCache>
                <c:ptCount val="11"/>
                <c:pt idx="0">
                  <c:v>Jiguiya </c:v>
                </c:pt>
                <c:pt idx="1">
                  <c:v>Seneyiriwaton</c:v>
                </c:pt>
                <c:pt idx="2">
                  <c:v>Womukon</c:v>
                </c:pt>
                <c:pt idx="3">
                  <c:v>Jiguiseme</c:v>
                </c:pt>
                <c:pt idx="4">
                  <c:v>PDRN</c:v>
                </c:pt>
                <c:pt idx="5">
                  <c:v>Jiguisemè</c:v>
                </c:pt>
                <c:pt idx="6">
                  <c:v>Dunkafa</c:v>
                </c:pt>
                <c:pt idx="7">
                  <c:v>Nupaganion</c:v>
                </c:pt>
                <c:pt idx="8">
                  <c:v>Union Nietaa</c:v>
                </c:pt>
                <c:pt idx="9">
                  <c:v>COOPROSEM</c:v>
                </c:pt>
                <c:pt idx="10">
                  <c:v>ULPC</c:v>
                </c:pt>
              </c:strCache>
            </c:strRef>
          </c:cat>
          <c:val>
            <c:numRef>
              <c:f>'2016'!$D$37:$D$47</c:f>
              <c:numCache>
                <c:formatCode>General</c:formatCode>
                <c:ptCount val="11"/>
                <c:pt idx="0">
                  <c:v>3219</c:v>
                </c:pt>
                <c:pt idx="1">
                  <c:v>2742</c:v>
                </c:pt>
                <c:pt idx="2">
                  <c:v>2100</c:v>
                </c:pt>
                <c:pt idx="3">
                  <c:v>910</c:v>
                </c:pt>
                <c:pt idx="4">
                  <c:v>4700</c:v>
                </c:pt>
                <c:pt idx="5">
                  <c:v>890</c:v>
                </c:pt>
                <c:pt idx="6">
                  <c:v>544</c:v>
                </c:pt>
                <c:pt idx="7">
                  <c:v>700</c:v>
                </c:pt>
                <c:pt idx="8">
                  <c:v>3322</c:v>
                </c:pt>
                <c:pt idx="9">
                  <c:v>6294</c:v>
                </c:pt>
                <c:pt idx="10" formatCode="#,##0">
                  <c:v>2742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86587264"/>
        <c:axId val="-1886586176"/>
      </c:barChart>
      <c:catAx>
        <c:axId val="-188658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Name of cooperatives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-1886586176"/>
        <c:crosses val="autoZero"/>
        <c:auto val="1"/>
        <c:lblAlgn val="ctr"/>
        <c:lblOffset val="100"/>
        <c:noMultiLvlLbl val="0"/>
      </c:catAx>
      <c:valAx>
        <c:axId val="-1886586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Seed sold (Kg)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88658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Mamourou Sidibe</dc:creator>
  <cp:keywords/>
  <dc:description/>
  <cp:lastModifiedBy>Aboubacar Toure</cp:lastModifiedBy>
  <cp:revision>5</cp:revision>
  <dcterms:created xsi:type="dcterms:W3CDTF">2017-02-01T16:09:00Z</dcterms:created>
  <dcterms:modified xsi:type="dcterms:W3CDTF">2017-02-02T09:13:00Z</dcterms:modified>
</cp:coreProperties>
</file>