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0.xml" ContentType="application/vnd.openxmlformats-officedocument.drawingml.chart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2A6" w:rsidRPr="00BF300B" w:rsidRDefault="005052A6" w:rsidP="004242BF">
      <w:pPr>
        <w:spacing w:after="240" w:line="240" w:lineRule="auto"/>
        <w:rPr>
          <w:rFonts w:ascii="Times New Roman" w:hAnsi="Times New Roman"/>
          <w:b/>
          <w:i/>
          <w:sz w:val="24"/>
          <w:szCs w:val="24"/>
        </w:rPr>
      </w:pPr>
      <w:r w:rsidRPr="00BF300B">
        <w:rPr>
          <w:rFonts w:ascii="Times New Roman" w:hAnsi="Times New Roman"/>
          <w:b/>
          <w:i/>
          <w:sz w:val="24"/>
          <w:szCs w:val="24"/>
        </w:rPr>
        <w:t>Flagship Project: 2:  Improved Varieties and Hybrids</w:t>
      </w:r>
    </w:p>
    <w:p w:rsidR="005052A6" w:rsidRPr="00BF300B" w:rsidRDefault="005052A6" w:rsidP="004242BF">
      <w:pPr>
        <w:spacing w:after="240" w:line="240" w:lineRule="auto"/>
        <w:rPr>
          <w:rFonts w:ascii="Times New Roman" w:hAnsi="Times New Roman"/>
          <w:b/>
          <w:i/>
          <w:sz w:val="24"/>
          <w:szCs w:val="24"/>
        </w:rPr>
      </w:pPr>
      <w:r w:rsidRPr="00BF300B">
        <w:rPr>
          <w:rFonts w:ascii="Times New Roman" w:hAnsi="Times New Roman"/>
          <w:b/>
          <w:i/>
          <w:sz w:val="24"/>
          <w:szCs w:val="24"/>
        </w:rPr>
        <w:t>COA: Sorghum-WCA</w:t>
      </w:r>
    </w:p>
    <w:p w:rsidR="00A471EA" w:rsidRPr="00BF300B" w:rsidRDefault="00A471EA" w:rsidP="004242BF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300B">
        <w:rPr>
          <w:rFonts w:ascii="Times New Roman" w:hAnsi="Times New Roman"/>
          <w:b/>
          <w:sz w:val="24"/>
          <w:szCs w:val="24"/>
        </w:rPr>
        <w:t>BCNAM drought tolerant population with CSM63E as recurrent parent</w:t>
      </w:r>
    </w:p>
    <w:p w:rsidR="005052A6" w:rsidRPr="00BF300B" w:rsidRDefault="005052A6" w:rsidP="004242BF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  <w:r w:rsidRPr="00BF300B">
        <w:rPr>
          <w:rFonts w:ascii="Times New Roman" w:hAnsi="Times New Roman"/>
          <w:i/>
          <w:sz w:val="24"/>
          <w:szCs w:val="24"/>
        </w:rPr>
        <w:t>Baloua Nebie</w:t>
      </w:r>
      <w:r w:rsidRPr="00BF300B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BF300B">
        <w:rPr>
          <w:rFonts w:ascii="Times New Roman" w:hAnsi="Times New Roman"/>
          <w:i/>
          <w:sz w:val="24"/>
          <w:szCs w:val="24"/>
        </w:rPr>
        <w:t>, Aboubacar Toure</w:t>
      </w:r>
      <w:r w:rsidRPr="00BF300B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BF300B">
        <w:rPr>
          <w:rFonts w:ascii="Times New Roman" w:hAnsi="Times New Roman"/>
          <w:i/>
          <w:sz w:val="24"/>
          <w:szCs w:val="24"/>
        </w:rPr>
        <w:t>, Colette Ouedraogo</w:t>
      </w:r>
      <w:r w:rsidR="006F5184" w:rsidRPr="006F5184">
        <w:rPr>
          <w:rFonts w:ascii="Times New Roman" w:hAnsi="Times New Roman"/>
          <w:i/>
          <w:sz w:val="24"/>
          <w:szCs w:val="24"/>
        </w:rPr>
        <w:t>1</w:t>
      </w:r>
      <w:r w:rsidRPr="00BF300B">
        <w:rPr>
          <w:rFonts w:ascii="Times New Roman" w:hAnsi="Times New Roman"/>
          <w:i/>
          <w:sz w:val="24"/>
          <w:szCs w:val="24"/>
        </w:rPr>
        <w:t>, Santosh Deshpande</w:t>
      </w:r>
      <w:r w:rsidRPr="00BF300B">
        <w:rPr>
          <w:rFonts w:ascii="Times New Roman" w:hAnsi="Times New Roman"/>
          <w:i/>
          <w:sz w:val="24"/>
          <w:szCs w:val="24"/>
          <w:vertAlign w:val="superscript"/>
        </w:rPr>
        <w:t>3</w:t>
      </w:r>
      <w:r w:rsidRPr="00BF300B">
        <w:rPr>
          <w:rFonts w:ascii="Times New Roman" w:hAnsi="Times New Roman"/>
          <w:i/>
          <w:sz w:val="24"/>
          <w:szCs w:val="24"/>
        </w:rPr>
        <w:t xml:space="preserve"> Sidi Bekaye Coulibaly </w:t>
      </w:r>
      <w:r w:rsidRPr="00BF300B">
        <w:rPr>
          <w:rFonts w:ascii="Times New Roman" w:hAnsi="Times New Roman"/>
          <w:i/>
          <w:sz w:val="24"/>
          <w:szCs w:val="24"/>
          <w:vertAlign w:val="superscript"/>
        </w:rPr>
        <w:t>2</w:t>
      </w:r>
      <w:r w:rsidRPr="00BF300B">
        <w:rPr>
          <w:rFonts w:ascii="Times New Roman" w:hAnsi="Times New Roman"/>
          <w:i/>
          <w:sz w:val="24"/>
          <w:szCs w:val="24"/>
        </w:rPr>
        <w:t>, Ibrahima Sissoko</w:t>
      </w:r>
      <w:r w:rsidRPr="00BF300B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BF300B">
        <w:rPr>
          <w:rFonts w:ascii="Times New Roman" w:hAnsi="Times New Roman"/>
          <w:i/>
          <w:sz w:val="24"/>
          <w:szCs w:val="24"/>
        </w:rPr>
        <w:t xml:space="preserve">, </w:t>
      </w:r>
      <w:r w:rsidRPr="00BF300B">
        <w:rPr>
          <w:rFonts w:ascii="Times New Roman" w:hAnsi="Times New Roman"/>
          <w:sz w:val="24"/>
          <w:szCs w:val="24"/>
        </w:rPr>
        <w:t>Ramadjita Tabo</w:t>
      </w:r>
      <w:r w:rsidRPr="00BF300B">
        <w:rPr>
          <w:rFonts w:ascii="Times New Roman" w:hAnsi="Times New Roman"/>
          <w:i/>
          <w:sz w:val="24"/>
          <w:szCs w:val="24"/>
          <w:vertAlign w:val="superscript"/>
        </w:rPr>
        <w:t>1</w:t>
      </w:r>
    </w:p>
    <w:p w:rsidR="004242BF" w:rsidRPr="00BF300B" w:rsidRDefault="005052A6" w:rsidP="004242BF">
      <w:pPr>
        <w:spacing w:after="240" w:line="240" w:lineRule="auto"/>
        <w:rPr>
          <w:rFonts w:ascii="Times New Roman" w:hAnsi="Times New Roman"/>
          <w:i/>
          <w:sz w:val="24"/>
          <w:szCs w:val="24"/>
          <w:lang w:val="fr-FR"/>
        </w:rPr>
      </w:pPr>
      <w:r w:rsidRPr="00BF300B">
        <w:rPr>
          <w:rFonts w:ascii="Times New Roman" w:hAnsi="Times New Roman"/>
          <w:i/>
          <w:sz w:val="24"/>
          <w:szCs w:val="24"/>
          <w:vertAlign w:val="superscript"/>
          <w:lang w:val="fr-FR"/>
        </w:rPr>
        <w:t>1</w:t>
      </w:r>
      <w:r w:rsidRPr="00BF300B">
        <w:rPr>
          <w:rFonts w:ascii="Times New Roman" w:hAnsi="Times New Roman"/>
          <w:i/>
          <w:sz w:val="24"/>
          <w:szCs w:val="24"/>
          <w:lang w:val="fr-FR"/>
        </w:rPr>
        <w:t xml:space="preserve"> ICRISAT-Mali,      </w:t>
      </w:r>
      <w:r w:rsidRPr="00BF300B">
        <w:rPr>
          <w:rFonts w:ascii="Times New Roman" w:hAnsi="Times New Roman"/>
          <w:i/>
          <w:sz w:val="24"/>
          <w:szCs w:val="24"/>
          <w:vertAlign w:val="superscript"/>
          <w:lang w:val="fr-FR"/>
        </w:rPr>
        <w:t>2</w:t>
      </w:r>
      <w:r w:rsidRPr="00BF300B">
        <w:rPr>
          <w:rFonts w:ascii="Times New Roman" w:hAnsi="Times New Roman"/>
          <w:i/>
          <w:sz w:val="24"/>
          <w:szCs w:val="24"/>
          <w:lang w:val="fr-FR"/>
        </w:rPr>
        <w:t xml:space="preserve"> IER and      </w:t>
      </w:r>
      <w:r w:rsidRPr="00BF300B">
        <w:rPr>
          <w:rFonts w:ascii="Times New Roman" w:hAnsi="Times New Roman"/>
          <w:i/>
          <w:sz w:val="24"/>
          <w:szCs w:val="24"/>
          <w:vertAlign w:val="superscript"/>
          <w:lang w:val="fr-FR"/>
        </w:rPr>
        <w:t>3</w:t>
      </w:r>
      <w:r w:rsidRPr="00BF300B">
        <w:rPr>
          <w:rFonts w:ascii="Times New Roman" w:hAnsi="Times New Roman"/>
          <w:i/>
          <w:sz w:val="24"/>
          <w:szCs w:val="24"/>
          <w:lang w:val="fr-FR"/>
        </w:rPr>
        <w:t>ICRISAT-India</w:t>
      </w:r>
    </w:p>
    <w:p w:rsidR="00474342" w:rsidRPr="00BF300B" w:rsidRDefault="00FA6CE1" w:rsidP="004242BF">
      <w:pPr>
        <w:spacing w:after="240" w:line="240" w:lineRule="auto"/>
        <w:rPr>
          <w:rFonts w:ascii="Times New Roman" w:hAnsi="Times New Roman"/>
          <w:b/>
          <w:i/>
          <w:sz w:val="24"/>
          <w:szCs w:val="24"/>
          <w:lang w:val="en-US"/>
        </w:rPr>
      </w:pPr>
      <w:r w:rsidRPr="00BF300B">
        <w:rPr>
          <w:rFonts w:ascii="Times New Roman" w:hAnsi="Times New Roman"/>
          <w:b/>
          <w:sz w:val="24"/>
          <w:szCs w:val="24"/>
        </w:rPr>
        <w:t xml:space="preserve">Objective of activity </w:t>
      </w:r>
    </w:p>
    <w:p w:rsidR="00474342" w:rsidRPr="00BF300B" w:rsidRDefault="00FA6CE1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sz w:val="24"/>
          <w:szCs w:val="24"/>
        </w:rPr>
        <w:t xml:space="preserve">The objective of this </w:t>
      </w:r>
      <w:r w:rsidR="003D07FC" w:rsidRPr="00BF300B">
        <w:rPr>
          <w:rFonts w:ascii="Times New Roman" w:hAnsi="Times New Roman"/>
          <w:sz w:val="24"/>
          <w:szCs w:val="24"/>
        </w:rPr>
        <w:t>activity</w:t>
      </w:r>
      <w:r w:rsidRPr="00BF300B">
        <w:rPr>
          <w:rFonts w:ascii="Times New Roman" w:hAnsi="Times New Roman"/>
          <w:sz w:val="24"/>
          <w:szCs w:val="24"/>
        </w:rPr>
        <w:t xml:space="preserve"> was to </w:t>
      </w:r>
      <w:r w:rsidR="003D07FC" w:rsidRPr="00BF300B">
        <w:rPr>
          <w:rFonts w:ascii="Times New Roman" w:hAnsi="Times New Roman"/>
          <w:sz w:val="24"/>
          <w:szCs w:val="24"/>
        </w:rPr>
        <w:t>develop drought tolerant population using CSM63E as recurrent parent, to evaluate</w:t>
      </w:r>
      <w:r w:rsidRPr="00BF300B">
        <w:rPr>
          <w:rFonts w:ascii="Times New Roman" w:hAnsi="Times New Roman"/>
          <w:sz w:val="24"/>
          <w:szCs w:val="24"/>
        </w:rPr>
        <w:t xml:space="preserve"> the BC1F3 p</w:t>
      </w:r>
      <w:r w:rsidR="003D07FC" w:rsidRPr="00BF300B">
        <w:rPr>
          <w:rFonts w:ascii="Times New Roman" w:hAnsi="Times New Roman"/>
          <w:sz w:val="24"/>
          <w:szCs w:val="24"/>
        </w:rPr>
        <w:t>rogenies</w:t>
      </w:r>
      <w:r w:rsidRPr="00BF300B">
        <w:rPr>
          <w:rFonts w:ascii="Times New Roman" w:hAnsi="Times New Roman"/>
          <w:sz w:val="24"/>
          <w:szCs w:val="24"/>
        </w:rPr>
        <w:t xml:space="preserve"> under po</w:t>
      </w:r>
      <w:r w:rsidR="003D07FC" w:rsidRPr="00BF300B">
        <w:rPr>
          <w:rFonts w:ascii="Times New Roman" w:hAnsi="Times New Roman"/>
          <w:sz w:val="24"/>
          <w:szCs w:val="24"/>
        </w:rPr>
        <w:t>st flowering stress environment and select adapted material for the target zone.</w:t>
      </w:r>
    </w:p>
    <w:p w:rsidR="00474342" w:rsidRPr="00BF300B" w:rsidRDefault="00FA6CE1" w:rsidP="004242BF">
      <w:pPr>
        <w:spacing w:after="240" w:line="240" w:lineRule="auto"/>
        <w:rPr>
          <w:rFonts w:ascii="Times New Roman" w:hAnsi="Times New Roman"/>
          <w:b/>
          <w:sz w:val="24"/>
          <w:szCs w:val="24"/>
        </w:rPr>
      </w:pPr>
      <w:r w:rsidRPr="00BF300B">
        <w:rPr>
          <w:rFonts w:ascii="Times New Roman" w:hAnsi="Times New Roman"/>
          <w:b/>
          <w:sz w:val="24"/>
          <w:szCs w:val="24"/>
        </w:rPr>
        <w:t xml:space="preserve">Materials and methods </w:t>
      </w:r>
    </w:p>
    <w:p w:rsidR="007D3300" w:rsidRPr="00BF300B" w:rsidRDefault="00812CE2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sz w:val="24"/>
          <w:szCs w:val="24"/>
        </w:rPr>
        <w:t>The material characterized here are progenies in BC1F3 generation. Th</w:t>
      </w:r>
      <w:r w:rsidR="00503CF7">
        <w:rPr>
          <w:rFonts w:ascii="Times New Roman" w:hAnsi="Times New Roman"/>
          <w:sz w:val="24"/>
          <w:szCs w:val="24"/>
        </w:rPr>
        <w:t>ese</w:t>
      </w:r>
      <w:r w:rsidRPr="00BF300B">
        <w:rPr>
          <w:rFonts w:ascii="Times New Roman" w:hAnsi="Times New Roman"/>
          <w:sz w:val="24"/>
          <w:szCs w:val="24"/>
        </w:rPr>
        <w:t xml:space="preserve"> progenies were obtained by crossing seven (7) drought-specific donor parents (IS15428; IS16044; IS16173; IS10876; IS3583; BBISS08; BBISS09) </w:t>
      </w:r>
      <w:r w:rsidR="007D3300" w:rsidRPr="00BF300B">
        <w:rPr>
          <w:rFonts w:ascii="Times New Roman" w:hAnsi="Times New Roman"/>
          <w:sz w:val="24"/>
          <w:szCs w:val="24"/>
        </w:rPr>
        <w:t xml:space="preserve">with CSM63E </w:t>
      </w:r>
      <w:r w:rsidR="00503CF7">
        <w:rPr>
          <w:rFonts w:ascii="Times New Roman" w:hAnsi="Times New Roman"/>
          <w:sz w:val="24"/>
          <w:szCs w:val="24"/>
        </w:rPr>
        <w:t xml:space="preserve">whish was used </w:t>
      </w:r>
      <w:r w:rsidR="007D3300" w:rsidRPr="00BF300B">
        <w:rPr>
          <w:rFonts w:ascii="Times New Roman" w:hAnsi="Times New Roman"/>
          <w:sz w:val="24"/>
          <w:szCs w:val="24"/>
        </w:rPr>
        <w:t>as recurrent parent and largely grown in the sub-sahelian zone (target zone</w:t>
      </w:r>
      <w:r w:rsidR="00503CF7">
        <w:rPr>
          <w:rFonts w:ascii="Times New Roman" w:hAnsi="Times New Roman"/>
          <w:sz w:val="24"/>
          <w:szCs w:val="24"/>
        </w:rPr>
        <w:t xml:space="preserve"> of the project</w:t>
      </w:r>
      <w:r w:rsidR="007D3300" w:rsidRPr="00BF300B">
        <w:rPr>
          <w:rFonts w:ascii="Times New Roman" w:hAnsi="Times New Roman"/>
          <w:sz w:val="24"/>
          <w:szCs w:val="24"/>
        </w:rPr>
        <w:t>).</w:t>
      </w:r>
    </w:p>
    <w:p w:rsidR="00474342" w:rsidRPr="00BF300B" w:rsidRDefault="00FA6CE1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sz w:val="24"/>
          <w:szCs w:val="24"/>
        </w:rPr>
        <w:t>Phenotypic selectio</w:t>
      </w:r>
      <w:r w:rsidR="007D3300" w:rsidRPr="00BF300B">
        <w:rPr>
          <w:rFonts w:ascii="Times New Roman" w:hAnsi="Times New Roman"/>
          <w:sz w:val="24"/>
          <w:szCs w:val="24"/>
        </w:rPr>
        <w:t>n has been applied in the BC1F2</w:t>
      </w:r>
      <w:r w:rsidRPr="00BF300B">
        <w:rPr>
          <w:rFonts w:ascii="Times New Roman" w:hAnsi="Times New Roman"/>
          <w:sz w:val="24"/>
          <w:szCs w:val="24"/>
        </w:rPr>
        <w:t xml:space="preserve"> population based only on plant flowering time to recover adaptation characteristics of the recurrent parents. </w:t>
      </w:r>
      <w:r w:rsidR="00024050" w:rsidRPr="00BF300B">
        <w:rPr>
          <w:rFonts w:ascii="Times New Roman" w:hAnsi="Times New Roman"/>
          <w:sz w:val="24"/>
          <w:szCs w:val="24"/>
        </w:rPr>
        <w:t>The BC1F3 populations were phenotyped in Cinzana (target zone) and then i</w:t>
      </w:r>
      <w:r w:rsidRPr="00BF300B">
        <w:rPr>
          <w:rFonts w:ascii="Times New Roman" w:hAnsi="Times New Roman"/>
          <w:sz w:val="24"/>
          <w:szCs w:val="24"/>
        </w:rPr>
        <w:t xml:space="preserve">ndividual plant </w:t>
      </w:r>
      <w:r w:rsidR="00024050" w:rsidRPr="00BF300B">
        <w:rPr>
          <w:rFonts w:ascii="Times New Roman" w:hAnsi="Times New Roman"/>
          <w:sz w:val="24"/>
          <w:szCs w:val="24"/>
        </w:rPr>
        <w:t xml:space="preserve">(BC1F4 seed) </w:t>
      </w:r>
      <w:r w:rsidRPr="00BF300B">
        <w:rPr>
          <w:rFonts w:ascii="Times New Roman" w:hAnsi="Times New Roman"/>
          <w:sz w:val="24"/>
          <w:szCs w:val="24"/>
        </w:rPr>
        <w:t xml:space="preserve">was selected </w:t>
      </w:r>
      <w:r w:rsidR="00024050" w:rsidRPr="00BF300B">
        <w:rPr>
          <w:rFonts w:ascii="Times New Roman" w:hAnsi="Times New Roman"/>
          <w:sz w:val="24"/>
          <w:szCs w:val="24"/>
        </w:rPr>
        <w:t>for seed increased and multi-locations phenotyping.</w:t>
      </w:r>
      <w:r w:rsidR="007D3300" w:rsidRPr="00BF300B">
        <w:rPr>
          <w:rFonts w:ascii="Times New Roman" w:hAnsi="Times New Roman"/>
          <w:sz w:val="24"/>
          <w:szCs w:val="24"/>
        </w:rPr>
        <w:t xml:space="preserve"> </w:t>
      </w:r>
    </w:p>
    <w:p w:rsidR="00474342" w:rsidRPr="00BF300B" w:rsidRDefault="00FA6CE1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b/>
          <w:sz w:val="24"/>
          <w:szCs w:val="24"/>
        </w:rPr>
        <w:t>Results and interpretation</w:t>
      </w:r>
      <w:r w:rsidRPr="00BF300B">
        <w:rPr>
          <w:rFonts w:ascii="Times New Roman" w:hAnsi="Times New Roman"/>
          <w:sz w:val="24"/>
          <w:szCs w:val="24"/>
        </w:rPr>
        <w:t xml:space="preserve"> </w:t>
      </w:r>
    </w:p>
    <w:p w:rsidR="003F4DF8" w:rsidRDefault="004242BF" w:rsidP="004242BF">
      <w:pPr>
        <w:tabs>
          <w:tab w:val="left" w:pos="3270"/>
        </w:tabs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sz w:val="24"/>
          <w:szCs w:val="24"/>
        </w:rPr>
        <w:t xml:space="preserve">A </w:t>
      </w:r>
      <w:r w:rsidR="00BF300B">
        <w:rPr>
          <w:rFonts w:ascii="Times New Roman" w:hAnsi="Times New Roman"/>
          <w:sz w:val="24"/>
          <w:szCs w:val="24"/>
        </w:rPr>
        <w:t>total</w:t>
      </w:r>
      <w:r w:rsidRPr="00BF300B">
        <w:rPr>
          <w:rFonts w:ascii="Times New Roman" w:hAnsi="Times New Roman"/>
          <w:sz w:val="24"/>
          <w:szCs w:val="24"/>
        </w:rPr>
        <w:t xml:space="preserve"> of 611 </w:t>
      </w:r>
      <w:r w:rsidR="00BF300B">
        <w:rPr>
          <w:rFonts w:ascii="Times New Roman" w:hAnsi="Times New Roman"/>
          <w:sz w:val="24"/>
          <w:szCs w:val="24"/>
        </w:rPr>
        <w:t xml:space="preserve">BC1F3 </w:t>
      </w:r>
      <w:r w:rsidR="00BF300B" w:rsidRPr="00BF300B">
        <w:rPr>
          <w:rFonts w:ascii="Times New Roman" w:hAnsi="Times New Roman"/>
          <w:sz w:val="24"/>
          <w:szCs w:val="24"/>
        </w:rPr>
        <w:t xml:space="preserve">drought </w:t>
      </w:r>
      <w:r w:rsidR="00BF300B">
        <w:rPr>
          <w:rFonts w:ascii="Times New Roman" w:hAnsi="Times New Roman"/>
          <w:sz w:val="24"/>
          <w:szCs w:val="24"/>
        </w:rPr>
        <w:t>progenies,</w:t>
      </w:r>
      <w:r w:rsidRPr="00BF300B">
        <w:rPr>
          <w:rFonts w:ascii="Times New Roman" w:hAnsi="Times New Roman"/>
          <w:sz w:val="24"/>
          <w:szCs w:val="24"/>
        </w:rPr>
        <w:t xml:space="preserve"> developed from 7 specific </w:t>
      </w:r>
      <w:r w:rsidR="00BF300B">
        <w:rPr>
          <w:rFonts w:ascii="Times New Roman" w:hAnsi="Times New Roman"/>
          <w:sz w:val="24"/>
          <w:szCs w:val="24"/>
        </w:rPr>
        <w:t xml:space="preserve">donor </w:t>
      </w:r>
      <w:r w:rsidRPr="00BF300B">
        <w:rPr>
          <w:rFonts w:ascii="Times New Roman" w:hAnsi="Times New Roman"/>
          <w:sz w:val="24"/>
          <w:szCs w:val="24"/>
        </w:rPr>
        <w:t xml:space="preserve">parents has been assessed. </w:t>
      </w:r>
      <w:r w:rsidR="00BF300B">
        <w:rPr>
          <w:rFonts w:ascii="Times New Roman" w:hAnsi="Times New Roman"/>
          <w:sz w:val="24"/>
          <w:szCs w:val="24"/>
        </w:rPr>
        <w:t>The number of progenies has mostly 70 to 108 per population, o</w:t>
      </w:r>
      <w:r w:rsidRPr="00BF300B">
        <w:rPr>
          <w:rFonts w:ascii="Times New Roman" w:hAnsi="Times New Roman"/>
          <w:sz w:val="24"/>
          <w:szCs w:val="24"/>
        </w:rPr>
        <w:t xml:space="preserve">nly </w:t>
      </w:r>
      <w:r w:rsidR="00BF300B">
        <w:rPr>
          <w:rFonts w:ascii="Times New Roman" w:hAnsi="Times New Roman"/>
          <w:sz w:val="24"/>
          <w:szCs w:val="24"/>
        </w:rPr>
        <w:t>the</w:t>
      </w:r>
      <w:r w:rsidRPr="00BF300B">
        <w:rPr>
          <w:rFonts w:ascii="Times New Roman" w:hAnsi="Times New Roman"/>
          <w:sz w:val="24"/>
          <w:szCs w:val="24"/>
        </w:rPr>
        <w:t xml:space="preserve"> population IS3583</w:t>
      </w:r>
      <w:r w:rsidR="00BF300B">
        <w:rPr>
          <w:rFonts w:ascii="Times New Roman" w:hAnsi="Times New Roman"/>
          <w:sz w:val="24"/>
          <w:szCs w:val="24"/>
        </w:rPr>
        <w:t xml:space="preserve">//CSM63E records </w:t>
      </w:r>
      <w:r w:rsidRPr="00BF300B">
        <w:rPr>
          <w:rFonts w:ascii="Times New Roman" w:hAnsi="Times New Roman"/>
          <w:sz w:val="24"/>
          <w:szCs w:val="24"/>
        </w:rPr>
        <w:t xml:space="preserve">progenies </w:t>
      </w:r>
      <w:r w:rsidR="00BF300B">
        <w:rPr>
          <w:rFonts w:ascii="Times New Roman" w:hAnsi="Times New Roman"/>
          <w:sz w:val="24"/>
          <w:szCs w:val="24"/>
        </w:rPr>
        <w:t xml:space="preserve">number </w:t>
      </w:r>
      <w:r w:rsidRPr="00BF300B">
        <w:rPr>
          <w:rFonts w:ascii="Times New Roman" w:hAnsi="Times New Roman"/>
          <w:sz w:val="24"/>
          <w:szCs w:val="24"/>
        </w:rPr>
        <w:t xml:space="preserve">&lt; 50 (Fig.1). </w:t>
      </w:r>
      <w:r w:rsidR="002476C6">
        <w:rPr>
          <w:rFonts w:ascii="Times New Roman" w:hAnsi="Times New Roman"/>
          <w:sz w:val="24"/>
          <w:szCs w:val="24"/>
        </w:rPr>
        <w:t xml:space="preserve">Among the populations, </w:t>
      </w:r>
      <w:r w:rsidR="002476C6" w:rsidRPr="00BF300B">
        <w:rPr>
          <w:rFonts w:ascii="Times New Roman" w:hAnsi="Times New Roman"/>
          <w:sz w:val="24"/>
          <w:szCs w:val="24"/>
        </w:rPr>
        <w:t xml:space="preserve">IS15428 </w:t>
      </w:r>
      <w:r w:rsidR="002476C6">
        <w:rPr>
          <w:rFonts w:ascii="Times New Roman" w:hAnsi="Times New Roman"/>
          <w:sz w:val="24"/>
          <w:szCs w:val="24"/>
        </w:rPr>
        <w:t xml:space="preserve">//CSM63E </w:t>
      </w:r>
      <w:r w:rsidR="003F4DF8">
        <w:rPr>
          <w:rFonts w:ascii="Times New Roman" w:hAnsi="Times New Roman"/>
          <w:sz w:val="24"/>
          <w:szCs w:val="24"/>
        </w:rPr>
        <w:t>recorded the higher grain yield per plant and IS16173//CSM63E had the lowest grain yield/plant (</w:t>
      </w:r>
      <w:r w:rsidR="003F4DF8" w:rsidRPr="00BF300B">
        <w:rPr>
          <w:rFonts w:ascii="Times New Roman" w:hAnsi="Times New Roman"/>
          <w:sz w:val="24"/>
          <w:szCs w:val="24"/>
        </w:rPr>
        <w:t>Figure 2</w:t>
      </w:r>
      <w:r w:rsidR="003F4DF8">
        <w:rPr>
          <w:rFonts w:ascii="Times New Roman" w:hAnsi="Times New Roman"/>
          <w:sz w:val="24"/>
          <w:szCs w:val="24"/>
        </w:rPr>
        <w:t xml:space="preserve">). </w:t>
      </w:r>
    </w:p>
    <w:p w:rsidR="004242BF" w:rsidRDefault="00CF77A8" w:rsidP="004242BF">
      <w:pPr>
        <w:tabs>
          <w:tab w:val="left" w:pos="3270"/>
        </w:tabs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figure 3 </w:t>
      </w:r>
      <w:r w:rsidR="006E12E6">
        <w:rPr>
          <w:rFonts w:ascii="Times New Roman" w:hAnsi="Times New Roman"/>
          <w:sz w:val="24"/>
          <w:szCs w:val="24"/>
        </w:rPr>
        <w:t>and 4 show respectively</w:t>
      </w:r>
      <w:r>
        <w:rPr>
          <w:rFonts w:ascii="Times New Roman" w:hAnsi="Times New Roman"/>
          <w:sz w:val="24"/>
          <w:szCs w:val="24"/>
        </w:rPr>
        <w:t xml:space="preserve"> the means and </w:t>
      </w:r>
      <w:r w:rsidR="00BB1A19">
        <w:rPr>
          <w:rFonts w:ascii="Times New Roman" w:hAnsi="Times New Roman"/>
          <w:sz w:val="24"/>
          <w:szCs w:val="24"/>
        </w:rPr>
        <w:t>variability</w:t>
      </w:r>
      <w:r>
        <w:rPr>
          <w:rFonts w:ascii="Times New Roman" w:hAnsi="Times New Roman"/>
          <w:sz w:val="24"/>
          <w:szCs w:val="24"/>
        </w:rPr>
        <w:t xml:space="preserve"> of heading date and plant height</w:t>
      </w:r>
      <w:r w:rsidR="00BB1A19">
        <w:rPr>
          <w:rFonts w:ascii="Times New Roman" w:hAnsi="Times New Roman"/>
          <w:sz w:val="24"/>
          <w:szCs w:val="24"/>
        </w:rPr>
        <w:t xml:space="preserve"> for each population</w:t>
      </w:r>
      <w:r>
        <w:rPr>
          <w:rFonts w:ascii="Times New Roman" w:hAnsi="Times New Roman"/>
          <w:sz w:val="24"/>
          <w:szCs w:val="24"/>
        </w:rPr>
        <w:t>. Most of progenies belonging to the different populations (ex</w:t>
      </w:r>
      <w:r w:rsidR="00E33D83">
        <w:rPr>
          <w:rFonts w:ascii="Times New Roman" w:hAnsi="Times New Roman"/>
          <w:sz w:val="24"/>
          <w:szCs w:val="24"/>
        </w:rPr>
        <w:t>cept</w:t>
      </w:r>
      <w:r>
        <w:rPr>
          <w:rFonts w:ascii="Times New Roman" w:hAnsi="Times New Roman"/>
          <w:sz w:val="24"/>
          <w:szCs w:val="24"/>
        </w:rPr>
        <w:t xml:space="preserve"> </w:t>
      </w:r>
      <w:r w:rsidRPr="00BF300B">
        <w:rPr>
          <w:rFonts w:ascii="Times New Roman" w:hAnsi="Times New Roman"/>
          <w:sz w:val="24"/>
          <w:szCs w:val="24"/>
        </w:rPr>
        <w:t>IS15428</w:t>
      </w:r>
      <w:r>
        <w:rPr>
          <w:rFonts w:ascii="Times New Roman" w:hAnsi="Times New Roman"/>
          <w:sz w:val="24"/>
          <w:szCs w:val="24"/>
        </w:rPr>
        <w:t>//CSM63E)</w:t>
      </w:r>
      <w:r w:rsidR="00E33D83">
        <w:rPr>
          <w:rFonts w:ascii="Times New Roman" w:hAnsi="Times New Roman"/>
          <w:sz w:val="24"/>
          <w:szCs w:val="24"/>
        </w:rPr>
        <w:t xml:space="preserve"> have earl</w:t>
      </w:r>
      <w:r w:rsidR="00BB1A19">
        <w:rPr>
          <w:rFonts w:ascii="Times New Roman" w:hAnsi="Times New Roman"/>
          <w:sz w:val="24"/>
          <w:szCs w:val="24"/>
        </w:rPr>
        <w:t>y</w:t>
      </w:r>
      <w:r w:rsidR="00E33D83">
        <w:rPr>
          <w:rFonts w:ascii="Times New Roman" w:hAnsi="Times New Roman"/>
          <w:sz w:val="24"/>
          <w:szCs w:val="24"/>
        </w:rPr>
        <w:t xml:space="preserve"> maturity compared to the recurren</w:t>
      </w:r>
      <w:r w:rsidR="00AA0460">
        <w:rPr>
          <w:rFonts w:ascii="Times New Roman" w:hAnsi="Times New Roman"/>
          <w:sz w:val="24"/>
          <w:szCs w:val="24"/>
        </w:rPr>
        <w:t>t parent (CSM63E, horizontal li</w:t>
      </w:r>
      <w:r w:rsidR="00E33D83">
        <w:rPr>
          <w:rFonts w:ascii="Times New Roman" w:hAnsi="Times New Roman"/>
          <w:sz w:val="24"/>
          <w:szCs w:val="24"/>
        </w:rPr>
        <w:t>ne</w:t>
      </w:r>
      <w:r w:rsidR="00925225">
        <w:rPr>
          <w:rFonts w:ascii="Times New Roman" w:hAnsi="Times New Roman"/>
          <w:sz w:val="24"/>
          <w:szCs w:val="24"/>
        </w:rPr>
        <w:t xml:space="preserve"> = 268 </w:t>
      </w:r>
      <w:r w:rsidR="00AA0460">
        <w:rPr>
          <w:rFonts w:ascii="Times New Roman" w:hAnsi="Times New Roman"/>
          <w:sz w:val="24"/>
          <w:szCs w:val="24"/>
        </w:rPr>
        <w:t>Julian</w:t>
      </w:r>
      <w:r w:rsidR="00925225">
        <w:rPr>
          <w:rFonts w:ascii="Times New Roman" w:hAnsi="Times New Roman"/>
          <w:sz w:val="24"/>
          <w:szCs w:val="24"/>
        </w:rPr>
        <w:t xml:space="preserve"> days</w:t>
      </w:r>
      <w:r w:rsidR="007A73B8">
        <w:rPr>
          <w:rFonts w:ascii="Times New Roman" w:hAnsi="Times New Roman"/>
          <w:sz w:val="24"/>
          <w:szCs w:val="24"/>
        </w:rPr>
        <w:t xml:space="preserve"> or JD</w:t>
      </w:r>
      <w:r w:rsidR="00EF7745">
        <w:rPr>
          <w:rFonts w:ascii="Times New Roman" w:hAnsi="Times New Roman"/>
          <w:sz w:val="24"/>
          <w:szCs w:val="24"/>
        </w:rPr>
        <w:t xml:space="preserve">). The </w:t>
      </w:r>
      <w:r w:rsidR="00BB1A19">
        <w:rPr>
          <w:rFonts w:ascii="Times New Roman" w:hAnsi="Times New Roman"/>
          <w:sz w:val="24"/>
          <w:szCs w:val="24"/>
        </w:rPr>
        <w:t>earliest</w:t>
      </w:r>
      <w:r w:rsidR="00EF7745">
        <w:rPr>
          <w:rFonts w:ascii="Times New Roman" w:hAnsi="Times New Roman"/>
          <w:sz w:val="24"/>
          <w:szCs w:val="24"/>
        </w:rPr>
        <w:t xml:space="preserve"> maturity progeny reach</w:t>
      </w:r>
      <w:r w:rsidR="00BB1A19">
        <w:rPr>
          <w:rFonts w:ascii="Times New Roman" w:hAnsi="Times New Roman"/>
          <w:sz w:val="24"/>
          <w:szCs w:val="24"/>
        </w:rPr>
        <w:t>es</w:t>
      </w:r>
      <w:r w:rsidR="00EF7745">
        <w:rPr>
          <w:rFonts w:ascii="Times New Roman" w:hAnsi="Times New Roman"/>
          <w:sz w:val="24"/>
          <w:szCs w:val="24"/>
        </w:rPr>
        <w:t xml:space="preserve"> 50% heading </w:t>
      </w:r>
      <w:r w:rsidR="00484F35">
        <w:rPr>
          <w:rFonts w:ascii="Times New Roman" w:hAnsi="Times New Roman"/>
          <w:sz w:val="24"/>
          <w:szCs w:val="24"/>
        </w:rPr>
        <w:t xml:space="preserve">3 weeks </w:t>
      </w:r>
      <w:r w:rsidR="00EF7745">
        <w:rPr>
          <w:rFonts w:ascii="Times New Roman" w:hAnsi="Times New Roman"/>
          <w:sz w:val="24"/>
          <w:szCs w:val="24"/>
        </w:rPr>
        <w:t>before the recurrent parent</w:t>
      </w:r>
      <w:r w:rsidR="00484F35">
        <w:rPr>
          <w:rFonts w:ascii="Times New Roman" w:hAnsi="Times New Roman"/>
          <w:sz w:val="24"/>
          <w:szCs w:val="24"/>
        </w:rPr>
        <w:t xml:space="preserve"> </w:t>
      </w:r>
      <w:r w:rsidR="00BB1A19">
        <w:rPr>
          <w:rFonts w:ascii="Times New Roman" w:hAnsi="Times New Roman"/>
          <w:sz w:val="24"/>
          <w:szCs w:val="24"/>
        </w:rPr>
        <w:t xml:space="preserve">(with a sowing date of July, 21) </w:t>
      </w:r>
      <w:r w:rsidR="00484F35">
        <w:rPr>
          <w:rFonts w:ascii="Times New Roman" w:hAnsi="Times New Roman"/>
          <w:sz w:val="24"/>
          <w:szCs w:val="24"/>
        </w:rPr>
        <w:t>and the shortest on</w:t>
      </w:r>
      <w:r w:rsidR="00BB1A19">
        <w:rPr>
          <w:rFonts w:ascii="Times New Roman" w:hAnsi="Times New Roman"/>
          <w:sz w:val="24"/>
          <w:szCs w:val="24"/>
        </w:rPr>
        <w:t>e</w:t>
      </w:r>
      <w:r w:rsidR="00484F35">
        <w:rPr>
          <w:rFonts w:ascii="Times New Roman" w:hAnsi="Times New Roman"/>
          <w:sz w:val="24"/>
          <w:szCs w:val="24"/>
        </w:rPr>
        <w:t xml:space="preserve"> is 126 cm inferior to the recurrent parent (263 cm). </w:t>
      </w:r>
      <w:r w:rsidR="004242BF" w:rsidRPr="00BF300B">
        <w:rPr>
          <w:rFonts w:ascii="Times New Roman" w:hAnsi="Times New Roman"/>
          <w:sz w:val="24"/>
          <w:szCs w:val="24"/>
        </w:rPr>
        <w:t xml:space="preserve">The </w:t>
      </w:r>
      <w:r w:rsidR="00BB1A19">
        <w:rPr>
          <w:rFonts w:ascii="Times New Roman" w:hAnsi="Times New Roman"/>
          <w:sz w:val="24"/>
          <w:szCs w:val="24"/>
        </w:rPr>
        <w:t>recurrent</w:t>
      </w:r>
      <w:r w:rsidR="004242BF" w:rsidRPr="00BF300B">
        <w:rPr>
          <w:rFonts w:ascii="Times New Roman" w:hAnsi="Times New Roman"/>
          <w:sz w:val="24"/>
          <w:szCs w:val="24"/>
        </w:rPr>
        <w:t xml:space="preserve"> line </w:t>
      </w:r>
      <w:r w:rsidR="00484F35">
        <w:rPr>
          <w:rFonts w:ascii="Times New Roman" w:hAnsi="Times New Roman"/>
          <w:sz w:val="24"/>
          <w:szCs w:val="24"/>
        </w:rPr>
        <w:t>CSM63E</w:t>
      </w:r>
      <w:r w:rsidR="004242BF" w:rsidRPr="00BF300B">
        <w:rPr>
          <w:rFonts w:ascii="Times New Roman" w:hAnsi="Times New Roman"/>
          <w:sz w:val="24"/>
          <w:szCs w:val="24"/>
        </w:rPr>
        <w:t xml:space="preserve"> and the check Seguifa did not differed for heading date </w:t>
      </w:r>
      <w:r w:rsidR="00BB1A19">
        <w:rPr>
          <w:rFonts w:ascii="Times New Roman" w:hAnsi="Times New Roman"/>
          <w:sz w:val="24"/>
          <w:szCs w:val="24"/>
        </w:rPr>
        <w:t xml:space="preserve">which is </w:t>
      </w:r>
      <w:r w:rsidR="004242BF" w:rsidRPr="00BF300B">
        <w:rPr>
          <w:rFonts w:ascii="Times New Roman" w:hAnsi="Times New Roman"/>
          <w:sz w:val="24"/>
          <w:szCs w:val="24"/>
        </w:rPr>
        <w:t>26</w:t>
      </w:r>
      <w:r w:rsidR="00484F35">
        <w:rPr>
          <w:rFonts w:ascii="Times New Roman" w:hAnsi="Times New Roman"/>
          <w:sz w:val="24"/>
          <w:szCs w:val="24"/>
        </w:rPr>
        <w:t>8</w:t>
      </w:r>
      <w:r w:rsidR="00BB1A19">
        <w:rPr>
          <w:rFonts w:ascii="Times New Roman" w:hAnsi="Times New Roman"/>
          <w:sz w:val="24"/>
          <w:szCs w:val="24"/>
        </w:rPr>
        <w:t xml:space="preserve"> days</w:t>
      </w:r>
      <w:r w:rsidR="00484F35">
        <w:rPr>
          <w:rFonts w:ascii="Times New Roman" w:hAnsi="Times New Roman"/>
          <w:sz w:val="24"/>
          <w:szCs w:val="24"/>
        </w:rPr>
        <w:t>.</w:t>
      </w:r>
    </w:p>
    <w:p w:rsidR="00A16797" w:rsidRPr="00BF300B" w:rsidRDefault="00A16797" w:rsidP="004242BF">
      <w:pPr>
        <w:tabs>
          <w:tab w:val="left" w:pos="3270"/>
        </w:tabs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 of 611 BC1F3 progenies were advanced by plant selfing using appropriated bags in to BC1F4 generation a</w:t>
      </w:r>
      <w:r w:rsidR="0074334B">
        <w:rPr>
          <w:rFonts w:ascii="Times New Roman" w:hAnsi="Times New Roman"/>
          <w:sz w:val="24"/>
          <w:szCs w:val="24"/>
        </w:rPr>
        <w:t>nd seed are available.</w:t>
      </w:r>
    </w:p>
    <w:p w:rsidR="00D561F2" w:rsidRDefault="00D561F2" w:rsidP="004242BF">
      <w:pPr>
        <w:tabs>
          <w:tab w:val="left" w:pos="4995"/>
        </w:tabs>
        <w:spacing w:after="240" w:line="240" w:lineRule="auto"/>
        <w:jc w:val="both"/>
        <w:rPr>
          <w:rFonts w:ascii="Times New Roman" w:hAnsi="Times New Roman"/>
          <w:sz w:val="24"/>
          <w:szCs w:val="24"/>
          <w:lang w:eastAsia="en-GB"/>
        </w:rPr>
      </w:pPr>
    </w:p>
    <w:p w:rsidR="00956FFE" w:rsidRDefault="00956FFE" w:rsidP="004242BF">
      <w:pPr>
        <w:tabs>
          <w:tab w:val="left" w:pos="4995"/>
        </w:tabs>
        <w:spacing w:after="240" w:line="240" w:lineRule="auto"/>
        <w:jc w:val="both"/>
        <w:rPr>
          <w:rFonts w:ascii="Times New Roman" w:hAnsi="Times New Roman"/>
          <w:sz w:val="24"/>
          <w:szCs w:val="24"/>
          <w:lang w:eastAsia="en-GB"/>
        </w:rPr>
      </w:pPr>
    </w:p>
    <w:p w:rsidR="00D561F2" w:rsidRDefault="00D561F2" w:rsidP="004242BF">
      <w:pPr>
        <w:tabs>
          <w:tab w:val="left" w:pos="4995"/>
        </w:tabs>
        <w:spacing w:after="240" w:line="240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2940050</wp:posOffset>
                </wp:positionH>
                <wp:positionV relativeFrom="paragraph">
                  <wp:posOffset>273050</wp:posOffset>
                </wp:positionV>
                <wp:extent cx="2952750" cy="264160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61F2" w:rsidRDefault="00D561F2">
                            <w:r w:rsidRPr="00BF300B">
                              <w:rPr>
                                <w:rFonts w:ascii="Times New Roman" w:hAnsi="Times New Roman"/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FC3A2E5" wp14:editId="1F4D015C">
                                  <wp:extent cx="2736850" cy="2489200"/>
                                  <wp:effectExtent l="0" t="0" r="6350" b="6350"/>
                                  <wp:docPr id="2" name="Chart 5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7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1.5pt;margin-top:21.5pt;width:232.5pt;height:2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" fillcolor="white [3201]" stroked="f" strokeweight=".5pt">
                <v:textbox>
                  <w:txbxContent>
                    <w:p w:rsidR="00D561F2" w:rsidRDefault="00D561F2">
                      <w:r w:rsidRPr="00BF300B">
                        <w:rPr>
                          <w:rFonts w:ascii="Times New Roman" w:hAnsi="Times New Roman"/>
                          <w:noProof/>
                          <w:lang w:val="en-US"/>
                        </w:rPr>
                        <w:drawing>
                          <wp:inline distT="0" distB="0" distL="0" distR="0" wp14:anchorId="4FC3A2E5" wp14:editId="1F4D015C">
                            <wp:extent cx="2736850" cy="2489200"/>
                            <wp:effectExtent l="0" t="0" r="6350" b="6350"/>
                            <wp:docPr id="2" name="Chart 5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8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74342" w:rsidRPr="00BF300B" w:rsidRDefault="00FA6CE1" w:rsidP="004242BF">
      <w:pPr>
        <w:tabs>
          <w:tab w:val="left" w:pos="4995"/>
        </w:tabs>
        <w:spacing w:after="240" w:line="240" w:lineRule="auto"/>
        <w:jc w:val="both"/>
        <w:rPr>
          <w:rFonts w:ascii="Times New Roman" w:hAnsi="Times New Roman"/>
        </w:rPr>
      </w:pPr>
      <w:r w:rsidRPr="00BF300B">
        <w:rPr>
          <w:rFonts w:ascii="Times New Roman" w:hAnsi="Times New Roman"/>
          <w:sz w:val="24"/>
          <w:szCs w:val="24"/>
          <w:lang w:eastAsia="en-GB"/>
        </w:rPr>
        <w:t xml:space="preserve">  </w:t>
      </w:r>
      <w:r w:rsidRPr="00BF300B">
        <w:rPr>
          <w:rFonts w:ascii="Times New Roman" w:hAnsi="Times New Roman"/>
          <w:noProof/>
          <w:sz w:val="24"/>
          <w:szCs w:val="24"/>
          <w:lang w:val="en-US"/>
        </w:rPr>
        <w:drawing>
          <wp:inline distT="0" distB="0" distL="0" distR="0">
            <wp:extent cx="2705100" cy="25146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BF300B">
        <w:rPr>
          <w:rFonts w:ascii="Times New Roman" w:hAnsi="Times New Roman"/>
          <w:sz w:val="24"/>
          <w:szCs w:val="24"/>
          <w:lang w:eastAsia="en-GB"/>
        </w:rPr>
        <w:t xml:space="preserve">              </w:t>
      </w:r>
    </w:p>
    <w:p w:rsidR="00474342" w:rsidRPr="00D561F2" w:rsidRDefault="00FA6CE1" w:rsidP="00D561F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561F2">
        <w:rPr>
          <w:rFonts w:ascii="Times New Roman" w:hAnsi="Times New Roman"/>
          <w:b/>
          <w:sz w:val="24"/>
          <w:szCs w:val="24"/>
        </w:rPr>
        <w:t>Fig. 1 Number of progenies/population</w:t>
      </w:r>
      <w:r w:rsidR="00D561F2" w:rsidRPr="00D561F2">
        <w:rPr>
          <w:rFonts w:ascii="Times New Roman" w:hAnsi="Times New Roman"/>
          <w:b/>
          <w:sz w:val="24"/>
          <w:szCs w:val="24"/>
        </w:rPr>
        <w:tab/>
      </w:r>
      <w:r w:rsidR="00D561F2" w:rsidRPr="00D561F2">
        <w:rPr>
          <w:rFonts w:ascii="Times New Roman" w:hAnsi="Times New Roman"/>
          <w:b/>
          <w:sz w:val="24"/>
          <w:szCs w:val="24"/>
        </w:rPr>
        <w:tab/>
      </w:r>
      <w:r w:rsidRPr="00D561F2">
        <w:rPr>
          <w:rFonts w:ascii="Times New Roman" w:hAnsi="Times New Roman"/>
          <w:b/>
          <w:sz w:val="24"/>
          <w:szCs w:val="24"/>
        </w:rPr>
        <w:t>Fig.</w:t>
      </w:r>
      <w:r w:rsidR="00D561F2" w:rsidRPr="00D561F2">
        <w:rPr>
          <w:rFonts w:ascii="Times New Roman" w:hAnsi="Times New Roman"/>
          <w:b/>
          <w:sz w:val="24"/>
          <w:szCs w:val="24"/>
        </w:rPr>
        <w:t xml:space="preserve"> </w:t>
      </w:r>
      <w:r w:rsidRPr="00D561F2">
        <w:rPr>
          <w:rFonts w:ascii="Times New Roman" w:hAnsi="Times New Roman"/>
          <w:b/>
          <w:sz w:val="24"/>
          <w:szCs w:val="24"/>
        </w:rPr>
        <w:t xml:space="preserve">2. </w:t>
      </w:r>
      <w:r w:rsidR="00D561F2" w:rsidRPr="00D561F2">
        <w:rPr>
          <w:rFonts w:ascii="Times New Roman" w:hAnsi="Times New Roman"/>
          <w:b/>
          <w:sz w:val="24"/>
          <w:szCs w:val="24"/>
        </w:rPr>
        <w:t>Grain yield of the different population developed</w:t>
      </w:r>
      <w:r w:rsidR="00D561F2">
        <w:rPr>
          <w:rFonts w:ascii="Times New Roman" w:hAnsi="Times New Roman"/>
          <w:b/>
          <w:sz w:val="24"/>
          <w:szCs w:val="24"/>
        </w:rPr>
        <w:tab/>
      </w:r>
      <w:r w:rsidR="00D561F2">
        <w:rPr>
          <w:rFonts w:ascii="Times New Roman" w:hAnsi="Times New Roman"/>
          <w:b/>
          <w:sz w:val="24"/>
          <w:szCs w:val="24"/>
        </w:rPr>
        <w:tab/>
      </w:r>
      <w:r w:rsidR="00D561F2" w:rsidRPr="00D561F2">
        <w:rPr>
          <w:rFonts w:ascii="Times New Roman" w:hAnsi="Times New Roman"/>
          <w:b/>
          <w:sz w:val="24"/>
          <w:szCs w:val="24"/>
        </w:rPr>
        <w:tab/>
      </w:r>
      <w:r w:rsidR="00D561F2" w:rsidRPr="00D561F2">
        <w:rPr>
          <w:rFonts w:ascii="Times New Roman" w:hAnsi="Times New Roman"/>
          <w:b/>
          <w:sz w:val="24"/>
          <w:szCs w:val="24"/>
        </w:rPr>
        <w:tab/>
      </w:r>
      <w:r w:rsidR="00D561F2" w:rsidRPr="00D561F2">
        <w:rPr>
          <w:rFonts w:ascii="Times New Roman" w:hAnsi="Times New Roman"/>
          <w:b/>
          <w:sz w:val="24"/>
          <w:szCs w:val="24"/>
        </w:rPr>
        <w:tab/>
      </w:r>
      <w:r w:rsidRPr="00D561F2">
        <w:rPr>
          <w:rFonts w:ascii="Times New Roman" w:hAnsi="Times New Roman"/>
          <w:b/>
          <w:sz w:val="24"/>
          <w:szCs w:val="24"/>
        </w:rPr>
        <w:t>grain weight per population</w:t>
      </w:r>
    </w:p>
    <w:p w:rsidR="00474342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221615</wp:posOffset>
                </wp:positionV>
                <wp:extent cx="5372100" cy="37147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FB8" w:rsidRDefault="00631FB8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5120052" cy="3613150"/>
                                  <wp:effectExtent l="0" t="0" r="4445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BCNAM_Jacumbe_2016_EP_lineOK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27007" cy="36180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pt;margin-top:17.45pt;width:423pt;height:29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" fillcolor="white [3201]" stroked="f" strokeweight=".5pt">
                <v:textbox>
                  <w:txbxContent>
                    <w:p w:rsidR="00631FB8" w:rsidRDefault="00631FB8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5120052" cy="3613150"/>
                            <wp:effectExtent l="0" t="0" r="4445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BCNAM_Jacumbe_2016_EP_lineOK.png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27007" cy="36180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Pr="00BF300B" w:rsidRDefault="00631FB8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1FB8" w:rsidRDefault="00631FB8" w:rsidP="007B46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4619" w:rsidRPr="00BF300B" w:rsidRDefault="007B4619" w:rsidP="007B46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193B" w:rsidRPr="00BF300B" w:rsidRDefault="00C35224" w:rsidP="007B46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sz w:val="24"/>
          <w:szCs w:val="24"/>
        </w:rPr>
        <w:t xml:space="preserve">Fig. 3 Heading Date </w:t>
      </w:r>
      <w:r w:rsidR="00B1193B" w:rsidRPr="00BF300B">
        <w:rPr>
          <w:rFonts w:ascii="Times New Roman" w:hAnsi="Times New Roman"/>
          <w:sz w:val="24"/>
          <w:szCs w:val="24"/>
        </w:rPr>
        <w:t xml:space="preserve">of the different populations </w:t>
      </w:r>
    </w:p>
    <w:p w:rsidR="00B1193B" w:rsidRPr="007B4619" w:rsidRDefault="00B1193B" w:rsidP="007B4619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7B4619">
        <w:rPr>
          <w:rFonts w:ascii="Times New Roman" w:hAnsi="Times New Roman"/>
          <w:i/>
          <w:sz w:val="20"/>
          <w:szCs w:val="20"/>
        </w:rPr>
        <w:t>T</w:t>
      </w:r>
      <w:r w:rsidR="00C35224" w:rsidRPr="007B4619">
        <w:rPr>
          <w:rFonts w:ascii="Times New Roman" w:hAnsi="Times New Roman"/>
          <w:i/>
          <w:sz w:val="20"/>
          <w:szCs w:val="20"/>
        </w:rPr>
        <w:t xml:space="preserve">he </w:t>
      </w:r>
      <w:r w:rsidRPr="007B4619">
        <w:rPr>
          <w:rFonts w:ascii="Times New Roman" w:hAnsi="Times New Roman"/>
          <w:i/>
          <w:sz w:val="20"/>
          <w:szCs w:val="20"/>
        </w:rPr>
        <w:t>horizontal line represents the mean (</w:t>
      </w:r>
      <w:r w:rsidR="00946A04" w:rsidRPr="007B4619">
        <w:rPr>
          <w:rFonts w:ascii="Times New Roman" w:hAnsi="Times New Roman"/>
          <w:i/>
          <w:sz w:val="20"/>
          <w:szCs w:val="20"/>
        </w:rPr>
        <w:t xml:space="preserve">268 JD) </w:t>
      </w:r>
      <w:r w:rsidRPr="007B4619">
        <w:rPr>
          <w:rFonts w:ascii="Times New Roman" w:hAnsi="Times New Roman"/>
          <w:i/>
          <w:sz w:val="20"/>
          <w:szCs w:val="20"/>
        </w:rPr>
        <w:t xml:space="preserve">of the </w:t>
      </w:r>
      <w:r w:rsidR="00C35224" w:rsidRPr="007B4619">
        <w:rPr>
          <w:rFonts w:ascii="Times New Roman" w:hAnsi="Times New Roman"/>
          <w:i/>
          <w:sz w:val="20"/>
          <w:szCs w:val="20"/>
        </w:rPr>
        <w:t xml:space="preserve">recurrent parent </w:t>
      </w:r>
      <w:r w:rsidRPr="007B4619">
        <w:rPr>
          <w:rFonts w:ascii="Times New Roman" w:hAnsi="Times New Roman"/>
          <w:i/>
          <w:sz w:val="20"/>
          <w:szCs w:val="20"/>
        </w:rPr>
        <w:t>(CMS63E)</w:t>
      </w:r>
    </w:p>
    <w:p w:rsidR="00C35224" w:rsidRDefault="00C35224" w:rsidP="004242BF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2110" w:rsidRDefault="00AF2110" w:rsidP="004242BF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B4619" w:rsidRDefault="007B4619" w:rsidP="004242BF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B4619" w:rsidRPr="00BF300B" w:rsidRDefault="007B4619" w:rsidP="004242BF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EC9B8F" wp14:editId="191886A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372100" cy="37147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3714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35224" w:rsidRDefault="00C35224" w:rsidP="00C35224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70924FD" wp14:editId="04DCA1F4">
                                  <wp:extent cx="5179695" cy="3616960"/>
                                  <wp:effectExtent l="0" t="0" r="1905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BCNAM_Jacumbe_2016_HPL_line2OK.png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79695" cy="3616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9B8F" id="Text Box 6" o:spid="_x0000_s1027" type="#_x0000_t202" style="position:absolute;left:0;text-align:left;margin-left:0;margin-top:-.05pt;width:423pt;height:29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" fillcolor="window" stroked="f" strokeweight=".5pt">
                <v:textbox>
                  <w:txbxContent>
                    <w:p w:rsidR="00C35224" w:rsidRDefault="00C35224" w:rsidP="00C35224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70924FD" wp14:editId="04DCA1F4">
                            <wp:extent cx="5179695" cy="3616960"/>
                            <wp:effectExtent l="0" t="0" r="1905" b="25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BCNAM_Jacumbe_2016_HPL_line2OK.png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79695" cy="3616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224" w:rsidRPr="00BF300B" w:rsidRDefault="00C3522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6A04" w:rsidRPr="00BF300B" w:rsidRDefault="00946A04" w:rsidP="004242BF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BF300B">
        <w:rPr>
          <w:rFonts w:ascii="Times New Roman" w:hAnsi="Times New Roman"/>
          <w:sz w:val="24"/>
          <w:szCs w:val="24"/>
        </w:rPr>
        <w:t xml:space="preserve">Fig. </w:t>
      </w:r>
      <w:r w:rsidR="004B1C5A" w:rsidRPr="00BF300B">
        <w:rPr>
          <w:rFonts w:ascii="Times New Roman" w:hAnsi="Times New Roman"/>
          <w:sz w:val="24"/>
          <w:szCs w:val="24"/>
        </w:rPr>
        <w:t>4</w:t>
      </w:r>
      <w:r w:rsidRPr="00BF300B">
        <w:rPr>
          <w:rFonts w:ascii="Times New Roman" w:hAnsi="Times New Roman"/>
          <w:sz w:val="24"/>
          <w:szCs w:val="24"/>
        </w:rPr>
        <w:t xml:space="preserve"> Plant height of the different populations </w:t>
      </w:r>
    </w:p>
    <w:p w:rsidR="00C35224" w:rsidRPr="007B4619" w:rsidRDefault="00946A04" w:rsidP="004242BF">
      <w:pPr>
        <w:spacing w:after="24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7B4619">
        <w:rPr>
          <w:rFonts w:ascii="Times New Roman" w:hAnsi="Times New Roman"/>
          <w:i/>
          <w:sz w:val="20"/>
          <w:szCs w:val="20"/>
        </w:rPr>
        <w:t>The horizontal line represents the mean (263 cm) of the recurrent parent (CMS63E)</w:t>
      </w:r>
    </w:p>
    <w:p w:rsidR="00474342" w:rsidRPr="001B3F4D" w:rsidRDefault="001B3F4D" w:rsidP="004242BF">
      <w:pPr>
        <w:tabs>
          <w:tab w:val="left" w:pos="3855"/>
        </w:tabs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3F4D">
        <w:rPr>
          <w:rFonts w:ascii="Times New Roman" w:hAnsi="Times New Roman"/>
          <w:b/>
          <w:sz w:val="24"/>
          <w:szCs w:val="24"/>
        </w:rPr>
        <w:t xml:space="preserve">Next steps </w:t>
      </w:r>
    </w:p>
    <w:p w:rsidR="007B4619" w:rsidRPr="001B3F4D" w:rsidRDefault="00397A8A" w:rsidP="004242BF">
      <w:pPr>
        <w:tabs>
          <w:tab w:val="left" w:pos="3855"/>
        </w:tabs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1B3F4D">
        <w:rPr>
          <w:rFonts w:ascii="Times New Roman" w:hAnsi="Times New Roman"/>
          <w:sz w:val="24"/>
          <w:szCs w:val="24"/>
        </w:rPr>
        <w:t xml:space="preserve">The plan on this activity is to increase seed of the BC1F4 seed in off-season and bulking around 24 plants per accession. This seed will be then used of phenotyping in drought </w:t>
      </w:r>
      <w:r w:rsidR="006E4569">
        <w:rPr>
          <w:rFonts w:ascii="Times New Roman" w:hAnsi="Times New Roman"/>
          <w:sz w:val="24"/>
          <w:szCs w:val="24"/>
        </w:rPr>
        <w:t>a</w:t>
      </w:r>
      <w:r w:rsidRPr="001B3F4D">
        <w:rPr>
          <w:rFonts w:ascii="Times New Roman" w:hAnsi="Times New Roman"/>
          <w:sz w:val="24"/>
          <w:szCs w:val="24"/>
        </w:rPr>
        <w:t xml:space="preserve">rea in the sub-sahelian zone. Also, all of BC1F3:5 progenies will be assess for their drought tolerant in India using modern tools of physiology team and leaves samples will be </w:t>
      </w:r>
      <w:r w:rsidR="001B3F4D" w:rsidRPr="001B3F4D">
        <w:rPr>
          <w:rFonts w:ascii="Times New Roman" w:hAnsi="Times New Roman"/>
          <w:sz w:val="24"/>
          <w:szCs w:val="24"/>
        </w:rPr>
        <w:t xml:space="preserve">taken to generate GBS data for association analysis </w:t>
      </w:r>
      <w:r w:rsidR="006E4569">
        <w:rPr>
          <w:rFonts w:ascii="Times New Roman" w:hAnsi="Times New Roman"/>
          <w:sz w:val="24"/>
          <w:szCs w:val="24"/>
        </w:rPr>
        <w:t>in order to map drought toleran</w:t>
      </w:r>
      <w:r w:rsidR="001B3F4D" w:rsidRPr="001B3F4D">
        <w:rPr>
          <w:rFonts w:ascii="Times New Roman" w:hAnsi="Times New Roman"/>
          <w:sz w:val="24"/>
          <w:szCs w:val="24"/>
        </w:rPr>
        <w:t>ce QTLs and convert them to easy markers for breeding programs.</w:t>
      </w:r>
    </w:p>
    <w:p w:rsidR="00474342" w:rsidRPr="00BF300B" w:rsidRDefault="00474342" w:rsidP="004242BF">
      <w:pPr>
        <w:tabs>
          <w:tab w:val="left" w:pos="3855"/>
        </w:tabs>
        <w:spacing w:after="24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474342" w:rsidRPr="00BF300B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582" w:rsidRDefault="001A4582">
      <w:pPr>
        <w:spacing w:after="0" w:line="240" w:lineRule="auto"/>
      </w:pPr>
      <w:r>
        <w:separator/>
      </w:r>
    </w:p>
  </w:endnote>
  <w:endnote w:type="continuationSeparator" w:id="0">
    <w:p w:rsidR="001A4582" w:rsidRDefault="001A4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582" w:rsidRDefault="001A458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A4582" w:rsidRDefault="001A45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80CEF"/>
    <w:multiLevelType w:val="multilevel"/>
    <w:tmpl w:val="C81ECD58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342"/>
    <w:rsid w:val="00024050"/>
    <w:rsid w:val="001A4582"/>
    <w:rsid w:val="001B3F4D"/>
    <w:rsid w:val="002476C6"/>
    <w:rsid w:val="002A258A"/>
    <w:rsid w:val="002A3964"/>
    <w:rsid w:val="00397A8A"/>
    <w:rsid w:val="003D07FC"/>
    <w:rsid w:val="003F4DF8"/>
    <w:rsid w:val="004242BF"/>
    <w:rsid w:val="00474342"/>
    <w:rsid w:val="00484F35"/>
    <w:rsid w:val="004B1C5A"/>
    <w:rsid w:val="004C7F8A"/>
    <w:rsid w:val="00503CF7"/>
    <w:rsid w:val="005052A6"/>
    <w:rsid w:val="005506F1"/>
    <w:rsid w:val="0056163E"/>
    <w:rsid w:val="00631FB8"/>
    <w:rsid w:val="00634E16"/>
    <w:rsid w:val="006E12E6"/>
    <w:rsid w:val="006E4569"/>
    <w:rsid w:val="006F5184"/>
    <w:rsid w:val="0074334B"/>
    <w:rsid w:val="007A73B8"/>
    <w:rsid w:val="007B4619"/>
    <w:rsid w:val="007D3300"/>
    <w:rsid w:val="00812CE2"/>
    <w:rsid w:val="00925225"/>
    <w:rsid w:val="00946A04"/>
    <w:rsid w:val="00951470"/>
    <w:rsid w:val="00956FFE"/>
    <w:rsid w:val="009E2A52"/>
    <w:rsid w:val="00A16797"/>
    <w:rsid w:val="00A471EA"/>
    <w:rsid w:val="00AA0460"/>
    <w:rsid w:val="00AF2110"/>
    <w:rsid w:val="00B1193B"/>
    <w:rsid w:val="00BB1A19"/>
    <w:rsid w:val="00BF300B"/>
    <w:rsid w:val="00C35224"/>
    <w:rsid w:val="00C60703"/>
    <w:rsid w:val="00CF77A8"/>
    <w:rsid w:val="00D561F2"/>
    <w:rsid w:val="00D73277"/>
    <w:rsid w:val="00E33D83"/>
    <w:rsid w:val="00EC7B15"/>
    <w:rsid w:val="00ED056B"/>
    <w:rsid w:val="00EF7745"/>
    <w:rsid w:val="00FA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7A2AAE-A848-4BAF-8065-3BBD7C79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0.xml"/><Relationship Id="rId13" Type="http://schemas.openxmlformats.org/officeDocument/2006/relationships/image" Target="media/image30.png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0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1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r>
              <a:rPr lang="en-GB" sz="1000" b="1" i="0" u="none" strike="noStrike" kern="1200" cap="none" spc="0" baseline="0">
                <a:solidFill>
                  <a:srgbClr val="000000"/>
                </a:solidFill>
                <a:uFillTx/>
                <a:latin typeface="Calibri"/>
                <a:ea typeface=""/>
                <a:cs typeface=""/>
              </a:rPr>
              <a:t>Grain yield/Plant</a:t>
            </a:r>
          </a:p>
        </c:rich>
      </c:tx>
      <c:overlay val="0"/>
      <c:spPr>
        <a:noFill/>
        <a:ln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PG/Pan</c:v>
          </c:tx>
          <c:spPr>
            <a:pattFill prst="pct60">
              <a:fgClr>
                <a:sysClr val="windowText" lastClr="000000"/>
              </a:fgClr>
              <a:bgClr>
                <a:schemeClr val="bg1"/>
              </a:bgClr>
            </a:pattFill>
            <a:ln>
              <a:noFill/>
            </a:ln>
          </c:spPr>
          <c:invertIfNegative val="0"/>
          <c:cat>
            <c:strLit>
              <c:ptCount val="7"/>
              <c:pt idx="0">
                <c:v>POPIS15428</c:v>
              </c:pt>
              <c:pt idx="1">
                <c:v>POPIS16044</c:v>
              </c:pt>
              <c:pt idx="2">
                <c:v>POPIS16173</c:v>
              </c:pt>
              <c:pt idx="3">
                <c:v>POPIS10876</c:v>
              </c:pt>
              <c:pt idx="4">
                <c:v>POPIS3583</c:v>
              </c:pt>
              <c:pt idx="5">
                <c:v>POPBBISS08</c:v>
              </c:pt>
              <c:pt idx="6">
                <c:v>POPBBISS09</c:v>
              </c:pt>
            </c:strLit>
          </c:cat>
          <c:val>
            <c:numLit>
              <c:formatCode>General</c:formatCode>
              <c:ptCount val="7"/>
              <c:pt idx="0">
                <c:v>49.490467289719604</c:v>
              </c:pt>
              <c:pt idx="1">
                <c:v>29.883177570093444</c:v>
              </c:pt>
              <c:pt idx="2">
                <c:v>28.931632653061222</c:v>
              </c:pt>
              <c:pt idx="3">
                <c:v>31.677777777777788</c:v>
              </c:pt>
              <c:pt idx="4">
                <c:v>32.459090909090897</c:v>
              </c:pt>
              <c:pt idx="5">
                <c:v>30.715294117647062</c:v>
              </c:pt>
              <c:pt idx="6">
                <c:v>26.142857142857153</c:v>
              </c:pt>
            </c:numLit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55079312"/>
        <c:axId val="1755076048"/>
      </c:barChart>
      <c:valAx>
        <c:axId val="1755076048"/>
        <c:scaling>
          <c:orientation val="minMax"/>
        </c:scaling>
        <c:delete val="0"/>
        <c:axPos val="l"/>
        <c:majorGridlines>
          <c:spPr>
            <a:ln w="9528">
              <a:solidFill>
                <a:srgbClr val="868686"/>
              </a:solidFill>
              <a:prstDash val="solid"/>
              <a:round/>
            </a:ln>
          </c:spPr>
        </c:majorGridlines>
        <c:numFmt formatCode="0" sourceLinked="0"/>
        <c:majorTickMark val="none"/>
        <c:minorTickMark val="none"/>
        <c:tickLblPos val="nextTo"/>
        <c:spPr>
          <a:noFill/>
          <a:ln w="9528">
            <a:solidFill>
              <a:srgbClr val="868686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0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endParaRPr lang="en-US"/>
          </a:p>
        </c:txPr>
        <c:crossAx val="1755079312"/>
        <c:crosses val="autoZero"/>
        <c:crossBetween val="between"/>
      </c:valAx>
      <c:catAx>
        <c:axId val="175507931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8">
            <a:solidFill>
              <a:srgbClr val="868686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0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endParaRPr lang="en-US"/>
          </a:p>
        </c:txPr>
        <c:crossAx val="1755076048"/>
        <c:crossesAt val="0"/>
        <c:auto val="1"/>
        <c:lblAlgn val="ctr"/>
        <c:lblOffset val="100"/>
        <c:noMultiLvlLbl val="0"/>
      </c:catAx>
      <c:spPr>
        <a:solidFill>
          <a:srgbClr val="FFFFFF"/>
        </a:solidFill>
        <a:ln>
          <a:noFill/>
        </a:ln>
      </c:spPr>
    </c:plotArea>
    <c:plotVisOnly val="1"/>
    <c:dispBlanksAs val="gap"/>
    <c:showDLblsOverMax val="0"/>
  </c:chart>
  <c:spPr>
    <a:solidFill>
      <a:srgbClr val="FFFFFF"/>
    </a:solidFill>
    <a:ln w="9528">
      <a:solidFill>
        <a:srgbClr val="868686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GB" sz="1000" b="0" i="0" u="none" strike="noStrike" kern="1200" baseline="0">
          <a:solidFill>
            <a:srgbClr val="000000"/>
          </a:solidFill>
          <a:latin typeface="Calibri"/>
          <a:ea typeface=""/>
          <a:cs typeface="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c:style val="2"/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1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r>
              <a:rPr lang="en-GB" sz="1000" b="1" i="0" u="none" strike="noStrike" kern="1200" cap="none" spc="0" baseline="0">
                <a:solidFill>
                  <a:srgbClr val="000000"/>
                </a:solidFill>
                <a:uFillTx/>
                <a:latin typeface="Calibri"/>
                <a:ea typeface=""/>
                <a:cs typeface=""/>
              </a:rPr>
              <a:t>Progenies number/Pop </a:t>
            </a:r>
          </a:p>
        </c:rich>
      </c:tx>
      <c:layout>
        <c:manualLayout>
          <c:xMode val="edge"/>
          <c:yMode val="edge"/>
          <c:x val="0.27571059277967613"/>
          <c:y val="4.5390070921985819E-2"/>
        </c:manualLayout>
      </c:layout>
      <c:overlay val="0"/>
      <c:spPr>
        <a:noFill/>
        <a:ln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Nombre</c:v>
          </c:tx>
          <c:spPr>
            <a:pattFill prst="pct60">
              <a:fgClr>
                <a:sysClr val="windowText" lastClr="000000"/>
              </a:fgClr>
              <a:bgClr>
                <a:schemeClr val="bg1"/>
              </a:bgClr>
            </a:patt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lang="en-GB" sz="1000" b="0" i="0" u="none" strike="noStrike" kern="1200" baseline="0">
                    <a:solidFill>
                      <a:srgbClr val="000000"/>
                    </a:solidFill>
                    <a:latin typeface="Calibri"/>
                    <a:ea typeface=""/>
                    <a:cs typeface="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</c:ext>
            </c:extLst>
          </c:dLbls>
          <c:cat>
            <c:strLit>
              <c:ptCount val="7"/>
              <c:pt idx="0">
                <c:v>POPIS15428</c:v>
              </c:pt>
              <c:pt idx="1">
                <c:v>POPIS16044</c:v>
              </c:pt>
              <c:pt idx="2">
                <c:v>POPIS16173</c:v>
              </c:pt>
              <c:pt idx="3">
                <c:v>POPIS10876</c:v>
              </c:pt>
              <c:pt idx="4">
                <c:v>POPIS3583</c:v>
              </c:pt>
              <c:pt idx="5">
                <c:v>POPBBISS08</c:v>
              </c:pt>
              <c:pt idx="6">
                <c:v>POPBBISS09</c:v>
              </c:pt>
            </c:strLit>
          </c:cat>
          <c:val>
            <c:numLit>
              <c:formatCode>General</c:formatCode>
              <c:ptCount val="7"/>
              <c:pt idx="0">
                <c:v>108</c:v>
              </c:pt>
              <c:pt idx="1">
                <c:v>107</c:v>
              </c:pt>
              <c:pt idx="2">
                <c:v>98</c:v>
              </c:pt>
              <c:pt idx="3">
                <c:v>99</c:v>
              </c:pt>
              <c:pt idx="4">
                <c:v>44</c:v>
              </c:pt>
              <c:pt idx="5">
                <c:v>85</c:v>
              </c:pt>
              <c:pt idx="6">
                <c:v>70</c:v>
              </c:pt>
            </c:numLit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25"/>
        <c:axId val="1755080400"/>
        <c:axId val="1755084208"/>
      </c:barChart>
      <c:valAx>
        <c:axId val="1755084208"/>
        <c:scaling>
          <c:orientation val="minMax"/>
        </c:scaling>
        <c:delete val="1"/>
        <c:axPos val="l"/>
        <c:numFmt formatCode="General" sourceLinked="0"/>
        <c:majorTickMark val="none"/>
        <c:minorTickMark val="none"/>
        <c:tickLblPos val="nextTo"/>
        <c:crossAx val="1755080400"/>
        <c:crosses val="autoZero"/>
        <c:crossBetween val="between"/>
      </c:valAx>
      <c:catAx>
        <c:axId val="17550804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8">
            <a:solidFill>
              <a:srgbClr val="868686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0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endParaRPr lang="en-US"/>
          </a:p>
        </c:txPr>
        <c:crossAx val="1755084208"/>
        <c:crossesAt val="0"/>
        <c:auto val="1"/>
        <c:lblAlgn val="ctr"/>
        <c:lblOffset val="100"/>
        <c:noMultiLvlLbl val="0"/>
      </c:catAx>
      <c:spPr>
        <a:solidFill>
          <a:srgbClr val="FFFFFF"/>
        </a:solidFill>
        <a:ln>
          <a:noFill/>
        </a:ln>
      </c:spPr>
    </c:plotArea>
    <c:plotVisOnly val="1"/>
    <c:dispBlanksAs val="gap"/>
    <c:showDLblsOverMax val="0"/>
  </c:chart>
  <c:spPr>
    <a:solidFill>
      <a:srgbClr val="FFFFFF"/>
    </a:solidFill>
    <a:ln w="9528">
      <a:solidFill>
        <a:srgbClr val="868686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GB" sz="1000" b="0" i="0" u="none" strike="noStrike" kern="1200" baseline="0">
          <a:solidFill>
            <a:srgbClr val="000000"/>
          </a:solidFill>
          <a:latin typeface="Calibri"/>
          <a:ea typeface=""/>
          <a:cs typeface=""/>
        </a:defRPr>
      </a:pPr>
      <a:endParaRPr lang="en-US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1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r>
              <a:rPr lang="en-GB" sz="1000" b="1" i="0" u="none" strike="noStrike" kern="1200" cap="none" spc="0" baseline="0">
                <a:solidFill>
                  <a:srgbClr val="000000"/>
                </a:solidFill>
                <a:uFillTx/>
                <a:latin typeface="Calibri"/>
                <a:ea typeface=""/>
                <a:cs typeface=""/>
              </a:rPr>
              <a:t>Grain yield/Plant</a:t>
            </a:r>
          </a:p>
        </c:rich>
      </c:tx>
      <c:overlay val="0"/>
      <c:spPr>
        <a:noFill/>
        <a:ln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PG/Pan</c:v>
          </c:tx>
          <c:spPr>
            <a:pattFill prst="pct60">
              <a:fgClr>
                <a:sysClr val="windowText" lastClr="000000"/>
              </a:fgClr>
              <a:bgClr>
                <a:schemeClr val="bg1"/>
              </a:bgClr>
            </a:pattFill>
            <a:ln>
              <a:noFill/>
            </a:ln>
          </c:spPr>
          <c:invertIfNegative val="0"/>
          <c:cat>
            <c:strLit>
              <c:ptCount val="7"/>
              <c:pt idx="0">
                <c:v>POPIS15428</c:v>
              </c:pt>
              <c:pt idx="1">
                <c:v>POPIS16044</c:v>
              </c:pt>
              <c:pt idx="2">
                <c:v>POPIS16173</c:v>
              </c:pt>
              <c:pt idx="3">
                <c:v>POPIS10876</c:v>
              </c:pt>
              <c:pt idx="4">
                <c:v>POPIS3583</c:v>
              </c:pt>
              <c:pt idx="5">
                <c:v>POPBBISS08</c:v>
              </c:pt>
              <c:pt idx="6">
                <c:v>POPBBISS09</c:v>
              </c:pt>
            </c:strLit>
          </c:cat>
          <c:val>
            <c:numLit>
              <c:formatCode>General</c:formatCode>
              <c:ptCount val="7"/>
              <c:pt idx="0">
                <c:v>49.490467289719604</c:v>
              </c:pt>
              <c:pt idx="1">
                <c:v>29.883177570093444</c:v>
              </c:pt>
              <c:pt idx="2">
                <c:v>28.931632653061222</c:v>
              </c:pt>
              <c:pt idx="3">
                <c:v>31.677777777777788</c:v>
              </c:pt>
              <c:pt idx="4">
                <c:v>32.459090909090897</c:v>
              </c:pt>
              <c:pt idx="5">
                <c:v>30.715294117647062</c:v>
              </c:pt>
              <c:pt idx="6">
                <c:v>26.142857142857153</c:v>
              </c:pt>
            </c:numLit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607502800"/>
        <c:axId val="-607503888"/>
      </c:barChart>
      <c:valAx>
        <c:axId val="-607503888"/>
        <c:scaling>
          <c:orientation val="minMax"/>
        </c:scaling>
        <c:delete val="0"/>
        <c:axPos val="l"/>
        <c:majorGridlines>
          <c:spPr>
            <a:ln w="9528">
              <a:solidFill>
                <a:srgbClr val="868686"/>
              </a:solidFill>
              <a:prstDash val="solid"/>
              <a:round/>
            </a:ln>
          </c:spPr>
        </c:majorGridlines>
        <c:numFmt formatCode="0" sourceLinked="0"/>
        <c:majorTickMark val="none"/>
        <c:minorTickMark val="none"/>
        <c:tickLblPos val="nextTo"/>
        <c:spPr>
          <a:noFill/>
          <a:ln w="9528">
            <a:solidFill>
              <a:srgbClr val="868686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0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endParaRPr lang="en-US"/>
          </a:p>
        </c:txPr>
        <c:crossAx val="-607502800"/>
        <c:crosses val="autoZero"/>
        <c:crossBetween val="between"/>
      </c:valAx>
      <c:catAx>
        <c:axId val="-6075028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8">
            <a:solidFill>
              <a:srgbClr val="868686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lang="en-GB" sz="1000" b="0" i="0" u="none" strike="noStrike" kern="1200" baseline="0">
                <a:solidFill>
                  <a:srgbClr val="000000"/>
                </a:solidFill>
                <a:latin typeface="Calibri"/>
                <a:ea typeface=""/>
                <a:cs typeface=""/>
              </a:defRPr>
            </a:pPr>
            <a:endParaRPr lang="en-US"/>
          </a:p>
        </c:txPr>
        <c:crossAx val="-607503888"/>
        <c:crossesAt val="0"/>
        <c:auto val="1"/>
        <c:lblAlgn val="ctr"/>
        <c:lblOffset val="100"/>
        <c:noMultiLvlLbl val="0"/>
      </c:catAx>
      <c:spPr>
        <a:solidFill>
          <a:srgbClr val="FFFFFF"/>
        </a:solidFill>
        <a:ln>
          <a:noFill/>
        </a:ln>
      </c:spPr>
    </c:plotArea>
    <c:plotVisOnly val="1"/>
    <c:dispBlanksAs val="gap"/>
    <c:showDLblsOverMax val="0"/>
  </c:chart>
  <c:spPr>
    <a:solidFill>
      <a:srgbClr val="FFFFFF"/>
    </a:solidFill>
    <a:ln w="9528">
      <a:solidFill>
        <a:srgbClr val="868686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GB" sz="1000" b="0" i="0" u="none" strike="noStrike" kern="1200" baseline="0">
          <a:solidFill>
            <a:srgbClr val="000000"/>
          </a:solidFill>
          <a:latin typeface="Calibri"/>
          <a:ea typeface=""/>
          <a:cs typeface="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Nebie Baloua</cp:lastModifiedBy>
  <cp:revision>34</cp:revision>
  <dcterms:created xsi:type="dcterms:W3CDTF">2017-01-24T23:15:00Z</dcterms:created>
  <dcterms:modified xsi:type="dcterms:W3CDTF">2017-01-26T09:19:00Z</dcterms:modified>
</cp:coreProperties>
</file>