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2D9" w:rsidRPr="00DB16F0" w:rsidRDefault="001F22D9" w:rsidP="001F22D9">
      <w:pPr>
        <w:jc w:val="both"/>
        <w:rPr>
          <w:rFonts w:eastAsia="Times New Roman"/>
        </w:rPr>
      </w:pPr>
      <w:r w:rsidRPr="00DB16F0">
        <w:rPr>
          <w:rFonts w:eastAsia="Times New Roman"/>
          <w:b/>
          <w:bCs/>
          <w:highlight w:val="yellow"/>
        </w:rPr>
        <w:t xml:space="preserve">Activity: </w:t>
      </w:r>
      <w:bookmarkStart w:id="0" w:name="_GoBack"/>
      <w:r w:rsidRPr="00DB16F0">
        <w:rPr>
          <w:rFonts w:eastAsia="Times New Roman"/>
          <w:highlight w:val="yellow"/>
        </w:rPr>
        <w:t xml:space="preserve">Multi-environment evaluation of </w:t>
      </w:r>
      <w:proofErr w:type="spellStart"/>
      <w:r w:rsidRPr="00DB16F0">
        <w:rPr>
          <w:rFonts w:eastAsia="Times New Roman"/>
          <w:highlight w:val="yellow"/>
        </w:rPr>
        <w:t>pigeonpea</w:t>
      </w:r>
      <w:proofErr w:type="spellEnd"/>
      <w:r w:rsidRPr="00DB16F0">
        <w:rPr>
          <w:rFonts w:eastAsia="Times New Roman"/>
          <w:highlight w:val="yellow"/>
        </w:rPr>
        <w:t xml:space="preserve"> </w:t>
      </w:r>
      <w:r>
        <w:rPr>
          <w:rFonts w:eastAsia="Times New Roman"/>
          <w:highlight w:val="yellow"/>
        </w:rPr>
        <w:t xml:space="preserve">disease </w:t>
      </w:r>
      <w:r w:rsidRPr="00DB16F0">
        <w:rPr>
          <w:rFonts w:eastAsia="Times New Roman"/>
          <w:highlight w:val="yellow"/>
        </w:rPr>
        <w:t>nursery of 28 lines to wilt and SMD resistance</w:t>
      </w:r>
      <w:bookmarkEnd w:id="0"/>
    </w:p>
    <w:p w:rsidR="001F22D9" w:rsidRPr="00DB16F0" w:rsidRDefault="001F22D9" w:rsidP="001F22D9">
      <w:pPr>
        <w:jc w:val="both"/>
        <w:rPr>
          <w:bCs/>
          <w:lang w:val="en-US"/>
        </w:rPr>
      </w:pPr>
      <w:r w:rsidRPr="00DB16F0">
        <w:rPr>
          <w:rFonts w:eastAsia="Times New Roman"/>
          <w:b/>
        </w:rPr>
        <w:t>Objective</w:t>
      </w:r>
      <w:r w:rsidRPr="00DB16F0">
        <w:rPr>
          <w:rFonts w:eastAsia="Times New Roman"/>
        </w:rPr>
        <w:t xml:space="preserve">: </w:t>
      </w:r>
      <w:r>
        <w:rPr>
          <w:rFonts w:eastAsia="Times New Roman"/>
        </w:rPr>
        <w:t>(</w:t>
      </w:r>
      <w:proofErr w:type="spellStart"/>
      <w:r>
        <w:rPr>
          <w:rFonts w:eastAsia="Times New Roman"/>
        </w:rPr>
        <w:t>i</w:t>
      </w:r>
      <w:proofErr w:type="spellEnd"/>
      <w:r>
        <w:rPr>
          <w:rFonts w:eastAsia="Times New Roman"/>
        </w:rPr>
        <w:t>)</w:t>
      </w:r>
      <w:r w:rsidRPr="00DB16F0">
        <w:rPr>
          <w:bCs/>
          <w:lang w:val="en-US"/>
        </w:rPr>
        <w:t xml:space="preserve">To </w:t>
      </w:r>
      <w:r>
        <w:rPr>
          <w:bCs/>
          <w:lang w:val="en-US"/>
        </w:rPr>
        <w:t xml:space="preserve">study the G x E interaction and </w:t>
      </w:r>
      <w:r w:rsidRPr="00DB16F0">
        <w:rPr>
          <w:bCs/>
          <w:lang w:val="en-US"/>
        </w:rPr>
        <w:t>identify stable and broad based sources of resistance to Fusarium wilt and SMD (</w:t>
      </w:r>
      <w:r w:rsidRPr="00DB16F0">
        <w:rPr>
          <w:bCs/>
          <w:i/>
          <w:lang w:val="en-US"/>
        </w:rPr>
        <w:t xml:space="preserve">Fusarium </w:t>
      </w:r>
      <w:proofErr w:type="spellStart"/>
      <w:r w:rsidRPr="00DB16F0">
        <w:rPr>
          <w:bCs/>
          <w:i/>
          <w:lang w:val="en-US"/>
        </w:rPr>
        <w:t>udum</w:t>
      </w:r>
      <w:proofErr w:type="spellEnd"/>
      <w:r w:rsidRPr="00DB16F0">
        <w:rPr>
          <w:bCs/>
          <w:lang w:val="en-US"/>
        </w:rPr>
        <w:t xml:space="preserve">) </w:t>
      </w:r>
      <w:r>
        <w:rPr>
          <w:bCs/>
          <w:lang w:val="en-US"/>
        </w:rPr>
        <w:t>and (ii) Sh</w:t>
      </w:r>
      <w:r w:rsidRPr="00DB16F0">
        <w:rPr>
          <w:bCs/>
          <w:lang w:val="en-US"/>
        </w:rPr>
        <w:t>are resistant germplasm and breeding material with NARS.</w:t>
      </w:r>
    </w:p>
    <w:p w:rsidR="001F22D9" w:rsidRPr="00DB16F0" w:rsidRDefault="001F22D9" w:rsidP="001F22D9">
      <w:pPr>
        <w:jc w:val="both"/>
        <w:rPr>
          <w:rStyle w:val="size"/>
          <w:rFonts w:eastAsia="Times New Roman"/>
          <w:color w:val="000000"/>
        </w:rPr>
      </w:pPr>
      <w:r w:rsidRPr="00DB16F0">
        <w:rPr>
          <w:rStyle w:val="size"/>
          <w:rFonts w:eastAsia="Times New Roman"/>
          <w:b/>
          <w:color w:val="000000"/>
        </w:rPr>
        <w:t>Materials and methods</w:t>
      </w:r>
      <w:r w:rsidRPr="00DB16F0">
        <w:rPr>
          <w:rStyle w:val="size"/>
          <w:rFonts w:eastAsia="Times New Roman"/>
          <w:color w:val="000000"/>
        </w:rPr>
        <w:t>:</w:t>
      </w:r>
      <w:r w:rsidRPr="00DB16F0">
        <w:t xml:space="preserve"> </w:t>
      </w:r>
      <w:r>
        <w:rPr>
          <w:rStyle w:val="size"/>
          <w:rFonts w:eastAsia="Times New Roman"/>
          <w:color w:val="000000"/>
        </w:rPr>
        <w:t>U</w:t>
      </w:r>
      <w:r w:rsidRPr="00DB16F0">
        <w:rPr>
          <w:rStyle w:val="size"/>
          <w:rFonts w:eastAsia="Times New Roman"/>
          <w:color w:val="000000"/>
        </w:rPr>
        <w:t>nder the ICAR-ICRISAT collaboration</w:t>
      </w:r>
      <w:r>
        <w:rPr>
          <w:rStyle w:val="size"/>
          <w:rFonts w:eastAsia="Times New Roman"/>
          <w:color w:val="000000"/>
        </w:rPr>
        <w:t>, d</w:t>
      </w:r>
      <w:r w:rsidRPr="00DB16F0">
        <w:rPr>
          <w:rStyle w:val="size"/>
          <w:rFonts w:eastAsia="Times New Roman"/>
          <w:color w:val="000000"/>
        </w:rPr>
        <w:t xml:space="preserve">uring 2015-16 crop seasons, </w:t>
      </w:r>
      <w:proofErr w:type="spellStart"/>
      <w:r>
        <w:rPr>
          <w:rStyle w:val="size"/>
          <w:rFonts w:eastAsia="Times New Roman"/>
          <w:color w:val="000000"/>
        </w:rPr>
        <w:t>Pigeonpea</w:t>
      </w:r>
      <w:proofErr w:type="spellEnd"/>
      <w:r>
        <w:rPr>
          <w:rStyle w:val="size"/>
          <w:rFonts w:eastAsia="Times New Roman"/>
          <w:color w:val="000000"/>
        </w:rPr>
        <w:t xml:space="preserve"> Wilt and SM Disease Nursery (P</w:t>
      </w:r>
      <w:r w:rsidRPr="00DB16F0">
        <w:rPr>
          <w:rStyle w:val="size"/>
          <w:rFonts w:eastAsia="Times New Roman"/>
          <w:color w:val="000000"/>
        </w:rPr>
        <w:t>WSMDN</w:t>
      </w:r>
      <w:r>
        <w:rPr>
          <w:rStyle w:val="size"/>
          <w:rFonts w:eastAsia="Times New Roman"/>
          <w:color w:val="000000"/>
        </w:rPr>
        <w:t>)</w:t>
      </w:r>
      <w:r w:rsidRPr="00DB16F0">
        <w:rPr>
          <w:rStyle w:val="size"/>
          <w:rFonts w:eastAsia="Times New Roman"/>
          <w:color w:val="000000"/>
        </w:rPr>
        <w:t xml:space="preserve"> consisting of 30 entries (28 resistant cultivars and 2 susceptible checks) were evaluated for wilt and SMD resistance at different locations in India. Each entry was planted in one row of 4 m long and replicated twice. Wilt susceptible cultivar ICP 2376 and SMD susceptible cultivar ICP 8863 were planted after every four test entries in all locations. Additionally, all co-operators included a wilt and SMD susceptible checks of the local area as test entries for proper comparison.  Data on wilt and SMD was recorded thrice at seedling, flowering, and at maturity stages of the crop and compiled to identify resistant sources</w:t>
      </w:r>
      <w:r>
        <w:rPr>
          <w:rStyle w:val="size"/>
          <w:rFonts w:eastAsia="Times New Roman"/>
          <w:color w:val="000000"/>
        </w:rPr>
        <w:t xml:space="preserve"> across locations. Statistics of discriminating environments and stability of genotypes was also assessed.</w:t>
      </w:r>
    </w:p>
    <w:p w:rsidR="001F22D9" w:rsidRPr="00DB16F0" w:rsidRDefault="001F22D9" w:rsidP="001F22D9">
      <w:pPr>
        <w:jc w:val="both"/>
        <w:rPr>
          <w:rStyle w:val="size"/>
          <w:rFonts w:eastAsia="Times New Roman"/>
          <w:color w:val="000000"/>
        </w:rPr>
      </w:pPr>
      <w:r w:rsidRPr="00DB16F0">
        <w:rPr>
          <w:b/>
        </w:rPr>
        <w:t>Results and interpretation</w:t>
      </w:r>
      <w:r w:rsidRPr="00DB16F0">
        <w:t xml:space="preserve">:  </w:t>
      </w:r>
      <w:r w:rsidRPr="00DB16F0">
        <w:rPr>
          <w:rStyle w:val="size"/>
          <w:rFonts w:eastAsia="Times New Roman"/>
          <w:color w:val="000000"/>
        </w:rPr>
        <w:t>Data on wilt was received from 7 locations (</w:t>
      </w:r>
      <w:proofErr w:type="spellStart"/>
      <w:r w:rsidRPr="00DB16F0">
        <w:rPr>
          <w:rStyle w:val="size"/>
          <w:rFonts w:eastAsia="Times New Roman"/>
          <w:color w:val="000000"/>
        </w:rPr>
        <w:t>Badnapur</w:t>
      </w:r>
      <w:proofErr w:type="spellEnd"/>
      <w:r w:rsidRPr="00DB16F0">
        <w:rPr>
          <w:rStyle w:val="size"/>
          <w:rFonts w:eastAsia="Times New Roman"/>
          <w:color w:val="000000"/>
        </w:rPr>
        <w:t xml:space="preserve">, Bharuch, </w:t>
      </w:r>
      <w:proofErr w:type="spellStart"/>
      <w:r w:rsidRPr="00DB16F0">
        <w:rPr>
          <w:rStyle w:val="size"/>
          <w:rFonts w:eastAsia="Times New Roman"/>
          <w:color w:val="000000"/>
        </w:rPr>
        <w:t>Dholi</w:t>
      </w:r>
      <w:proofErr w:type="spellEnd"/>
      <w:r w:rsidRPr="00DB16F0">
        <w:rPr>
          <w:rStyle w:val="size"/>
          <w:rFonts w:eastAsia="Times New Roman"/>
          <w:color w:val="000000"/>
        </w:rPr>
        <w:t xml:space="preserve">, </w:t>
      </w:r>
      <w:proofErr w:type="spellStart"/>
      <w:r w:rsidRPr="00DB16F0">
        <w:rPr>
          <w:rStyle w:val="size"/>
          <w:rFonts w:eastAsia="Times New Roman"/>
          <w:color w:val="000000"/>
        </w:rPr>
        <w:t>Khargone</w:t>
      </w:r>
      <w:proofErr w:type="spellEnd"/>
      <w:r w:rsidRPr="00DB16F0">
        <w:rPr>
          <w:rStyle w:val="size"/>
          <w:rFonts w:eastAsia="Times New Roman"/>
          <w:color w:val="000000"/>
        </w:rPr>
        <w:t xml:space="preserve">, Kanpur, Coimbatore and </w:t>
      </w:r>
      <w:proofErr w:type="spellStart"/>
      <w:r w:rsidRPr="00DB16F0">
        <w:rPr>
          <w:rStyle w:val="size"/>
          <w:rFonts w:eastAsia="Times New Roman"/>
          <w:color w:val="000000"/>
        </w:rPr>
        <w:t>Rahuri</w:t>
      </w:r>
      <w:proofErr w:type="spellEnd"/>
      <w:r w:rsidRPr="00DB16F0">
        <w:rPr>
          <w:rStyle w:val="size"/>
          <w:rFonts w:eastAsia="Times New Roman"/>
          <w:color w:val="000000"/>
        </w:rPr>
        <w:t xml:space="preserve">). Five entries (ICPLs 99044, 200095, 87051, 99009 and 99055) were found resistant to wilt.  Entries having broad based resistance to SMD were identified based on data received from eight locations (Bharuch, </w:t>
      </w:r>
      <w:proofErr w:type="spellStart"/>
      <w:r w:rsidRPr="00DB16F0">
        <w:rPr>
          <w:rStyle w:val="size"/>
          <w:rFonts w:eastAsia="Times New Roman"/>
          <w:color w:val="000000"/>
        </w:rPr>
        <w:t>Dholi</w:t>
      </w:r>
      <w:proofErr w:type="spellEnd"/>
      <w:r w:rsidRPr="00DB16F0">
        <w:rPr>
          <w:rStyle w:val="size"/>
          <w:rFonts w:eastAsia="Times New Roman"/>
          <w:color w:val="000000"/>
        </w:rPr>
        <w:t xml:space="preserve">, </w:t>
      </w:r>
      <w:proofErr w:type="spellStart"/>
      <w:r w:rsidRPr="00DB16F0">
        <w:rPr>
          <w:rStyle w:val="size"/>
          <w:rFonts w:eastAsia="Times New Roman"/>
          <w:color w:val="000000"/>
        </w:rPr>
        <w:t>Patancheru</w:t>
      </w:r>
      <w:proofErr w:type="spellEnd"/>
      <w:r w:rsidRPr="00DB16F0">
        <w:rPr>
          <w:rStyle w:val="size"/>
          <w:rFonts w:eastAsia="Times New Roman"/>
          <w:color w:val="000000"/>
        </w:rPr>
        <w:t xml:space="preserve">, Bangalore, Coimbatore, </w:t>
      </w:r>
      <w:proofErr w:type="spellStart"/>
      <w:r w:rsidRPr="00DB16F0">
        <w:rPr>
          <w:rStyle w:val="size"/>
          <w:rFonts w:eastAsia="Times New Roman"/>
          <w:color w:val="000000"/>
        </w:rPr>
        <w:t>Badnapur</w:t>
      </w:r>
      <w:proofErr w:type="spellEnd"/>
      <w:r w:rsidRPr="00DB16F0">
        <w:rPr>
          <w:rStyle w:val="size"/>
          <w:rFonts w:eastAsia="Times New Roman"/>
          <w:color w:val="000000"/>
        </w:rPr>
        <w:t xml:space="preserve">, Varanasi and </w:t>
      </w:r>
      <w:proofErr w:type="spellStart"/>
      <w:r w:rsidRPr="00DB16F0">
        <w:rPr>
          <w:rStyle w:val="size"/>
          <w:rFonts w:eastAsia="Times New Roman"/>
          <w:color w:val="000000"/>
        </w:rPr>
        <w:t>Rahuri</w:t>
      </w:r>
      <w:proofErr w:type="spellEnd"/>
      <w:r w:rsidRPr="00DB16F0">
        <w:rPr>
          <w:rStyle w:val="size"/>
          <w:rFonts w:eastAsia="Times New Roman"/>
          <w:color w:val="000000"/>
        </w:rPr>
        <w:t xml:space="preserve">). </w:t>
      </w:r>
      <w:r>
        <w:rPr>
          <w:rStyle w:val="size"/>
          <w:rFonts w:eastAsia="Times New Roman"/>
          <w:color w:val="000000"/>
        </w:rPr>
        <w:t>O</w:t>
      </w:r>
      <w:r w:rsidRPr="00DB16F0">
        <w:rPr>
          <w:rStyle w:val="size"/>
          <w:rFonts w:eastAsia="Times New Roman"/>
          <w:color w:val="000000"/>
        </w:rPr>
        <w:t xml:space="preserve">ne entry (ICPL 99099) </w:t>
      </w:r>
      <w:r>
        <w:rPr>
          <w:rStyle w:val="size"/>
          <w:rFonts w:eastAsia="Times New Roman"/>
          <w:color w:val="000000"/>
        </w:rPr>
        <w:t>was</w:t>
      </w:r>
      <w:r w:rsidRPr="00DB16F0">
        <w:rPr>
          <w:rStyle w:val="size"/>
          <w:rFonts w:eastAsia="Times New Roman"/>
          <w:color w:val="000000"/>
        </w:rPr>
        <w:t xml:space="preserve"> found resistant to </w:t>
      </w:r>
      <w:r>
        <w:rPr>
          <w:rStyle w:val="size"/>
          <w:rFonts w:eastAsia="Times New Roman"/>
          <w:color w:val="000000"/>
        </w:rPr>
        <w:t xml:space="preserve">both wilt and SMD and can be good resistant donor in breeding program. </w:t>
      </w:r>
    </w:p>
    <w:p w:rsidR="001F22D9" w:rsidRPr="00DB16F0" w:rsidRDefault="001F22D9" w:rsidP="001F22D9">
      <w:pPr>
        <w:jc w:val="both"/>
      </w:pPr>
      <w:r>
        <w:rPr>
          <w:noProof/>
          <w:lang w:val="en-US"/>
        </w:rPr>
        <mc:AlternateContent>
          <mc:Choice Requires="wps">
            <w:drawing>
              <wp:anchor distT="45720" distB="45720" distL="114300" distR="114300" simplePos="0" relativeHeight="251662336" behindDoc="0" locked="0" layoutInCell="1" allowOverlap="1" wp14:anchorId="2CB4EF43" wp14:editId="344B9DC7">
                <wp:simplePos x="0" y="0"/>
                <wp:positionH relativeFrom="margin">
                  <wp:posOffset>2951480</wp:posOffset>
                </wp:positionH>
                <wp:positionV relativeFrom="paragraph">
                  <wp:posOffset>2234674</wp:posOffset>
                </wp:positionV>
                <wp:extent cx="255905" cy="243840"/>
                <wp:effectExtent l="0" t="0" r="10795"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905" cy="243840"/>
                        </a:xfrm>
                        <a:prstGeom prst="rect">
                          <a:avLst/>
                        </a:prstGeom>
                        <a:solidFill>
                          <a:srgbClr val="FFFFFF"/>
                        </a:solidFill>
                        <a:ln w="9525">
                          <a:solidFill>
                            <a:srgbClr val="000000"/>
                          </a:solidFill>
                          <a:miter lim="800000"/>
                          <a:headEnd/>
                          <a:tailEnd/>
                        </a:ln>
                      </wps:spPr>
                      <wps:txbx>
                        <w:txbxContent>
                          <w:p w:rsidR="001F22D9" w:rsidRDefault="001F22D9" w:rsidP="001F22D9">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B4EF43" id="_x0000_t202" coordsize="21600,21600" o:spt="202" path="m,l,21600r21600,l21600,xe">
                <v:stroke joinstyle="miter"/>
                <v:path gradientshapeok="t" o:connecttype="rect"/>
              </v:shapetype>
              <v:shape id="Text Box 2" o:spid="_x0000_s1026" type="#_x0000_t202" style="position:absolute;left:0;text-align:left;margin-left:232.4pt;margin-top:175.95pt;width:20.15pt;height:19.2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">
                <v:textbox>
                  <w:txbxContent>
                    <w:p w:rsidR="001F22D9" w:rsidRDefault="001F22D9" w:rsidP="001F22D9">
                      <w:r>
                        <w:t>B</w:t>
                      </w:r>
                    </w:p>
                  </w:txbxContent>
                </v:textbox>
                <w10:wrap type="square" anchorx="margin"/>
              </v:shape>
            </w:pict>
          </mc:Fallback>
        </mc:AlternateContent>
      </w:r>
      <w:r>
        <w:rPr>
          <w:noProof/>
          <w:lang w:val="en-US"/>
        </w:rPr>
        <mc:AlternateContent>
          <mc:Choice Requires="wps">
            <w:drawing>
              <wp:anchor distT="45720" distB="45720" distL="114300" distR="114300" simplePos="0" relativeHeight="251661312" behindDoc="0" locked="0" layoutInCell="1" allowOverlap="1" wp14:anchorId="53F0BD39" wp14:editId="55981D0E">
                <wp:simplePos x="0" y="0"/>
                <wp:positionH relativeFrom="margin">
                  <wp:posOffset>10686</wp:posOffset>
                </wp:positionH>
                <wp:positionV relativeFrom="paragraph">
                  <wp:posOffset>2211705</wp:posOffset>
                </wp:positionV>
                <wp:extent cx="267335" cy="243840"/>
                <wp:effectExtent l="0" t="0" r="1841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335" cy="243840"/>
                        </a:xfrm>
                        <a:prstGeom prst="rect">
                          <a:avLst/>
                        </a:prstGeom>
                        <a:solidFill>
                          <a:srgbClr val="FFFFFF"/>
                        </a:solidFill>
                        <a:ln w="9525">
                          <a:solidFill>
                            <a:srgbClr val="000000"/>
                          </a:solidFill>
                          <a:miter lim="800000"/>
                          <a:headEnd/>
                          <a:tailEnd/>
                        </a:ln>
                      </wps:spPr>
                      <wps:txbx>
                        <w:txbxContent>
                          <w:p w:rsidR="001F22D9" w:rsidRDefault="001F22D9" w:rsidP="001F22D9">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0BD39" id="_x0000_s1027" type="#_x0000_t202" style="position:absolute;left:0;text-align:left;margin-left:.85pt;margin-top:174.15pt;width:21.05pt;height:19.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">
                <v:textbox>
                  <w:txbxContent>
                    <w:p w:rsidR="001F22D9" w:rsidRDefault="001F22D9" w:rsidP="001F22D9">
                      <w:r>
                        <w:t>A</w:t>
                      </w:r>
                    </w:p>
                  </w:txbxContent>
                </v:textbox>
                <w10:wrap type="square" anchorx="margin"/>
              </v:shape>
            </w:pict>
          </mc:Fallback>
        </mc:AlternateContent>
      </w:r>
      <w:r w:rsidRPr="00614A67">
        <w:rPr>
          <w:noProof/>
          <w:lang w:val="en-US"/>
        </w:rPr>
        <w:drawing>
          <wp:anchor distT="0" distB="0" distL="114300" distR="114300" simplePos="0" relativeHeight="251659264" behindDoc="1" locked="0" layoutInCell="1" allowOverlap="1" wp14:anchorId="479F8AC3" wp14:editId="4E9B2B2A">
            <wp:simplePos x="0" y="0"/>
            <wp:positionH relativeFrom="margin">
              <wp:align>right</wp:align>
            </wp:positionH>
            <wp:positionV relativeFrom="paragraph">
              <wp:posOffset>417551</wp:posOffset>
            </wp:positionV>
            <wp:extent cx="2789555" cy="2084070"/>
            <wp:effectExtent l="0" t="0" r="0" b="0"/>
            <wp:wrapTight wrapText="bothSides">
              <wp:wrapPolygon edited="0">
                <wp:start x="0" y="0"/>
                <wp:lineTo x="0" y="21324"/>
                <wp:lineTo x="21389" y="21324"/>
                <wp:lineTo x="21389" y="0"/>
                <wp:lineTo x="0" y="0"/>
              </wp:wrapPolygon>
            </wp:wrapTight>
            <wp:docPr id="1" name="Picture 1" descr="D:\PHOTOS\all dis pics\SMD_Picture\DSC004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HOTOS\all dis pics\SMD_Picture\DSC00462.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17406"/>
                    <a:stretch/>
                  </pic:blipFill>
                  <pic:spPr bwMode="auto">
                    <a:xfrm>
                      <a:off x="0" y="0"/>
                      <a:ext cx="2789555" cy="2084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31D3B94F" wp14:editId="2278D761">
            <wp:simplePos x="0" y="0"/>
            <wp:positionH relativeFrom="margin">
              <wp:align>left</wp:align>
            </wp:positionH>
            <wp:positionV relativeFrom="paragraph">
              <wp:posOffset>411945</wp:posOffset>
            </wp:positionV>
            <wp:extent cx="2869565" cy="2073275"/>
            <wp:effectExtent l="0" t="0" r="6985" b="3175"/>
            <wp:wrapTight wrapText="bothSides">
              <wp:wrapPolygon edited="0">
                <wp:start x="0" y="0"/>
                <wp:lineTo x="0" y="21435"/>
                <wp:lineTo x="21509" y="21435"/>
                <wp:lineTo x="21509" y="0"/>
                <wp:lineTo x="0" y="0"/>
              </wp:wrapPolygon>
            </wp:wrapTight>
            <wp:docPr id="2" name="Picture 2" descr="C:\Users\mksharma\AppData\Local\Microsoft\Windows\Temporary Internet Files\Content.Word\DSCN4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ksharma\AppData\Local\Microsoft\Windows\Temporary Internet Files\Content.Word\DSCN4657.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839" t="15814"/>
                    <a:stretch/>
                  </pic:blipFill>
                  <pic:spPr bwMode="auto">
                    <a:xfrm>
                      <a:off x="0" y="0"/>
                      <a:ext cx="2869565" cy="2073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B16F0">
        <w:rPr>
          <w:b/>
        </w:rPr>
        <w:t>Next steps</w:t>
      </w:r>
      <w:r w:rsidRPr="00DB16F0">
        <w:t>: This study facilitated the selection of genotypes with high level of resistance to wilt and SMD</w:t>
      </w:r>
      <w:r>
        <w:t xml:space="preserve"> that can be</w:t>
      </w:r>
      <w:r w:rsidRPr="00DB16F0">
        <w:t xml:space="preserve"> exploited in </w:t>
      </w:r>
      <w:proofErr w:type="spellStart"/>
      <w:r w:rsidRPr="00DB16F0">
        <w:t>pigeonpea</w:t>
      </w:r>
      <w:proofErr w:type="spellEnd"/>
      <w:r w:rsidRPr="00DB16F0">
        <w:t xml:space="preserve"> resistance breeding programmes.</w:t>
      </w:r>
    </w:p>
    <w:p w:rsidR="001F22D9" w:rsidRPr="00DB16F0" w:rsidRDefault="001F22D9" w:rsidP="001F22D9">
      <w:r>
        <w:t>Figure: Field screening in disease nursery under artificial epiphytotic conditions (A) Fusarium wilt screening - expression of resistant and susceptible plants; (B) SMD screening - expression of resistant and susceptible plants.</w:t>
      </w:r>
    </w:p>
    <w:p w:rsidR="009F5FEA" w:rsidRDefault="009F5FEA"/>
    <w:sectPr w:rsidR="009F5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7AD"/>
    <w:rsid w:val="001F22D9"/>
    <w:rsid w:val="009F5FEA"/>
    <w:rsid w:val="00DD17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A13BA-03F2-445E-9ACA-89044A67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2D9"/>
    <w:pPr>
      <w:spacing w:after="200" w:line="276"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1F2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318</Words>
  <Characters>1819</Characters>
  <Application>Microsoft Office Word</Application>
  <DocSecurity>0</DocSecurity>
  <Lines>15</Lines>
  <Paragraphs>4</Paragraphs>
  <ScaleCrop>false</ScaleCrop>
  <Company>Hewlett-Packard Company</Company>
  <LinksUpToDate>false</LinksUpToDate>
  <CharactersWithSpaces>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2017-02-26T10:17:00Z</dcterms:created>
  <dcterms:modified xsi:type="dcterms:W3CDTF">2017-02-26T10:18:00Z</dcterms:modified>
</cp:coreProperties>
</file>