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EF1" w:rsidRPr="00230EE4" w:rsidRDefault="00EA4EF1" w:rsidP="00EA4EF1">
      <w:pPr>
        <w:rPr>
          <w:rFonts w:ascii="Verdana" w:hAnsi="Verdana"/>
          <w:b/>
          <w:sz w:val="20"/>
          <w:szCs w:val="20"/>
        </w:rPr>
      </w:pPr>
      <w:r w:rsidRPr="00230EE4">
        <w:rPr>
          <w:rFonts w:ascii="Verdana" w:hAnsi="Verdana"/>
          <w:b/>
          <w:sz w:val="20"/>
          <w:szCs w:val="20"/>
        </w:rPr>
        <w:t>1-Establishment of field trials in the Southern and northern Guinea Savannas of Nigeria. Monitoring of crop performance by smallholder farmers around the trial sites. Use of field data to validate predictive models for legume technology dissemination</w:t>
      </w:r>
    </w:p>
    <w:p w:rsidR="00EA4EF1" w:rsidRDefault="00EA4EF1" w:rsidP="00EA4EF1">
      <w:pPr>
        <w:rPr>
          <w:color w:val="44546A" w:themeColor="dark2"/>
        </w:rPr>
      </w:pPr>
    </w:p>
    <w:p w:rsidR="00EA4EF1" w:rsidRPr="00491464" w:rsidRDefault="00EA4EF1" w:rsidP="00EA4EF1">
      <w:pPr>
        <w:spacing w:line="360" w:lineRule="auto"/>
        <w:jc w:val="both"/>
        <w:rPr>
          <w:rFonts w:ascii="Times New Roman" w:hAnsi="Times New Roman" w:cs="Times New Roman"/>
          <w:b/>
          <w:sz w:val="24"/>
          <w:szCs w:val="24"/>
        </w:rPr>
      </w:pPr>
      <w:r w:rsidRPr="00491464">
        <w:rPr>
          <w:rFonts w:ascii="Times New Roman" w:hAnsi="Times New Roman" w:cs="Times New Roman"/>
          <w:b/>
          <w:sz w:val="24"/>
          <w:szCs w:val="24"/>
        </w:rPr>
        <w:t>Objective</w:t>
      </w:r>
    </w:p>
    <w:p w:rsidR="00EA4EF1" w:rsidRPr="00491464" w:rsidRDefault="00EA4EF1" w:rsidP="00EA4EF1">
      <w:pPr>
        <w:spacing w:line="360" w:lineRule="auto"/>
        <w:jc w:val="both"/>
        <w:rPr>
          <w:rFonts w:ascii="Times New Roman" w:hAnsi="Times New Roman" w:cs="Times New Roman"/>
          <w:sz w:val="24"/>
          <w:szCs w:val="24"/>
        </w:rPr>
      </w:pPr>
      <w:r w:rsidRPr="00491464">
        <w:rPr>
          <w:rFonts w:ascii="Times New Roman" w:hAnsi="Times New Roman" w:cs="Times New Roman"/>
          <w:sz w:val="24"/>
          <w:szCs w:val="24"/>
        </w:rPr>
        <w:t xml:space="preserve">The objective of this work is to generate cultivar coefficients for 7 Cowpea varieties using </w:t>
      </w:r>
      <w:proofErr w:type="spellStart"/>
      <w:r w:rsidRPr="00491464">
        <w:rPr>
          <w:rFonts w:ascii="Times New Roman" w:hAnsi="Times New Roman" w:cs="Times New Roman"/>
          <w:sz w:val="24"/>
          <w:szCs w:val="24"/>
        </w:rPr>
        <w:t>CropGro</w:t>
      </w:r>
      <w:proofErr w:type="spellEnd"/>
      <w:r w:rsidRPr="00491464">
        <w:rPr>
          <w:rFonts w:ascii="Times New Roman" w:hAnsi="Times New Roman" w:cs="Times New Roman"/>
          <w:sz w:val="24"/>
          <w:szCs w:val="24"/>
        </w:rPr>
        <w:t xml:space="preserve"> model of DSSAT 4.6 </w:t>
      </w:r>
      <w:r>
        <w:rPr>
          <w:rFonts w:ascii="Times New Roman" w:hAnsi="Times New Roman" w:cs="Times New Roman"/>
          <w:sz w:val="24"/>
          <w:szCs w:val="24"/>
        </w:rPr>
        <w:t>for use in validating predictive models for legume technology dissemination</w:t>
      </w:r>
    </w:p>
    <w:p w:rsidR="00EA4EF1" w:rsidRPr="00491464" w:rsidRDefault="00EA4EF1" w:rsidP="00EA4EF1">
      <w:pPr>
        <w:spacing w:line="360" w:lineRule="auto"/>
        <w:jc w:val="both"/>
        <w:rPr>
          <w:rFonts w:ascii="Times New Roman" w:hAnsi="Times New Roman" w:cs="Times New Roman"/>
          <w:b/>
          <w:sz w:val="24"/>
          <w:szCs w:val="24"/>
        </w:rPr>
      </w:pPr>
      <w:r w:rsidRPr="00491464">
        <w:rPr>
          <w:rFonts w:ascii="Times New Roman" w:hAnsi="Times New Roman" w:cs="Times New Roman"/>
          <w:b/>
          <w:sz w:val="24"/>
          <w:szCs w:val="24"/>
        </w:rPr>
        <w:t xml:space="preserve">Materials and Methods </w:t>
      </w:r>
    </w:p>
    <w:p w:rsidR="00EA4EF1" w:rsidRPr="00491464" w:rsidRDefault="00EA4EF1" w:rsidP="00EA4EF1">
      <w:pPr>
        <w:spacing w:line="360" w:lineRule="auto"/>
        <w:jc w:val="both"/>
        <w:rPr>
          <w:rFonts w:ascii="Times New Roman" w:hAnsi="Times New Roman" w:cs="Times New Roman"/>
          <w:sz w:val="24"/>
          <w:szCs w:val="24"/>
        </w:rPr>
      </w:pPr>
      <w:r w:rsidRPr="00491464">
        <w:rPr>
          <w:rFonts w:ascii="Times New Roman" w:hAnsi="Times New Roman" w:cs="Times New Roman"/>
          <w:sz w:val="24"/>
          <w:szCs w:val="24"/>
        </w:rPr>
        <w:t xml:space="preserve">Trials were conducted under near-optimal conditions (moisture and nutrients non-limiting) via researcher managed conditions across various locations and sowing dates in rainy and dry season of 2016. Minimum data sets (MDS) for calibration of the models were collected across all locations. </w:t>
      </w:r>
      <w:proofErr w:type="spellStart"/>
      <w:r w:rsidRPr="00491464">
        <w:rPr>
          <w:rFonts w:ascii="Times New Roman" w:hAnsi="Times New Roman" w:cs="Times New Roman"/>
          <w:sz w:val="24"/>
          <w:szCs w:val="24"/>
        </w:rPr>
        <w:t>Phenological</w:t>
      </w:r>
      <w:proofErr w:type="spellEnd"/>
      <w:r w:rsidRPr="00491464">
        <w:rPr>
          <w:rFonts w:ascii="Times New Roman" w:hAnsi="Times New Roman" w:cs="Times New Roman"/>
          <w:sz w:val="24"/>
          <w:szCs w:val="24"/>
        </w:rPr>
        <w:t xml:space="preserve"> variables collected includes; number of days to first and full flower, first and full </w:t>
      </w:r>
      <w:proofErr w:type="spellStart"/>
      <w:r w:rsidRPr="00491464">
        <w:rPr>
          <w:rFonts w:ascii="Times New Roman" w:hAnsi="Times New Roman" w:cs="Times New Roman"/>
          <w:sz w:val="24"/>
          <w:szCs w:val="24"/>
        </w:rPr>
        <w:t>podding</w:t>
      </w:r>
      <w:proofErr w:type="spellEnd"/>
      <w:r w:rsidRPr="00491464">
        <w:rPr>
          <w:rFonts w:ascii="Times New Roman" w:hAnsi="Times New Roman" w:cs="Times New Roman"/>
          <w:sz w:val="24"/>
          <w:szCs w:val="24"/>
        </w:rPr>
        <w:t xml:space="preserve"> and physiological maturity. Yield data collected includes: number of pods per plant &amp; meter square; pod weight per plot, number of seeds per pod, pod yield per hectare, seed yield per hectare, tops weight at harvest, pod yield per hectare and seed yield per hectare. Ten common cowpea varieties and seven common soybean varieties were planted as treatments in an RCBD with 3 replications.</w:t>
      </w:r>
    </w:p>
    <w:p w:rsidR="00EA4EF1" w:rsidRPr="00491464" w:rsidRDefault="00EA4EF1" w:rsidP="00EA4EF1">
      <w:pPr>
        <w:rPr>
          <w:rFonts w:ascii="Times New Roman" w:hAnsi="Times New Roman" w:cs="Times New Roman"/>
          <w:b/>
          <w:sz w:val="24"/>
          <w:szCs w:val="24"/>
        </w:rPr>
      </w:pPr>
      <w:r w:rsidRPr="00491464">
        <w:rPr>
          <w:rFonts w:ascii="Times New Roman" w:hAnsi="Times New Roman" w:cs="Times New Roman"/>
          <w:b/>
          <w:sz w:val="24"/>
          <w:szCs w:val="24"/>
        </w:rPr>
        <w:t>Result and Discussion</w:t>
      </w:r>
    </w:p>
    <w:p w:rsidR="00EA4EF1" w:rsidRPr="00491464" w:rsidRDefault="00EA4EF1" w:rsidP="00EA4EF1">
      <w:pPr>
        <w:spacing w:line="360" w:lineRule="auto"/>
        <w:jc w:val="both"/>
        <w:rPr>
          <w:rFonts w:ascii="Times New Roman" w:hAnsi="Times New Roman" w:cs="Times New Roman"/>
          <w:sz w:val="24"/>
          <w:szCs w:val="24"/>
        </w:rPr>
      </w:pPr>
      <w:r w:rsidRPr="00491464">
        <w:rPr>
          <w:rFonts w:ascii="Times New Roman" w:hAnsi="Times New Roman" w:cs="Times New Roman"/>
          <w:sz w:val="24"/>
          <w:szCs w:val="24"/>
        </w:rPr>
        <w:t>Table 1 shows the results of coefficients generated from the calibration experiments using GENCALC tool of DSSAT 4.6 for the seven cowpea varieties used under the studies. Figures 1 to 7 show the 1:1 lines for observed vs simulated grain yield and the corresponding model statistics. Among all the varieties D-index values were in the range of 0.58 to 0.81, which is within the acceptable range of D-index measurements for model calibrations. Values for model efficiency (E and EF) were also within acceptable ranges for all the varieties. RMSE values were in hundreds for all the varieties except IT90K-277-2 (1077) which makes all the calibration to be within the acceptable range of statistics for model calibration.</w:t>
      </w:r>
    </w:p>
    <w:p w:rsidR="00EA4EF1" w:rsidRPr="00A25A47" w:rsidRDefault="00EA4EF1" w:rsidP="00EA4EF1">
      <w:pPr>
        <w:spacing w:line="360" w:lineRule="auto"/>
        <w:jc w:val="both"/>
        <w:rPr>
          <w:b/>
        </w:rPr>
      </w:pPr>
      <w:r w:rsidRPr="00A25A47">
        <w:rPr>
          <w:b/>
        </w:rPr>
        <w:t xml:space="preserve">Any Significant deviation from the work plan: </w:t>
      </w:r>
      <w:r w:rsidRPr="000743FB">
        <w:t>None</w:t>
      </w:r>
    </w:p>
    <w:p w:rsidR="00EA4EF1" w:rsidRPr="00491464" w:rsidRDefault="00EA4EF1" w:rsidP="00EA4EF1">
      <w:pPr>
        <w:rPr>
          <w:rFonts w:ascii="Times New Roman" w:hAnsi="Times New Roman" w:cs="Times New Roman"/>
          <w:sz w:val="24"/>
          <w:szCs w:val="24"/>
        </w:rPr>
      </w:pPr>
    </w:p>
    <w:p w:rsidR="00EA4EF1" w:rsidRDefault="00EA4EF1" w:rsidP="00EA4EF1">
      <w:pPr>
        <w:rPr>
          <w:rFonts w:ascii="Times New Roman" w:hAnsi="Times New Roman" w:cs="Times New Roman"/>
          <w:sz w:val="24"/>
          <w:szCs w:val="24"/>
        </w:rPr>
      </w:pPr>
    </w:p>
    <w:p w:rsidR="00EA4EF1" w:rsidRPr="00491464" w:rsidRDefault="00EA4EF1" w:rsidP="00EA4EF1">
      <w:pPr>
        <w:rPr>
          <w:rFonts w:ascii="Times New Roman" w:hAnsi="Times New Roman" w:cs="Times New Roman"/>
          <w:sz w:val="24"/>
          <w:szCs w:val="24"/>
        </w:rPr>
      </w:pPr>
      <w:r w:rsidRPr="00491464">
        <w:rPr>
          <w:rFonts w:ascii="Times New Roman" w:hAnsi="Times New Roman" w:cs="Times New Roman"/>
          <w:sz w:val="24"/>
          <w:szCs w:val="24"/>
        </w:rPr>
        <w:lastRenderedPageBreak/>
        <w:t xml:space="preserve">Table 1: Cowpea GSPs generated from trials in </w:t>
      </w:r>
      <w:proofErr w:type="spellStart"/>
      <w:r w:rsidRPr="00491464">
        <w:rPr>
          <w:rFonts w:ascii="Times New Roman" w:hAnsi="Times New Roman" w:cs="Times New Roman"/>
          <w:sz w:val="24"/>
          <w:szCs w:val="24"/>
        </w:rPr>
        <w:t>Minjibir</w:t>
      </w:r>
      <w:proofErr w:type="spellEnd"/>
      <w:r w:rsidRPr="00491464">
        <w:rPr>
          <w:rFonts w:ascii="Times New Roman" w:hAnsi="Times New Roman" w:cs="Times New Roman"/>
          <w:sz w:val="24"/>
          <w:szCs w:val="24"/>
        </w:rPr>
        <w:t>, B.U.K, Zaria and Abuja</w:t>
      </w:r>
    </w:p>
    <w:tbl>
      <w:tblPr>
        <w:tblStyle w:val="TableGrid"/>
        <w:tblW w:w="10710" w:type="dxa"/>
        <w:tblInd w:w="-455" w:type="dxa"/>
        <w:tblLook w:val="04A0" w:firstRow="1" w:lastRow="0" w:firstColumn="1" w:lastColumn="0" w:noHBand="0" w:noVBand="1"/>
      </w:tblPr>
      <w:tblGrid>
        <w:gridCol w:w="1309"/>
        <w:gridCol w:w="2305"/>
        <w:gridCol w:w="979"/>
        <w:gridCol w:w="977"/>
        <w:gridCol w:w="1052"/>
        <w:gridCol w:w="1030"/>
        <w:gridCol w:w="1030"/>
        <w:gridCol w:w="1051"/>
        <w:gridCol w:w="977"/>
      </w:tblGrid>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b/>
                <w:sz w:val="24"/>
                <w:szCs w:val="24"/>
              </w:rPr>
            </w:pPr>
            <w:r w:rsidRPr="00491464">
              <w:rPr>
                <w:rFonts w:ascii="Times New Roman" w:hAnsi="Times New Roman" w:cs="Times New Roman"/>
                <w:b/>
                <w:sz w:val="24"/>
                <w:szCs w:val="24"/>
              </w:rPr>
              <w:t>Parameter</w:t>
            </w:r>
          </w:p>
        </w:tc>
        <w:tc>
          <w:tcPr>
            <w:tcW w:w="2966" w:type="dxa"/>
          </w:tcPr>
          <w:p w:rsidR="00EA4EF1" w:rsidRPr="00491464" w:rsidRDefault="00EA4EF1" w:rsidP="00810446">
            <w:pPr>
              <w:spacing w:after="160" w:line="259" w:lineRule="auto"/>
              <w:rPr>
                <w:rFonts w:ascii="Times New Roman" w:hAnsi="Times New Roman" w:cs="Times New Roman"/>
                <w:b/>
                <w:sz w:val="24"/>
                <w:szCs w:val="24"/>
              </w:rPr>
            </w:pPr>
            <w:r w:rsidRPr="00491464">
              <w:rPr>
                <w:rFonts w:ascii="Times New Roman" w:hAnsi="Times New Roman" w:cs="Times New Roman"/>
                <w:b/>
                <w:sz w:val="24"/>
                <w:szCs w:val="24"/>
              </w:rPr>
              <w:t>Definition</w:t>
            </w:r>
          </w:p>
        </w:tc>
        <w:tc>
          <w:tcPr>
            <w:tcW w:w="6560" w:type="dxa"/>
            <w:gridSpan w:val="7"/>
          </w:tcPr>
          <w:p w:rsidR="00EA4EF1" w:rsidRPr="00491464" w:rsidRDefault="00EA4EF1" w:rsidP="00810446">
            <w:pPr>
              <w:jc w:val="center"/>
              <w:rPr>
                <w:rFonts w:ascii="Times New Roman" w:hAnsi="Times New Roman" w:cs="Times New Roman"/>
                <w:b/>
                <w:sz w:val="24"/>
                <w:szCs w:val="24"/>
              </w:rPr>
            </w:pPr>
            <w:r w:rsidRPr="00491464">
              <w:rPr>
                <w:rFonts w:ascii="Times New Roman" w:hAnsi="Times New Roman" w:cs="Times New Roman"/>
                <w:b/>
                <w:sz w:val="24"/>
                <w:szCs w:val="24"/>
              </w:rPr>
              <w:t>Variety</w:t>
            </w:r>
          </w:p>
        </w:tc>
      </w:tr>
      <w:tr w:rsidR="00EA4EF1" w:rsidRPr="00491464" w:rsidTr="00810446">
        <w:tc>
          <w:tcPr>
            <w:tcW w:w="1184" w:type="dxa"/>
          </w:tcPr>
          <w:p w:rsidR="00EA4EF1" w:rsidRPr="00491464" w:rsidRDefault="00EA4EF1" w:rsidP="00810446">
            <w:pPr>
              <w:rPr>
                <w:rFonts w:ascii="Times New Roman" w:hAnsi="Times New Roman" w:cs="Times New Roman"/>
                <w:b/>
                <w:sz w:val="24"/>
                <w:szCs w:val="24"/>
              </w:rPr>
            </w:pPr>
          </w:p>
        </w:tc>
        <w:tc>
          <w:tcPr>
            <w:tcW w:w="2966" w:type="dxa"/>
          </w:tcPr>
          <w:p w:rsidR="00EA4EF1" w:rsidRPr="00491464" w:rsidRDefault="00EA4EF1" w:rsidP="00810446">
            <w:pPr>
              <w:rPr>
                <w:rFonts w:ascii="Times New Roman" w:hAnsi="Times New Roman" w:cs="Times New Roman"/>
                <w:b/>
                <w:sz w:val="24"/>
                <w:szCs w:val="24"/>
              </w:rPr>
            </w:pPr>
          </w:p>
        </w:tc>
        <w:tc>
          <w:tcPr>
            <w:tcW w:w="980"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IT99K-573-1-1</w:t>
            </w:r>
          </w:p>
        </w:tc>
        <w:tc>
          <w:tcPr>
            <w:tcW w:w="810"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IT98K-205-8</w:t>
            </w:r>
          </w:p>
        </w:tc>
        <w:tc>
          <w:tcPr>
            <w:tcW w:w="1072"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UAM09 1046-6-1</w:t>
            </w:r>
          </w:p>
        </w:tc>
        <w:tc>
          <w:tcPr>
            <w:tcW w:w="909"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UAM09 1051-1</w:t>
            </w:r>
          </w:p>
        </w:tc>
        <w:tc>
          <w:tcPr>
            <w:tcW w:w="909"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UAM09 1056-6</w:t>
            </w:r>
          </w:p>
        </w:tc>
        <w:tc>
          <w:tcPr>
            <w:tcW w:w="1070"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UAM09</w:t>
            </w:r>
          </w:p>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1046-6-2</w:t>
            </w:r>
          </w:p>
        </w:tc>
        <w:tc>
          <w:tcPr>
            <w:tcW w:w="810" w:type="dxa"/>
          </w:tcPr>
          <w:p w:rsidR="00EA4EF1" w:rsidRPr="00491464" w:rsidRDefault="00EA4EF1" w:rsidP="00810446">
            <w:pPr>
              <w:rPr>
                <w:rFonts w:ascii="Times New Roman" w:hAnsi="Times New Roman" w:cs="Times New Roman"/>
                <w:b/>
                <w:sz w:val="24"/>
                <w:szCs w:val="24"/>
              </w:rPr>
            </w:pPr>
            <w:r w:rsidRPr="00491464">
              <w:rPr>
                <w:rFonts w:ascii="Times New Roman" w:hAnsi="Times New Roman" w:cs="Times New Roman"/>
                <w:b/>
                <w:sz w:val="24"/>
                <w:szCs w:val="24"/>
              </w:rPr>
              <w:t>IT90K-277-2</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EM-FL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between plant emergence and flower appearance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29.16</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31.49</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33.18</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25.35</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28.64</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29.66</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33.35</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FL-SH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between first flower and first pod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3.49</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3.51</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2.53</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3.46</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2.98</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2.96</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3.56</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FL-SD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between first flower and first seed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5.05</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7.92</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7.29</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5.14</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5.86</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7.12</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6.24</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SFDUR</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Seed filling duration for pod cohort at standard growth conditions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8.00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7.00</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6.00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14.00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5.5</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8.00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8.00</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SDPDV</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Average seed per pod under standard growing conditions </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3.5</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5.2</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5.2</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6.4</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10.3</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3.5</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PODUR</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required for cultivar to reach final pod load under optimal condition</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16.0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14.0</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16.0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15.0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32.0</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31.0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16.0</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SD-PM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between first seed and physiological maturity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35.50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38.66</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38.62</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25.46</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37.74</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32.59</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25.41</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THRESH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The maximum ratio of seed (seed + shell) at maturity</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82.00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82.00</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82.00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74.60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66.50</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77.70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82.00</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WTPSD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 xml:space="preserve">Maximum weight per seed </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0.441</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0.109</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0.549</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0.625</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0.437</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0.461</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0.633</w:t>
            </w:r>
          </w:p>
        </w:tc>
      </w:tr>
      <w:tr w:rsidR="00EA4EF1" w:rsidRPr="00491464" w:rsidTr="00810446">
        <w:tc>
          <w:tcPr>
            <w:tcW w:w="1184"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lastRenderedPageBreak/>
              <w:t xml:space="preserve">FL-LF  </w:t>
            </w:r>
          </w:p>
        </w:tc>
        <w:tc>
          <w:tcPr>
            <w:tcW w:w="2966" w:type="dxa"/>
          </w:tcPr>
          <w:p w:rsidR="00EA4EF1" w:rsidRPr="00491464" w:rsidRDefault="00EA4EF1" w:rsidP="00810446">
            <w:pPr>
              <w:spacing w:after="160" w:line="259" w:lineRule="auto"/>
              <w:rPr>
                <w:rFonts w:ascii="Times New Roman" w:hAnsi="Times New Roman" w:cs="Times New Roman"/>
                <w:sz w:val="24"/>
                <w:szCs w:val="24"/>
              </w:rPr>
            </w:pPr>
            <w:r w:rsidRPr="00491464">
              <w:rPr>
                <w:rFonts w:ascii="Times New Roman" w:hAnsi="Times New Roman" w:cs="Times New Roman"/>
                <w:sz w:val="24"/>
                <w:szCs w:val="24"/>
              </w:rPr>
              <w:t>Time between first flower and end of leaf expansion (</w:t>
            </w:r>
            <w:proofErr w:type="spellStart"/>
            <w:r w:rsidRPr="00491464">
              <w:rPr>
                <w:rFonts w:ascii="Times New Roman" w:hAnsi="Times New Roman" w:cs="Times New Roman"/>
                <w:sz w:val="24"/>
                <w:szCs w:val="24"/>
              </w:rPr>
              <w:t>photothermal</w:t>
            </w:r>
            <w:proofErr w:type="spellEnd"/>
            <w:r w:rsidRPr="00491464">
              <w:rPr>
                <w:rFonts w:ascii="Times New Roman" w:hAnsi="Times New Roman" w:cs="Times New Roman"/>
                <w:sz w:val="24"/>
                <w:szCs w:val="24"/>
              </w:rPr>
              <w:t xml:space="preserve"> days)</w:t>
            </w:r>
          </w:p>
        </w:tc>
        <w:tc>
          <w:tcPr>
            <w:tcW w:w="98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18.00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5.00</w:t>
            </w:r>
          </w:p>
        </w:tc>
        <w:tc>
          <w:tcPr>
            <w:tcW w:w="1072"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18.00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15.00</w:t>
            </w:r>
          </w:p>
        </w:tc>
        <w:tc>
          <w:tcPr>
            <w:tcW w:w="909"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17.00</w:t>
            </w:r>
          </w:p>
        </w:tc>
        <w:tc>
          <w:tcPr>
            <w:tcW w:w="107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16.00</w:t>
            </w:r>
          </w:p>
        </w:tc>
        <w:tc>
          <w:tcPr>
            <w:tcW w:w="810" w:type="dxa"/>
          </w:tcPr>
          <w:p w:rsidR="00EA4EF1" w:rsidRPr="00491464" w:rsidRDefault="00EA4EF1" w:rsidP="00810446">
            <w:pPr>
              <w:rPr>
                <w:rFonts w:ascii="Times New Roman" w:hAnsi="Times New Roman" w:cs="Times New Roman"/>
                <w:sz w:val="24"/>
                <w:szCs w:val="24"/>
              </w:rPr>
            </w:pPr>
            <w:r w:rsidRPr="00491464">
              <w:rPr>
                <w:rFonts w:ascii="Times New Roman" w:hAnsi="Times New Roman" w:cs="Times New Roman"/>
                <w:sz w:val="24"/>
                <w:szCs w:val="24"/>
              </w:rPr>
              <w:t>18.00</w:t>
            </w:r>
          </w:p>
        </w:tc>
      </w:tr>
    </w:tbl>
    <w:p w:rsidR="00EA4EF1" w:rsidRPr="00491464" w:rsidRDefault="00EA4EF1" w:rsidP="00EA4EF1">
      <w:pPr>
        <w:rPr>
          <w:rFonts w:ascii="Times New Roman" w:hAnsi="Times New Roman" w:cs="Times New Roman"/>
          <w:sz w:val="24"/>
          <w:szCs w:val="24"/>
        </w:rPr>
      </w:pPr>
    </w:p>
    <w:p w:rsidR="00EA4EF1" w:rsidRPr="00491464" w:rsidRDefault="00EA4EF1" w:rsidP="00EA4EF1">
      <w:pPr>
        <w:rPr>
          <w:rFonts w:ascii="Times New Roman" w:hAnsi="Times New Roman" w:cs="Times New Roman"/>
          <w:sz w:val="24"/>
          <w:szCs w:val="24"/>
        </w:rPr>
      </w:pPr>
      <w:r w:rsidRPr="00491464">
        <w:rPr>
          <w:rFonts w:ascii="Times New Roman" w:hAnsi="Times New Roman" w:cs="Times New Roman"/>
          <w:noProof/>
          <w:sz w:val="24"/>
          <w:szCs w:val="24"/>
        </w:rPr>
        <w:drawing>
          <wp:inline distT="0" distB="0" distL="0" distR="0" wp14:anchorId="268D2BE7" wp14:editId="10DA0B12">
            <wp:extent cx="5715000" cy="3781425"/>
            <wp:effectExtent l="0" t="0" r="0" b="9525"/>
            <wp:docPr id="1"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2="http://schemas.microsoft.com/office/drawing/2015/10/21/chartex" xmlns:cx1="http://schemas.microsoft.com/office/drawing/2015/9/8/chartex" xmlns:cx="http://schemas.microsoft.com/office/drawing/2014/chartex" xmln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EA4EF1" w:rsidRPr="00491464" w:rsidRDefault="00EA4EF1" w:rsidP="00EA4EF1">
      <w:pPr>
        <w:rPr>
          <w:rFonts w:ascii="Times New Roman" w:hAnsi="Times New Roman" w:cs="Times New Roman"/>
          <w:sz w:val="24"/>
          <w:szCs w:val="24"/>
        </w:rPr>
      </w:pPr>
      <w:r w:rsidRPr="00491464">
        <w:rPr>
          <w:rFonts w:ascii="Times New Roman" w:hAnsi="Times New Roman" w:cs="Times New Roman"/>
          <w:sz w:val="24"/>
          <w:szCs w:val="24"/>
        </w:rPr>
        <w:t xml:space="preserve">Figure 1: Observed v simulated seed yields of IT98K-205-8          </w:t>
      </w:r>
    </w:p>
    <w:p w:rsidR="00EA4EF1" w:rsidRPr="00491464" w:rsidRDefault="00EA4EF1" w:rsidP="00EA4EF1">
      <w:pPr>
        <w:rPr>
          <w:rFonts w:ascii="Times New Roman" w:hAnsi="Times New Roman" w:cs="Times New Roman"/>
          <w:sz w:val="24"/>
          <w:szCs w:val="24"/>
        </w:rPr>
      </w:pPr>
      <w:r w:rsidRPr="00491464">
        <w:rPr>
          <w:rFonts w:ascii="Times New Roman" w:hAnsi="Times New Roman" w:cs="Times New Roman"/>
          <w:noProof/>
          <w:sz w:val="24"/>
          <w:szCs w:val="24"/>
        </w:rPr>
        <w:lastRenderedPageBreak/>
        <w:drawing>
          <wp:inline distT="0" distB="0" distL="0" distR="0" wp14:anchorId="17E77653" wp14:editId="25B31E41">
            <wp:extent cx="5943600" cy="3762375"/>
            <wp:effectExtent l="0" t="0" r="0" b="9525"/>
            <wp:docPr id="7" name="Chart 7">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2="http://schemas.microsoft.com/office/drawing/2015/10/21/chartex" xmlns:cx1="http://schemas.microsoft.com/office/drawing/2015/9/8/chartex" xmlns:cx="http://schemas.microsoft.com/office/drawing/2014/chartex" xmln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EA4EF1" w:rsidRDefault="00EA4EF1" w:rsidP="00EA4EF1">
      <w:pPr>
        <w:rPr>
          <w:rFonts w:ascii="Times New Roman" w:hAnsi="Times New Roman" w:cs="Times New Roman"/>
          <w:sz w:val="24"/>
          <w:szCs w:val="24"/>
        </w:rPr>
      </w:pPr>
      <w:r w:rsidRPr="00491464">
        <w:rPr>
          <w:rFonts w:ascii="Times New Roman" w:hAnsi="Times New Roman" w:cs="Times New Roman"/>
          <w:sz w:val="24"/>
          <w:szCs w:val="24"/>
        </w:rPr>
        <w:t>Figure 2: Observed v simulated seed yields of IT90K-277-2</w:t>
      </w:r>
    </w:p>
    <w:p w:rsidR="00195644" w:rsidRDefault="00195644">
      <w:bookmarkStart w:id="0" w:name="_GoBack"/>
      <w:bookmarkEnd w:id="0"/>
    </w:p>
    <w:sectPr w:rsidR="00195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9A"/>
    <w:rsid w:val="00195644"/>
    <w:rsid w:val="002D6F9A"/>
    <w:rsid w:val="00EA4E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8A4B5-747C-4890-A354-E0D0DA46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E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4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HP-PC\Desktop\Data\Dr_Kamara\Kamara_Students\Abdurrahman\205-8%20YIELD%20PLOT.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HP-PC\Desktop\Data\Dr_Kamara\Kamara_Students\Abdurrahman\277-2%20YIELD%20PLO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xMode val="edge"/>
          <c:yMode val="edge"/>
          <c:x val="6.4747295398408747E-2"/>
          <c:y val="1.6686081206821479E-2"/>
          <c:w val="0.9107537279643555"/>
          <c:h val="0.86984856658679244"/>
        </c:manualLayout>
      </c:layout>
      <c:scatterChart>
        <c:scatterStyle val="lineMarker"/>
        <c:varyColors val="0"/>
        <c:ser>
          <c:idx val="0"/>
          <c:order val="0"/>
          <c:tx>
            <c:v>RUN_1</c:v>
          </c:tx>
          <c:spPr>
            <a:ln w="25400">
              <a:noFill/>
            </a:ln>
          </c:spPr>
          <c:marker>
            <c:symbol val="circle"/>
            <c:size val="6"/>
            <c:spPr>
              <a:solidFill>
                <a:srgbClr val="0000FF"/>
              </a:solidFill>
            </c:spPr>
          </c:marker>
          <c:xVal>
            <c:numRef>
              <c:f>'[205-8 YIELD PLOT.xlsx]Evaluate'!$M$8:$M$13</c:f>
              <c:numCache>
                <c:formatCode>General</c:formatCode>
                <c:ptCount val="6"/>
                <c:pt idx="0">
                  <c:v>1422</c:v>
                </c:pt>
                <c:pt idx="1">
                  <c:v>1530</c:v>
                </c:pt>
                <c:pt idx="2">
                  <c:v>1651</c:v>
                </c:pt>
                <c:pt idx="3">
                  <c:v>1702</c:v>
                </c:pt>
                <c:pt idx="4">
                  <c:v>1682</c:v>
                </c:pt>
                <c:pt idx="5">
                  <c:v>754</c:v>
                </c:pt>
              </c:numCache>
            </c:numRef>
          </c:xVal>
          <c:yVal>
            <c:numRef>
              <c:f>'[205-8 YIELD PLOT.xlsx]Evaluate'!$N$8:$N$13</c:f>
              <c:numCache>
                <c:formatCode>General</c:formatCode>
                <c:ptCount val="6"/>
                <c:pt idx="0">
                  <c:v>1562</c:v>
                </c:pt>
                <c:pt idx="1">
                  <c:v>1678</c:v>
                </c:pt>
                <c:pt idx="2">
                  <c:v>1679</c:v>
                </c:pt>
                <c:pt idx="3">
                  <c:v>1719</c:v>
                </c:pt>
                <c:pt idx="4">
                  <c:v>1802</c:v>
                </c:pt>
                <c:pt idx="5">
                  <c:v>811</c:v>
                </c:pt>
              </c:numCache>
            </c:numRef>
          </c:yVal>
          <c:smooth val="0"/>
          <c:extLst xmlns:c16r2="http://schemas.microsoft.com/office/drawing/2015/06/chart">
            <c:ext xmlns:c16="http://schemas.microsoft.com/office/drawing/2014/chart" uri="{C3380CC4-5D6E-409C-BE32-E72D297353CC}">
              <c16:uniqueId val="{00000000-550F-41C8-8482-ACF92E5B0350}"/>
            </c:ext>
          </c:extLst>
        </c:ser>
        <c:ser>
          <c:idx val="1"/>
          <c:order val="1"/>
          <c:spPr>
            <a:ln w="3175">
              <a:solidFill>
                <a:srgbClr val="FFFFFF"/>
              </a:solidFill>
              <a:prstDash val="solid"/>
            </a:ln>
          </c:spPr>
          <c:marker>
            <c:symbol val="none"/>
          </c:marker>
          <c:trendline>
            <c:spPr>
              <a:ln w="12700">
                <a:solidFill>
                  <a:srgbClr val="000000"/>
                </a:solidFill>
                <a:prstDash val="solid"/>
              </a:ln>
            </c:spPr>
            <c:trendlineType val="linear"/>
            <c:intercept val="0"/>
            <c:dispRSqr val="0"/>
            <c:dispEq val="0"/>
          </c:trendline>
          <c:xVal>
            <c:numLit>
              <c:formatCode>General</c:formatCode>
              <c:ptCount val="3"/>
              <c:pt idx="0">
                <c:v>0</c:v>
              </c:pt>
              <c:pt idx="1">
                <c:v>2500</c:v>
              </c:pt>
              <c:pt idx="2">
                <c:v>0</c:v>
              </c:pt>
            </c:numLit>
          </c:xVal>
          <c:yVal>
            <c:numLit>
              <c:formatCode>General</c:formatCode>
              <c:ptCount val="3"/>
              <c:pt idx="0">
                <c:v>0</c:v>
              </c:pt>
              <c:pt idx="1">
                <c:v>2500</c:v>
              </c:pt>
              <c:pt idx="2">
                <c:v>0</c:v>
              </c:pt>
            </c:numLit>
          </c:yVal>
          <c:smooth val="0"/>
          <c:extLst xmlns:c16r2="http://schemas.microsoft.com/office/drawing/2015/06/chart">
            <c:ext xmlns:c16="http://schemas.microsoft.com/office/drawing/2014/chart" uri="{C3380CC4-5D6E-409C-BE32-E72D297353CC}">
              <c16:uniqueId val="{00000002-550F-41C8-8482-ACF92E5B0350}"/>
            </c:ext>
          </c:extLst>
        </c:ser>
        <c:dLbls>
          <c:showLegendKey val="0"/>
          <c:showVal val="0"/>
          <c:showCatName val="0"/>
          <c:showSerName val="0"/>
          <c:showPercent val="0"/>
          <c:showBubbleSize val="0"/>
        </c:dLbls>
        <c:axId val="293088896"/>
        <c:axId val="293089456"/>
      </c:scatterChart>
      <c:valAx>
        <c:axId val="293088896"/>
        <c:scaling>
          <c:orientation val="minMax"/>
          <c:max val="2500"/>
          <c:min val="0"/>
        </c:scaling>
        <c:delete val="0"/>
        <c:axPos val="b"/>
        <c:title>
          <c:tx>
            <c:rich>
              <a:bodyPr/>
              <a:lstStyle/>
              <a:p>
                <a:pPr>
                  <a:defRPr sz="1000">
                    <a:latin typeface="Arial"/>
                    <a:ea typeface="Arial"/>
                    <a:cs typeface="Arial"/>
                  </a:defRPr>
                </a:pPr>
                <a:r>
                  <a:rPr lang="en-US"/>
                  <a:t>Yield at harvest maturity (kg [dm]/ha) simulated </a:t>
                </a:r>
              </a:p>
            </c:rich>
          </c:tx>
          <c:layout>
            <c:manualLayout>
              <c:xMode val="edge"/>
              <c:yMode val="edge"/>
              <c:x val="0.2432257849386685"/>
              <c:y val="0.88319743155224961"/>
            </c:manualLayout>
          </c:layout>
          <c:overlay val="0"/>
        </c:title>
        <c:numFmt formatCode="General" sourceLinked="1"/>
        <c:majorTickMark val="out"/>
        <c:minorTickMark val="none"/>
        <c:tickLblPos val="nextTo"/>
        <c:spPr>
          <a:ln>
            <a:solidFill>
              <a:srgbClr val="010000"/>
            </a:solidFill>
            <a:prstDash val="solid"/>
          </a:ln>
        </c:spPr>
        <c:txPr>
          <a:bodyPr/>
          <a:lstStyle/>
          <a:p>
            <a:pPr>
              <a:defRPr sz="1000"/>
            </a:pPr>
            <a:endParaRPr lang="en-US"/>
          </a:p>
        </c:txPr>
        <c:crossAx val="293089456"/>
        <c:crosses val="autoZero"/>
        <c:crossBetween val="midCat"/>
      </c:valAx>
      <c:valAx>
        <c:axId val="293089456"/>
        <c:scaling>
          <c:orientation val="minMax"/>
          <c:max val="2500"/>
          <c:min val="0"/>
        </c:scaling>
        <c:delete val="0"/>
        <c:axPos val="l"/>
        <c:title>
          <c:tx>
            <c:rich>
              <a:bodyPr/>
              <a:lstStyle/>
              <a:p>
                <a:pPr>
                  <a:defRPr sz="1000">
                    <a:latin typeface="Arial"/>
                    <a:ea typeface="Arial"/>
                    <a:cs typeface="Arial"/>
                  </a:defRPr>
                </a:pPr>
                <a:r>
                  <a:rPr lang="en-US"/>
                  <a:t>Yield at harvest maturity (kg [dm]/ha) measured</a:t>
                </a:r>
              </a:p>
            </c:rich>
          </c:tx>
          <c:layout>
            <c:manualLayout>
              <c:xMode val="edge"/>
              <c:yMode val="edge"/>
              <c:x val="1.7499269026596959E-2"/>
              <c:y val="5.3940713696539834E-2"/>
            </c:manualLayout>
          </c:layout>
          <c:overlay val="0"/>
        </c:title>
        <c:numFmt formatCode="General" sourceLinked="1"/>
        <c:majorTickMark val="out"/>
        <c:minorTickMark val="none"/>
        <c:tickLblPos val="nextTo"/>
        <c:spPr>
          <a:ln>
            <a:solidFill>
              <a:srgbClr val="010000"/>
            </a:solidFill>
            <a:prstDash val="solid"/>
          </a:ln>
        </c:spPr>
        <c:txPr>
          <a:bodyPr/>
          <a:lstStyle/>
          <a:p>
            <a:pPr>
              <a:defRPr sz="1000"/>
            </a:pPr>
            <a:endParaRPr lang="en-US"/>
          </a:p>
        </c:txPr>
        <c:crossAx val="293088896"/>
        <c:crosses val="autoZero"/>
        <c:crossBetween val="midCat"/>
      </c:valAx>
      <c:spPr>
        <a:noFill/>
        <a:ln>
          <a:solidFill>
            <a:srgbClr val="000000"/>
          </a:solidFill>
          <a:prstDash val="solid"/>
        </a:ln>
      </c:spPr>
    </c:plotArea>
    <c:plotVisOnly val="0"/>
    <c:dispBlanksAs val="gap"/>
    <c:showDLblsOverMax val="0"/>
  </c:chart>
  <c:spPr>
    <a:solidFill>
      <a:srgbClr val="FFFFFF"/>
    </a:solidFill>
    <a:ln w="3175">
      <a:solidFill>
        <a:srgbClr val="000000"/>
      </a:solidFill>
      <a:prstDash val="solid"/>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xMode val="edge"/>
          <c:yMode val="edge"/>
          <c:x val="6.4747295398408747E-2"/>
          <c:y val="1.6686081206821479E-2"/>
          <c:w val="0.9107537279643555"/>
          <c:h val="0.86984856658679244"/>
        </c:manualLayout>
      </c:layout>
      <c:scatterChart>
        <c:scatterStyle val="lineMarker"/>
        <c:varyColors val="0"/>
        <c:ser>
          <c:idx val="0"/>
          <c:order val="0"/>
          <c:tx>
            <c:v>RUN_1</c:v>
          </c:tx>
          <c:spPr>
            <a:ln w="25400">
              <a:noFill/>
            </a:ln>
          </c:spPr>
          <c:marker>
            <c:symbol val="circle"/>
            <c:size val="6"/>
            <c:spPr>
              <a:solidFill>
                <a:srgbClr val="0000FF"/>
              </a:solidFill>
            </c:spPr>
          </c:marker>
          <c:xVal>
            <c:numRef>
              <c:f>'[277-2 YIELD PLOT.xlsx]Evaluate'!$M$8:$M$13</c:f>
              <c:numCache>
                <c:formatCode>General</c:formatCode>
                <c:ptCount val="6"/>
                <c:pt idx="0">
                  <c:v>2538</c:v>
                </c:pt>
                <c:pt idx="1">
                  <c:v>2800</c:v>
                </c:pt>
                <c:pt idx="2">
                  <c:v>2807</c:v>
                </c:pt>
                <c:pt idx="3">
                  <c:v>2807</c:v>
                </c:pt>
                <c:pt idx="4">
                  <c:v>2983</c:v>
                </c:pt>
                <c:pt idx="5">
                  <c:v>1841</c:v>
                </c:pt>
              </c:numCache>
            </c:numRef>
          </c:xVal>
          <c:yVal>
            <c:numRef>
              <c:f>'[277-2 YIELD PLOT.xlsx]Evaluate'!$N$8:$N$13</c:f>
              <c:numCache>
                <c:formatCode>General</c:formatCode>
                <c:ptCount val="6"/>
                <c:pt idx="0">
                  <c:v>2771</c:v>
                </c:pt>
                <c:pt idx="1">
                  <c:v>2950</c:v>
                </c:pt>
                <c:pt idx="2">
                  <c:v>3088</c:v>
                </c:pt>
                <c:pt idx="3">
                  <c:v>2933</c:v>
                </c:pt>
                <c:pt idx="4">
                  <c:v>2931</c:v>
                </c:pt>
                <c:pt idx="5">
                  <c:v>1914</c:v>
                </c:pt>
              </c:numCache>
            </c:numRef>
          </c:yVal>
          <c:smooth val="0"/>
          <c:extLst xmlns:c16r2="http://schemas.microsoft.com/office/drawing/2015/06/chart">
            <c:ext xmlns:c16="http://schemas.microsoft.com/office/drawing/2014/chart" uri="{C3380CC4-5D6E-409C-BE32-E72D297353CC}">
              <c16:uniqueId val="{00000000-B54E-40E0-9595-44F61FC6EF2C}"/>
            </c:ext>
          </c:extLst>
        </c:ser>
        <c:ser>
          <c:idx val="1"/>
          <c:order val="1"/>
          <c:spPr>
            <a:ln w="3175">
              <a:solidFill>
                <a:srgbClr val="FFFFFF"/>
              </a:solidFill>
              <a:prstDash val="solid"/>
            </a:ln>
          </c:spPr>
          <c:marker>
            <c:symbol val="none"/>
          </c:marker>
          <c:trendline>
            <c:spPr>
              <a:ln w="12700">
                <a:solidFill>
                  <a:srgbClr val="000000"/>
                </a:solidFill>
                <a:prstDash val="solid"/>
              </a:ln>
            </c:spPr>
            <c:trendlineType val="linear"/>
            <c:intercept val="0"/>
            <c:dispRSqr val="0"/>
            <c:dispEq val="0"/>
          </c:trendline>
          <c:xVal>
            <c:numLit>
              <c:formatCode>General</c:formatCode>
              <c:ptCount val="3"/>
              <c:pt idx="0">
                <c:v>0</c:v>
              </c:pt>
              <c:pt idx="1">
                <c:v>3500</c:v>
              </c:pt>
              <c:pt idx="2">
                <c:v>0</c:v>
              </c:pt>
            </c:numLit>
          </c:xVal>
          <c:yVal>
            <c:numLit>
              <c:formatCode>General</c:formatCode>
              <c:ptCount val="3"/>
              <c:pt idx="0">
                <c:v>0</c:v>
              </c:pt>
              <c:pt idx="1">
                <c:v>3500</c:v>
              </c:pt>
              <c:pt idx="2">
                <c:v>0</c:v>
              </c:pt>
            </c:numLit>
          </c:yVal>
          <c:smooth val="0"/>
          <c:extLst xmlns:c16r2="http://schemas.microsoft.com/office/drawing/2015/06/chart">
            <c:ext xmlns:c16="http://schemas.microsoft.com/office/drawing/2014/chart" uri="{C3380CC4-5D6E-409C-BE32-E72D297353CC}">
              <c16:uniqueId val="{00000002-B54E-40E0-9595-44F61FC6EF2C}"/>
            </c:ext>
          </c:extLst>
        </c:ser>
        <c:dLbls>
          <c:showLegendKey val="0"/>
          <c:showVal val="0"/>
          <c:showCatName val="0"/>
          <c:showSerName val="0"/>
          <c:showPercent val="0"/>
          <c:showBubbleSize val="0"/>
        </c:dLbls>
        <c:axId val="290966288"/>
        <c:axId val="290966848"/>
      </c:scatterChart>
      <c:valAx>
        <c:axId val="290966288"/>
        <c:scaling>
          <c:orientation val="minMax"/>
          <c:max val="3500"/>
          <c:min val="0"/>
        </c:scaling>
        <c:delete val="0"/>
        <c:axPos val="b"/>
        <c:title>
          <c:tx>
            <c:rich>
              <a:bodyPr/>
              <a:lstStyle/>
              <a:p>
                <a:pPr>
                  <a:defRPr sz="1000">
                    <a:latin typeface="Arial"/>
                    <a:ea typeface="Arial"/>
                    <a:cs typeface="Arial"/>
                  </a:defRPr>
                </a:pPr>
                <a:r>
                  <a:rPr lang="en-US"/>
                  <a:t>Yield at harvest maturity (kg [dm]/ha) simulated </a:t>
                </a:r>
              </a:p>
            </c:rich>
          </c:tx>
          <c:layout>
            <c:manualLayout>
              <c:xMode val="edge"/>
              <c:yMode val="edge"/>
              <c:x val="0.2432257849386685"/>
              <c:y val="0.88319743155224961"/>
            </c:manualLayout>
          </c:layout>
          <c:overlay val="0"/>
        </c:title>
        <c:numFmt formatCode="General" sourceLinked="1"/>
        <c:majorTickMark val="out"/>
        <c:minorTickMark val="none"/>
        <c:tickLblPos val="nextTo"/>
        <c:spPr>
          <a:ln>
            <a:solidFill>
              <a:srgbClr val="010000"/>
            </a:solidFill>
            <a:prstDash val="solid"/>
          </a:ln>
        </c:spPr>
        <c:txPr>
          <a:bodyPr/>
          <a:lstStyle/>
          <a:p>
            <a:pPr>
              <a:defRPr sz="1000"/>
            </a:pPr>
            <a:endParaRPr lang="en-US"/>
          </a:p>
        </c:txPr>
        <c:crossAx val="290966848"/>
        <c:crosses val="autoZero"/>
        <c:crossBetween val="midCat"/>
      </c:valAx>
      <c:valAx>
        <c:axId val="290966848"/>
        <c:scaling>
          <c:orientation val="minMax"/>
          <c:max val="3500"/>
          <c:min val="0"/>
        </c:scaling>
        <c:delete val="0"/>
        <c:axPos val="l"/>
        <c:title>
          <c:tx>
            <c:rich>
              <a:bodyPr/>
              <a:lstStyle/>
              <a:p>
                <a:pPr>
                  <a:defRPr sz="1000">
                    <a:latin typeface="Arial"/>
                    <a:ea typeface="Arial"/>
                    <a:cs typeface="Arial"/>
                  </a:defRPr>
                </a:pPr>
                <a:r>
                  <a:rPr lang="en-US"/>
                  <a:t>Yield at harvest maturity (kg [dm]/ha) measured</a:t>
                </a:r>
              </a:p>
            </c:rich>
          </c:tx>
          <c:layout>
            <c:manualLayout>
              <c:xMode val="edge"/>
              <c:yMode val="edge"/>
              <c:x val="1.7499269026596959E-2"/>
              <c:y val="5.3940713696539834E-2"/>
            </c:manualLayout>
          </c:layout>
          <c:overlay val="0"/>
        </c:title>
        <c:numFmt formatCode="General" sourceLinked="1"/>
        <c:majorTickMark val="out"/>
        <c:minorTickMark val="none"/>
        <c:tickLblPos val="nextTo"/>
        <c:spPr>
          <a:ln>
            <a:solidFill>
              <a:srgbClr val="010000"/>
            </a:solidFill>
            <a:prstDash val="solid"/>
          </a:ln>
        </c:spPr>
        <c:txPr>
          <a:bodyPr/>
          <a:lstStyle/>
          <a:p>
            <a:pPr>
              <a:defRPr sz="1000"/>
            </a:pPr>
            <a:endParaRPr lang="en-US"/>
          </a:p>
        </c:txPr>
        <c:crossAx val="290966288"/>
        <c:crosses val="autoZero"/>
        <c:crossBetween val="midCat"/>
      </c:valAx>
      <c:spPr>
        <a:noFill/>
        <a:ln>
          <a:solidFill>
            <a:srgbClr val="000000"/>
          </a:solidFill>
          <a:prstDash val="solid"/>
        </a:ln>
      </c:spPr>
    </c:plotArea>
    <c:plotVisOnly val="0"/>
    <c:dispBlanksAs val="gap"/>
    <c:showDLblsOverMax val="0"/>
  </c:chart>
  <c:spPr>
    <a:solidFill>
      <a:srgbClr val="FFFFFF"/>
    </a:solidFill>
    <a:ln w="3175">
      <a:solidFill>
        <a:srgbClr val="000000"/>
      </a:solidFill>
      <a:prstDash val="solid"/>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0.584</cdr:x>
      <cdr:y>0.56335</cdr:y>
    </cdr:from>
    <cdr:to>
      <cdr:x>0.93398</cdr:x>
      <cdr:y>0.83033</cdr:y>
    </cdr:to>
    <cdr:sp macro="" textlink="">
      <cdr:nvSpPr>
        <cdr:cNvPr id="2" name="TextBox 1">
          <a:extLst xmlns:a="http://schemas.openxmlformats.org/drawingml/2006/main">
            <a:ext uri="{FF2B5EF4-FFF2-40B4-BE49-F238E27FC236}">
              <a16:creationId xmlns="" xmlns:a16="http://schemas.microsoft.com/office/drawing/2014/main" id="{636118CC-4C8B-4674-AD68-12669E4D6534}"/>
            </a:ext>
          </a:extLst>
        </cdr:cNvPr>
        <cdr:cNvSpPr txBox="1"/>
      </cdr:nvSpPr>
      <cdr:spPr>
        <a:xfrm xmlns:a="http://schemas.openxmlformats.org/drawingml/2006/main">
          <a:off x="2119172" y="2143862"/>
          <a:ext cx="1270000" cy="1016000"/>
        </a:xfrm>
        <a:prstGeom xmlns:a="http://schemas.openxmlformats.org/drawingml/2006/main" prst="rect">
          <a:avLst/>
        </a:prstGeom>
      </cdr:spPr>
      <cdr:txBody>
        <a:bodyPr xmlns:a="http://schemas.openxmlformats.org/drawingml/2006/main" vertOverflow="clip" vert="horz" rtlCol="0"/>
        <a:lstStyle xmlns:a="http://schemas.openxmlformats.org/drawingml/2006/main"/>
        <a:p xmlns:a="http://schemas.openxmlformats.org/drawingml/2006/main">
          <a:r>
            <a:rPr lang="en-US" sz="1100"/>
            <a:t>RMSE =362.2
E =26.33
EF =0.52
D =0.81</a:t>
          </a:r>
        </a:p>
      </cdr:txBody>
    </cdr:sp>
  </cdr:relSizeAnchor>
</c:userShapes>
</file>

<file path=word/drawings/drawing2.xml><?xml version="1.0" encoding="utf-8"?>
<c:userShapes xmlns:c="http://schemas.openxmlformats.org/drawingml/2006/chart">
  <cdr:relSizeAnchor xmlns:cdr="http://schemas.openxmlformats.org/drawingml/2006/chartDrawing">
    <cdr:from>
      <cdr:x>0.584</cdr:x>
      <cdr:y>0.56335</cdr:y>
    </cdr:from>
    <cdr:to>
      <cdr:x>0.93398</cdr:x>
      <cdr:y>0.83033</cdr:y>
    </cdr:to>
    <cdr:sp macro="" textlink="">
      <cdr:nvSpPr>
        <cdr:cNvPr id="2" name="TextBox 1">
          <a:extLst xmlns:a="http://schemas.openxmlformats.org/drawingml/2006/main">
            <a:ext uri="{FF2B5EF4-FFF2-40B4-BE49-F238E27FC236}">
              <a16:creationId xmlns="" xmlns:a16="http://schemas.microsoft.com/office/drawing/2014/main" id="{B725E820-60E4-420D-A55E-B0CA49E5EE62}"/>
            </a:ext>
          </a:extLst>
        </cdr:cNvPr>
        <cdr:cNvSpPr txBox="1"/>
      </cdr:nvSpPr>
      <cdr:spPr>
        <a:xfrm xmlns:a="http://schemas.openxmlformats.org/drawingml/2006/main">
          <a:off x="2119172" y="2143862"/>
          <a:ext cx="1270000" cy="1016000"/>
        </a:xfrm>
        <a:prstGeom xmlns:a="http://schemas.openxmlformats.org/drawingml/2006/main" prst="rect">
          <a:avLst/>
        </a:prstGeom>
      </cdr:spPr>
      <cdr:txBody>
        <a:bodyPr xmlns:a="http://schemas.openxmlformats.org/drawingml/2006/main" vertOverflow="clip" vert="horz" rtlCol="0"/>
        <a:lstStyle xmlns:a="http://schemas.openxmlformats.org/drawingml/2006/main"/>
        <a:p xmlns:a="http://schemas.openxmlformats.org/drawingml/2006/main">
          <a:r>
            <a:rPr lang="en-US" sz="1100"/>
            <a:t>RMSE =1022.12
E =718
EF =-0.6
D =0.58</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523</Words>
  <Characters>2986</Characters>
  <Application>Microsoft Office Word</Application>
  <DocSecurity>0</DocSecurity>
  <Lines>24</Lines>
  <Paragraphs>7</Paragraphs>
  <ScaleCrop>false</ScaleCrop>
  <Company>Hewlett-Packard Company</Company>
  <LinksUpToDate>false</LinksUpToDate>
  <CharactersWithSpaces>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2017-04-01T09:41:00Z</dcterms:created>
  <dcterms:modified xsi:type="dcterms:W3CDTF">2017-04-01T09:42:00Z</dcterms:modified>
</cp:coreProperties>
</file>