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6962" w:rsidRPr="005D6F40" w:rsidRDefault="00626962" w:rsidP="00626962">
      <w:pPr>
        <w:pStyle w:val="Heading2"/>
        <w:tabs>
          <w:tab w:val="left" w:pos="872"/>
        </w:tabs>
        <w:spacing w:before="174"/>
        <w:ind w:firstLine="0"/>
        <w:jc w:val="both"/>
        <w:rPr>
          <w:spacing w:val="-1"/>
        </w:rPr>
      </w:pPr>
      <w:r w:rsidRPr="00D60A7B">
        <w:rPr>
          <w:spacing w:val="-1"/>
        </w:rPr>
        <w:t>Basic research on de</w:t>
      </w:r>
      <w:bookmarkStart w:id="0" w:name="_GoBack"/>
      <w:bookmarkEnd w:id="0"/>
      <w:r w:rsidRPr="00D60A7B">
        <w:rPr>
          <w:spacing w:val="-1"/>
        </w:rPr>
        <w:t xml:space="preserve">ciphering the crops water use components (e.g. TE, canopy growth, TR&amp;VPD relation, role of </w:t>
      </w:r>
      <w:proofErr w:type="spellStart"/>
      <w:r w:rsidRPr="00D60A7B">
        <w:rPr>
          <w:spacing w:val="-1"/>
        </w:rPr>
        <w:t>aquaporins</w:t>
      </w:r>
      <w:proofErr w:type="spellEnd"/>
      <w:r w:rsidRPr="00D60A7B">
        <w:rPr>
          <w:spacing w:val="-1"/>
        </w:rPr>
        <w:t xml:space="preserve"> etc.) and their interaction with environment in order to assist breeding programs which aim for improvement of crop adaptation to drought.</w:t>
      </w:r>
    </w:p>
    <w:p w:rsidR="00626962" w:rsidRPr="00195206" w:rsidRDefault="00626962" w:rsidP="00626962">
      <w:pPr>
        <w:pStyle w:val="Heading2"/>
        <w:tabs>
          <w:tab w:val="left" w:pos="872"/>
        </w:tabs>
        <w:spacing w:before="174"/>
        <w:ind w:firstLine="0"/>
        <w:jc w:val="both"/>
        <w:rPr>
          <w:spacing w:val="-1"/>
        </w:rPr>
      </w:pPr>
    </w:p>
    <w:p w:rsidR="00626962" w:rsidRPr="00195206" w:rsidRDefault="00626962" w:rsidP="00626962">
      <w:pPr>
        <w:ind w:left="151"/>
        <w:jc w:val="both"/>
        <w:rPr>
          <w:rFonts w:ascii="Calibri" w:eastAsia="Times New Roman" w:hAnsi="Calibri" w:cs="Times New Roman"/>
          <w:color w:val="000000"/>
          <w:lang w:eastAsia="en-IN"/>
        </w:rPr>
      </w:pPr>
      <w:r w:rsidRPr="00195206">
        <w:rPr>
          <w:rFonts w:ascii="Calibri" w:eastAsia="Times New Roman" w:hAnsi="Calibri" w:cs="Times New Roman"/>
          <w:color w:val="000000"/>
          <w:u w:val="single"/>
          <w:lang w:eastAsia="en-IN"/>
        </w:rPr>
        <w:t>Scientists:</w:t>
      </w:r>
      <w:r w:rsidRPr="00195206">
        <w:rPr>
          <w:rFonts w:ascii="Calibri" w:eastAsia="Times New Roman" w:hAnsi="Calibri" w:cs="Times New Roman"/>
          <w:color w:val="000000"/>
          <w:lang w:eastAsia="en-IN"/>
        </w:rPr>
        <w:t xml:space="preserve"> </w:t>
      </w:r>
      <w:proofErr w:type="spellStart"/>
      <w:r w:rsidRPr="00195206">
        <w:rPr>
          <w:rFonts w:ascii="Calibri" w:eastAsia="Times New Roman" w:hAnsi="Calibri" w:cs="Times New Roman"/>
          <w:color w:val="000000"/>
          <w:lang w:eastAsia="en-IN"/>
        </w:rPr>
        <w:t>JKholova</w:t>
      </w:r>
      <w:proofErr w:type="spellEnd"/>
      <w:r w:rsidRPr="00195206">
        <w:rPr>
          <w:rFonts w:ascii="Calibri" w:eastAsia="Times New Roman" w:hAnsi="Calibri" w:cs="Times New Roman"/>
          <w:color w:val="000000"/>
          <w:lang w:eastAsia="en-IN"/>
        </w:rPr>
        <w:t xml:space="preserve">, </w:t>
      </w:r>
      <w:proofErr w:type="spellStart"/>
      <w:r w:rsidRPr="00195206">
        <w:rPr>
          <w:rFonts w:ascii="Calibri" w:eastAsia="Times New Roman" w:hAnsi="Calibri" w:cs="Times New Roman"/>
          <w:color w:val="000000"/>
          <w:lang w:eastAsia="en-IN"/>
        </w:rPr>
        <w:t>VVadez</w:t>
      </w:r>
      <w:proofErr w:type="spellEnd"/>
      <w:r w:rsidRPr="00195206">
        <w:rPr>
          <w:rFonts w:ascii="Calibri" w:eastAsia="Times New Roman" w:hAnsi="Calibri" w:cs="Times New Roman"/>
          <w:color w:val="000000"/>
          <w:lang w:eastAsia="en-IN"/>
        </w:rPr>
        <w:t xml:space="preserve">, </w:t>
      </w:r>
      <w:proofErr w:type="spellStart"/>
      <w:r w:rsidRPr="00195206">
        <w:rPr>
          <w:rFonts w:ascii="Calibri" w:eastAsia="Times New Roman" w:hAnsi="Calibri" w:cs="Times New Roman"/>
          <w:color w:val="000000"/>
          <w:lang w:eastAsia="en-IN"/>
        </w:rPr>
        <w:t>SudhakarReddy</w:t>
      </w:r>
      <w:proofErr w:type="spellEnd"/>
      <w:r w:rsidRPr="00195206">
        <w:rPr>
          <w:rFonts w:ascii="Calibri" w:eastAsia="Times New Roman" w:hAnsi="Calibri" w:cs="Times New Roman"/>
          <w:color w:val="000000"/>
          <w:lang w:eastAsia="en-IN"/>
        </w:rPr>
        <w:t xml:space="preserve"> P., M. </w:t>
      </w:r>
      <w:proofErr w:type="spellStart"/>
      <w:r w:rsidRPr="00195206">
        <w:rPr>
          <w:rFonts w:ascii="Calibri" w:eastAsia="Times New Roman" w:hAnsi="Calibri" w:cs="Times New Roman"/>
          <w:color w:val="000000"/>
          <w:lang w:eastAsia="en-IN"/>
        </w:rPr>
        <w:t>Tharanya</w:t>
      </w:r>
      <w:proofErr w:type="spellEnd"/>
      <w:r w:rsidRPr="00195206">
        <w:rPr>
          <w:rFonts w:ascii="Calibri" w:eastAsia="Times New Roman" w:hAnsi="Calibri" w:cs="Times New Roman"/>
          <w:color w:val="000000"/>
          <w:lang w:eastAsia="en-IN"/>
        </w:rPr>
        <w:t xml:space="preserve">, Siva Shakti, </w:t>
      </w:r>
      <w:proofErr w:type="spellStart"/>
      <w:r w:rsidRPr="00195206">
        <w:rPr>
          <w:rFonts w:ascii="Calibri" w:eastAsia="Times New Roman" w:hAnsi="Calibri" w:cs="Times New Roman"/>
          <w:color w:val="000000"/>
          <w:lang w:eastAsia="en-IN"/>
        </w:rPr>
        <w:t>Choudhary</w:t>
      </w:r>
      <w:proofErr w:type="spellEnd"/>
      <w:r w:rsidRPr="00195206">
        <w:rPr>
          <w:rFonts w:ascii="Calibri" w:eastAsia="Times New Roman" w:hAnsi="Calibri" w:cs="Times New Roman"/>
          <w:color w:val="000000"/>
          <w:lang w:eastAsia="en-IN"/>
        </w:rPr>
        <w:t xml:space="preserve"> S. (&amp;team)</w:t>
      </w:r>
    </w:p>
    <w:p w:rsidR="00626962" w:rsidRPr="00195206" w:rsidRDefault="00626962" w:rsidP="00626962">
      <w:pPr>
        <w:ind w:left="151"/>
        <w:jc w:val="both"/>
        <w:rPr>
          <w:rFonts w:ascii="Calibri" w:eastAsia="Times New Roman" w:hAnsi="Calibri" w:cs="Times New Roman"/>
          <w:color w:val="000000"/>
          <w:lang w:eastAsia="en-IN"/>
        </w:rPr>
      </w:pPr>
      <w:r w:rsidRPr="00195206">
        <w:rPr>
          <w:rFonts w:ascii="Calibri" w:eastAsia="Times New Roman" w:hAnsi="Calibri" w:cs="Times New Roman"/>
          <w:color w:val="000000"/>
          <w:u w:val="single"/>
          <w:lang w:eastAsia="en-IN"/>
        </w:rPr>
        <w:t>Region(s):</w:t>
      </w:r>
      <w:r w:rsidRPr="00195206">
        <w:rPr>
          <w:rFonts w:ascii="Calibri" w:eastAsia="Times New Roman" w:hAnsi="Calibri" w:cs="Times New Roman"/>
          <w:color w:val="000000"/>
          <w:lang w:eastAsia="en-IN"/>
        </w:rPr>
        <w:t xml:space="preserve"> basic research needed to support applied research on drought adaptations </w:t>
      </w:r>
    </w:p>
    <w:p w:rsidR="00626962" w:rsidRDefault="00626962" w:rsidP="00626962">
      <w:pPr>
        <w:ind w:left="151"/>
        <w:jc w:val="both"/>
        <w:rPr>
          <w:rFonts w:ascii="Calibri" w:eastAsia="Times New Roman" w:hAnsi="Calibri" w:cs="Times New Roman"/>
          <w:color w:val="000000"/>
          <w:lang w:eastAsia="en-IN"/>
        </w:rPr>
      </w:pPr>
      <w:proofErr w:type="gramStart"/>
      <w:r w:rsidRPr="00195206">
        <w:rPr>
          <w:rFonts w:ascii="Calibri" w:eastAsia="Times New Roman" w:hAnsi="Calibri" w:cs="Times New Roman"/>
          <w:color w:val="000000"/>
          <w:u w:val="single"/>
          <w:lang w:eastAsia="en-IN"/>
        </w:rPr>
        <w:t>Country(</w:t>
      </w:r>
      <w:proofErr w:type="spellStart"/>
      <w:proofErr w:type="gramEnd"/>
      <w:r w:rsidRPr="00195206">
        <w:rPr>
          <w:rFonts w:ascii="Calibri" w:eastAsia="Times New Roman" w:hAnsi="Calibri" w:cs="Times New Roman"/>
          <w:color w:val="000000"/>
          <w:u w:val="single"/>
          <w:lang w:eastAsia="en-IN"/>
        </w:rPr>
        <w:t>ies</w:t>
      </w:r>
      <w:proofErr w:type="spellEnd"/>
      <w:r w:rsidRPr="00195206">
        <w:rPr>
          <w:rFonts w:ascii="Calibri" w:eastAsia="Times New Roman" w:hAnsi="Calibri" w:cs="Times New Roman"/>
          <w:color w:val="000000"/>
          <w:u w:val="single"/>
          <w:lang w:eastAsia="en-IN"/>
        </w:rPr>
        <w:t>):</w:t>
      </w:r>
      <w:r w:rsidRPr="00195206">
        <w:rPr>
          <w:rFonts w:ascii="Calibri" w:eastAsia="Times New Roman" w:hAnsi="Calibri" w:cs="Times New Roman"/>
          <w:color w:val="000000"/>
          <w:lang w:eastAsia="en-IN"/>
        </w:rPr>
        <w:t xml:space="preserve"> plant scientists community around the world</w:t>
      </w:r>
    </w:p>
    <w:p w:rsidR="00626962" w:rsidRPr="00195206" w:rsidRDefault="00626962" w:rsidP="00626962">
      <w:pPr>
        <w:ind w:left="151"/>
        <w:jc w:val="both"/>
        <w:rPr>
          <w:rFonts w:ascii="Calibri" w:eastAsia="Times New Roman" w:hAnsi="Calibri" w:cs="Times New Roman"/>
          <w:color w:val="000000"/>
          <w:lang w:eastAsia="en-IN"/>
        </w:rPr>
      </w:pPr>
    </w:p>
    <w:p w:rsidR="00626962" w:rsidRPr="00195206" w:rsidRDefault="00626962" w:rsidP="00626962">
      <w:pPr>
        <w:ind w:left="151"/>
        <w:jc w:val="both"/>
        <w:rPr>
          <w:rFonts w:ascii="Calibri" w:eastAsia="Times New Roman" w:hAnsi="Calibri" w:cs="Times New Roman"/>
          <w:color w:val="000000"/>
          <w:lang w:eastAsia="en-IN"/>
        </w:rPr>
      </w:pPr>
      <w:r w:rsidRPr="00195206">
        <w:rPr>
          <w:rFonts w:ascii="Calibri" w:eastAsia="Times New Roman" w:hAnsi="Calibri" w:cs="Times New Roman"/>
          <w:color w:val="000000"/>
          <w:u w:val="single"/>
          <w:lang w:eastAsia="en-IN"/>
        </w:rPr>
        <w:t>Rationale:</w:t>
      </w:r>
      <w:r w:rsidRPr="00195206">
        <w:rPr>
          <w:rFonts w:ascii="Calibri" w:eastAsia="Times New Roman" w:hAnsi="Calibri" w:cs="Times New Roman"/>
          <w:color w:val="000000"/>
          <w:lang w:eastAsia="en-IN"/>
        </w:rPr>
        <w:t xml:space="preserve"> Better understanding of the plant </w:t>
      </w:r>
      <w:r>
        <w:rPr>
          <w:rFonts w:ascii="Calibri" w:eastAsia="Times New Roman" w:hAnsi="Calibri" w:cs="Times New Roman"/>
          <w:color w:val="000000"/>
          <w:lang w:eastAsia="en-IN"/>
        </w:rPr>
        <w:t>water-use-related</w:t>
      </w:r>
      <w:r w:rsidRPr="00195206">
        <w:rPr>
          <w:rFonts w:ascii="Calibri" w:eastAsia="Times New Roman" w:hAnsi="Calibri" w:cs="Times New Roman"/>
          <w:color w:val="000000"/>
          <w:lang w:eastAsia="en-IN"/>
        </w:rPr>
        <w:t xml:space="preserve"> processes will help to explain differences in </w:t>
      </w:r>
      <w:r>
        <w:rPr>
          <w:rFonts w:ascii="Calibri" w:eastAsia="Times New Roman" w:hAnsi="Calibri" w:cs="Times New Roman"/>
          <w:color w:val="000000"/>
          <w:lang w:eastAsia="en-IN"/>
        </w:rPr>
        <w:t xml:space="preserve">whole </w:t>
      </w:r>
      <w:r w:rsidRPr="00195206">
        <w:rPr>
          <w:rFonts w:ascii="Calibri" w:eastAsia="Times New Roman" w:hAnsi="Calibri" w:cs="Times New Roman"/>
          <w:color w:val="000000"/>
          <w:lang w:eastAsia="en-IN"/>
        </w:rPr>
        <w:t>plant water use during the cropping cycle which contributes to crop adaptation in SAT. This knowledge is important to match crops demand for water to target agro-ecologies in SAT where the major crop production limitation is usually water availability.</w:t>
      </w:r>
    </w:p>
    <w:p w:rsidR="00626962" w:rsidRDefault="00626962" w:rsidP="00626962">
      <w:pPr>
        <w:ind w:left="151"/>
        <w:jc w:val="both"/>
      </w:pPr>
    </w:p>
    <w:p w:rsidR="00626962" w:rsidRDefault="00626962" w:rsidP="00626962">
      <w:pPr>
        <w:ind w:left="151"/>
        <w:jc w:val="both"/>
        <w:rPr>
          <w:rFonts w:ascii="Calibri" w:eastAsia="Times New Roman" w:hAnsi="Calibri" w:cs="Times New Roman"/>
          <w:color w:val="000000"/>
          <w:lang w:eastAsia="en-IN"/>
        </w:rPr>
      </w:pPr>
      <w:r w:rsidRPr="00195206">
        <w:rPr>
          <w:u w:val="single"/>
        </w:rPr>
        <w:t>Methodology:</w:t>
      </w:r>
      <w:r>
        <w:t xml:space="preserve"> </w:t>
      </w:r>
    </w:p>
    <w:p w:rsidR="00626962" w:rsidRPr="009E4A22" w:rsidRDefault="00626962" w:rsidP="00626962">
      <w:pPr>
        <w:ind w:left="151"/>
        <w:jc w:val="both"/>
        <w:rPr>
          <w:rFonts w:ascii="Calibri" w:eastAsia="Times New Roman" w:hAnsi="Calibri" w:cs="Times New Roman"/>
          <w:color w:val="000000"/>
          <w:lang w:eastAsia="en-IN"/>
        </w:rPr>
      </w:pPr>
      <w:r w:rsidRPr="009E4A22">
        <w:t>This year,</w:t>
      </w:r>
      <w:r>
        <w:t xml:space="preserve"> we focus on preparing MS describing the concepts and validation of phenotyping pipeline to validate relevance of the phenotyping technologies @ ICRISAT for breeding programs. For this, we use various pearl millet populations and screen them for water-use traits across phenotyping systems (pots, </w:t>
      </w:r>
      <w:proofErr w:type="spellStart"/>
      <w:r>
        <w:t>LeasyScan</w:t>
      </w:r>
      <w:proofErr w:type="spellEnd"/>
      <w:r>
        <w:t xml:space="preserve">, </w:t>
      </w:r>
      <w:proofErr w:type="spellStart"/>
      <w:r>
        <w:t>Lysimeters</w:t>
      </w:r>
      <w:proofErr w:type="spellEnd"/>
      <w:r>
        <w:t xml:space="preserve">, field) and subsequently progress with QTL mapping of these traits. Further, we co-localize the QTLs (in fine mapping population of pearl millet; ICMR01004xICMR01029) for particular traits across the systems which shows us which particular water use traits screened e.g. in pot culture are linked to crop performance under WS in the field conditions. </w:t>
      </w:r>
    </w:p>
    <w:p w:rsidR="00626962" w:rsidRDefault="00626962" w:rsidP="00626962">
      <w:pPr>
        <w:ind w:left="151"/>
        <w:jc w:val="both"/>
      </w:pPr>
    </w:p>
    <w:p w:rsidR="00626962" w:rsidRPr="009E4A22" w:rsidRDefault="00626962" w:rsidP="00626962">
      <w:pPr>
        <w:ind w:left="151"/>
        <w:jc w:val="both"/>
        <w:rPr>
          <w:rFonts w:ascii="Calibri" w:eastAsia="Times New Roman" w:hAnsi="Calibri" w:cs="Times New Roman"/>
          <w:color w:val="000000"/>
          <w:lang w:eastAsia="en-IN"/>
        </w:rPr>
      </w:pPr>
      <w:r w:rsidRPr="00195206">
        <w:rPr>
          <w:u w:val="single"/>
        </w:rPr>
        <w:t>Results and discussion</w:t>
      </w:r>
      <w:r>
        <w:t xml:space="preserve">: </w:t>
      </w:r>
      <w:r w:rsidRPr="009E4A22">
        <w:t>C</w:t>
      </w:r>
      <w:r>
        <w:t>o-l</w:t>
      </w:r>
      <w:r w:rsidRPr="009E4A22">
        <w:t>ocalization of water use components QTL</w:t>
      </w:r>
      <w:r>
        <w:t>s</w:t>
      </w:r>
      <w:r w:rsidRPr="009E4A22">
        <w:t xml:space="preserve"> </w:t>
      </w:r>
      <w:r>
        <w:t xml:space="preserve">(measured during early development) </w:t>
      </w:r>
      <w:r w:rsidRPr="009E4A22">
        <w:t xml:space="preserve">with the </w:t>
      </w:r>
      <w:r>
        <w:t xml:space="preserve">crop </w:t>
      </w:r>
      <w:r w:rsidRPr="009E4A22">
        <w:t>production</w:t>
      </w:r>
      <w:r>
        <w:t xml:space="preserve"> in different water regimes (crop grain and </w:t>
      </w:r>
      <w:proofErr w:type="spellStart"/>
      <w:r>
        <w:t>stover</w:t>
      </w:r>
      <w:proofErr w:type="spellEnd"/>
      <w:r>
        <w:t xml:space="preserve"> yield in the field) validates relevance of our phenotyping pipeline (example on figure 6). </w:t>
      </w:r>
    </w:p>
    <w:p w:rsidR="00626962" w:rsidRPr="00195206" w:rsidRDefault="00626962" w:rsidP="00626962">
      <w:pPr>
        <w:ind w:left="151"/>
        <w:jc w:val="both"/>
        <w:rPr>
          <w:rFonts w:ascii="Calibri" w:eastAsia="Times New Roman" w:hAnsi="Calibri" w:cs="Times New Roman"/>
          <w:color w:val="000000"/>
          <w:lang w:eastAsia="en-IN"/>
        </w:rPr>
      </w:pPr>
      <w:proofErr w:type="spellStart"/>
      <w:r w:rsidRPr="00195206">
        <w:rPr>
          <w:rFonts w:ascii="Calibri" w:eastAsia="Times New Roman" w:hAnsi="Calibri" w:cs="Times New Roman"/>
          <w:color w:val="000000"/>
          <w:lang w:eastAsia="en-IN"/>
        </w:rPr>
        <w:t>Additionaly</w:t>
      </w:r>
      <w:proofErr w:type="spellEnd"/>
      <w:r w:rsidRPr="00195206">
        <w:rPr>
          <w:rFonts w:ascii="Calibri" w:eastAsia="Times New Roman" w:hAnsi="Calibri" w:cs="Times New Roman"/>
          <w:color w:val="000000"/>
          <w:lang w:eastAsia="en-IN"/>
        </w:rPr>
        <w:t xml:space="preserve">, one MS </w:t>
      </w:r>
      <w:r>
        <w:rPr>
          <w:rFonts w:ascii="Calibri" w:eastAsia="Times New Roman" w:hAnsi="Calibri" w:cs="Times New Roman"/>
          <w:color w:val="000000"/>
          <w:lang w:eastAsia="en-IN"/>
        </w:rPr>
        <w:t xml:space="preserve">has been published </w:t>
      </w:r>
      <w:r w:rsidRPr="00195206">
        <w:rPr>
          <w:rFonts w:ascii="Calibri" w:eastAsia="Times New Roman" w:hAnsi="Calibri" w:cs="Times New Roman"/>
          <w:color w:val="000000"/>
          <w:lang w:eastAsia="en-IN"/>
        </w:rPr>
        <w:t>(Component traits of plant water use are modulated by vapor pressure deficit in pearl millet [</w:t>
      </w:r>
      <w:proofErr w:type="spellStart"/>
      <w:r w:rsidRPr="00195206">
        <w:rPr>
          <w:rFonts w:ascii="Calibri" w:eastAsia="Times New Roman" w:hAnsi="Calibri" w:cs="Times New Roman"/>
          <w:color w:val="000000"/>
          <w:lang w:eastAsia="en-IN"/>
        </w:rPr>
        <w:t>Pennisetum</w:t>
      </w:r>
      <w:proofErr w:type="spellEnd"/>
      <w:r w:rsidRPr="00195206">
        <w:rPr>
          <w:rFonts w:ascii="Calibri" w:eastAsia="Times New Roman" w:hAnsi="Calibri" w:cs="Times New Roman"/>
          <w:color w:val="000000"/>
          <w:lang w:eastAsia="en-IN"/>
        </w:rPr>
        <w:t xml:space="preserve"> </w:t>
      </w:r>
      <w:proofErr w:type="spellStart"/>
      <w:r w:rsidRPr="00195206">
        <w:rPr>
          <w:rFonts w:ascii="Calibri" w:eastAsia="Times New Roman" w:hAnsi="Calibri" w:cs="Times New Roman"/>
          <w:color w:val="000000"/>
          <w:lang w:eastAsia="en-IN"/>
        </w:rPr>
        <w:t>glaucum</w:t>
      </w:r>
      <w:proofErr w:type="spellEnd"/>
      <w:r w:rsidRPr="00195206">
        <w:rPr>
          <w:rFonts w:ascii="Calibri" w:eastAsia="Times New Roman" w:hAnsi="Calibri" w:cs="Times New Roman"/>
          <w:color w:val="000000"/>
          <w:lang w:eastAsia="en-IN"/>
        </w:rPr>
        <w:t xml:space="preserve"> (L.) R. Br.]; Jana Kholová1, 2, Paul Zindy1, Srikanth Malayee1 </w:t>
      </w:r>
      <w:proofErr w:type="spellStart"/>
      <w:r w:rsidRPr="00195206">
        <w:rPr>
          <w:rFonts w:ascii="Calibri" w:eastAsia="Times New Roman" w:hAnsi="Calibri" w:cs="Times New Roman"/>
          <w:color w:val="000000"/>
          <w:lang w:eastAsia="en-IN"/>
        </w:rPr>
        <w:t>Rekha</w:t>
      </w:r>
      <w:proofErr w:type="spellEnd"/>
      <w:r w:rsidRPr="00195206">
        <w:rPr>
          <w:rFonts w:ascii="Calibri" w:eastAsia="Times New Roman" w:hAnsi="Calibri" w:cs="Times New Roman"/>
          <w:color w:val="000000"/>
          <w:lang w:eastAsia="en-IN"/>
        </w:rPr>
        <w:t xml:space="preserve"> Baddam1, </w:t>
      </w:r>
      <w:proofErr w:type="spellStart"/>
      <w:r w:rsidRPr="00195206">
        <w:rPr>
          <w:rFonts w:ascii="Calibri" w:eastAsia="Times New Roman" w:hAnsi="Calibri" w:cs="Times New Roman"/>
          <w:color w:val="000000"/>
          <w:lang w:eastAsia="en-IN"/>
        </w:rPr>
        <w:t>Tharanya</w:t>
      </w:r>
      <w:proofErr w:type="spellEnd"/>
      <w:r w:rsidRPr="00195206">
        <w:rPr>
          <w:rFonts w:ascii="Calibri" w:eastAsia="Times New Roman" w:hAnsi="Calibri" w:cs="Times New Roman"/>
          <w:color w:val="000000"/>
          <w:lang w:eastAsia="en-IN"/>
        </w:rPr>
        <w:t xml:space="preserve"> Murugesan1, </w:t>
      </w:r>
      <w:proofErr w:type="spellStart"/>
      <w:r w:rsidRPr="00195206">
        <w:rPr>
          <w:rFonts w:ascii="Calibri" w:eastAsia="Times New Roman" w:hAnsi="Calibri" w:cs="Times New Roman"/>
          <w:color w:val="000000"/>
          <w:lang w:eastAsia="en-IN"/>
        </w:rPr>
        <w:t>Sivasakthi</w:t>
      </w:r>
      <w:proofErr w:type="spellEnd"/>
      <w:r w:rsidRPr="00195206">
        <w:rPr>
          <w:rFonts w:ascii="Calibri" w:eastAsia="Times New Roman" w:hAnsi="Calibri" w:cs="Times New Roman"/>
          <w:color w:val="000000"/>
          <w:lang w:eastAsia="en-IN"/>
        </w:rPr>
        <w:t xml:space="preserve"> Kaliamoorthy1, C. Tom Hash1, Olga Votrubová2, </w:t>
      </w:r>
      <w:proofErr w:type="spellStart"/>
      <w:r w:rsidRPr="00195206">
        <w:rPr>
          <w:rFonts w:ascii="Calibri" w:eastAsia="Times New Roman" w:hAnsi="Calibri" w:cs="Times New Roman"/>
          <w:color w:val="000000"/>
          <w:lang w:eastAsia="en-IN"/>
        </w:rPr>
        <w:t>Aleš</w:t>
      </w:r>
      <w:proofErr w:type="spellEnd"/>
      <w:r w:rsidRPr="00195206">
        <w:rPr>
          <w:rFonts w:ascii="Calibri" w:eastAsia="Times New Roman" w:hAnsi="Calibri" w:cs="Times New Roman"/>
          <w:color w:val="000000"/>
          <w:lang w:eastAsia="en-IN"/>
        </w:rPr>
        <w:t xml:space="preserve"> Soukup2, Marie Kočová2, </w:t>
      </w:r>
      <w:proofErr w:type="spellStart"/>
      <w:r w:rsidRPr="00195206">
        <w:rPr>
          <w:rFonts w:ascii="Calibri" w:eastAsia="Times New Roman" w:hAnsi="Calibri" w:cs="Times New Roman"/>
          <w:color w:val="000000"/>
          <w:lang w:eastAsia="en-IN"/>
        </w:rPr>
        <w:t>Mareme</w:t>
      </w:r>
      <w:proofErr w:type="spellEnd"/>
      <w:r w:rsidRPr="00195206">
        <w:rPr>
          <w:rFonts w:ascii="Calibri" w:eastAsia="Times New Roman" w:hAnsi="Calibri" w:cs="Times New Roman"/>
          <w:color w:val="000000"/>
          <w:lang w:eastAsia="en-IN"/>
        </w:rPr>
        <w:t xml:space="preserve"> Niang3, Vincent Vadez1*, FPB). This work is the baseline for investigation of environmental effects (VPD) on canopy development which is the front-line of current research. Importantly, the principles drafted in this MS can be investigated on large scale using </w:t>
      </w:r>
      <w:proofErr w:type="spellStart"/>
      <w:r w:rsidRPr="00195206">
        <w:rPr>
          <w:rFonts w:ascii="Calibri" w:eastAsia="Times New Roman" w:hAnsi="Calibri" w:cs="Times New Roman"/>
          <w:color w:val="000000"/>
          <w:lang w:eastAsia="en-IN"/>
        </w:rPr>
        <w:t>LeasyScan</w:t>
      </w:r>
      <w:proofErr w:type="spellEnd"/>
      <w:r w:rsidRPr="00195206">
        <w:rPr>
          <w:rFonts w:ascii="Calibri" w:eastAsia="Times New Roman" w:hAnsi="Calibri" w:cs="Times New Roman"/>
          <w:color w:val="000000"/>
          <w:lang w:eastAsia="en-IN"/>
        </w:rPr>
        <w:t xml:space="preserve"> platform.</w:t>
      </w:r>
    </w:p>
    <w:p w:rsidR="00626962" w:rsidRPr="00195206" w:rsidRDefault="00626962" w:rsidP="00626962">
      <w:pPr>
        <w:ind w:left="151" w:right="-1440"/>
        <w:jc w:val="both"/>
        <w:rPr>
          <w:rFonts w:ascii="Calibri" w:eastAsia="Times New Roman" w:hAnsi="Calibri" w:cs="Times New Roman"/>
          <w:color w:val="000000"/>
          <w:lang w:eastAsia="en-IN"/>
        </w:rPr>
      </w:pPr>
    </w:p>
    <w:p w:rsidR="00626962" w:rsidRPr="00195206" w:rsidRDefault="00626962" w:rsidP="00626962">
      <w:pPr>
        <w:ind w:left="151"/>
        <w:jc w:val="both"/>
        <w:rPr>
          <w:rFonts w:ascii="Calibri" w:eastAsia="Times New Roman" w:hAnsi="Calibri" w:cs="Times New Roman"/>
          <w:color w:val="000000"/>
          <w:lang w:eastAsia="en-IN"/>
        </w:rPr>
      </w:pPr>
      <w:r>
        <w:rPr>
          <w:noProof/>
        </w:rPr>
        <w:lastRenderedPageBreak/>
        <w:drawing>
          <wp:inline distT="0" distB="0" distL="0" distR="0" wp14:anchorId="653818E6" wp14:editId="34200965">
            <wp:extent cx="5238750" cy="2908527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51577" t="14674" r="-158" b="15625"/>
                    <a:stretch/>
                  </pic:blipFill>
                  <pic:spPr bwMode="auto">
                    <a:xfrm>
                      <a:off x="0" y="0"/>
                      <a:ext cx="5256684" cy="29184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26962" w:rsidRPr="00195206" w:rsidRDefault="00626962" w:rsidP="00626962">
      <w:pPr>
        <w:ind w:left="151"/>
        <w:jc w:val="both"/>
        <w:rPr>
          <w:rFonts w:ascii="Calibri" w:eastAsia="Times New Roman" w:hAnsi="Calibri" w:cs="Times New Roman"/>
          <w:color w:val="000000"/>
          <w:lang w:eastAsia="en-IN"/>
        </w:rPr>
      </w:pPr>
    </w:p>
    <w:p w:rsidR="00626962" w:rsidRPr="00195206" w:rsidRDefault="00626962" w:rsidP="00626962">
      <w:pPr>
        <w:ind w:left="151"/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 w:cs="Times New Roman"/>
          <w:color w:val="000000"/>
          <w:lang w:eastAsia="en-IN"/>
        </w:rPr>
        <w:t>Figure 6</w:t>
      </w:r>
      <w:r w:rsidRPr="00195206">
        <w:rPr>
          <w:rFonts w:ascii="Calibri" w:eastAsia="Times New Roman" w:hAnsi="Calibri" w:cs="Times New Roman"/>
          <w:color w:val="000000"/>
          <w:lang w:eastAsia="en-IN"/>
        </w:rPr>
        <w:t>.</w:t>
      </w:r>
      <w:r w:rsidRPr="00195206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en-IN"/>
        </w:rPr>
        <w:t xml:space="preserve"> </w:t>
      </w:r>
      <w:r w:rsidRPr="00195206">
        <w:rPr>
          <w:rFonts w:ascii="Calibri" w:eastAsia="Times New Roman" w:hAnsi="Calibri"/>
          <w:color w:val="000000"/>
        </w:rPr>
        <w:t xml:space="preserve">Examples of </w:t>
      </w:r>
      <w:r>
        <w:rPr>
          <w:rFonts w:ascii="Calibri" w:eastAsia="Times New Roman" w:hAnsi="Calibri"/>
          <w:color w:val="000000"/>
        </w:rPr>
        <w:t xml:space="preserve">co-localization of </w:t>
      </w:r>
      <w:r w:rsidRPr="00195206">
        <w:rPr>
          <w:rFonts w:ascii="Calibri" w:eastAsia="Times New Roman" w:hAnsi="Calibri"/>
          <w:color w:val="000000"/>
        </w:rPr>
        <w:t>QTL</w:t>
      </w:r>
      <w:r>
        <w:rPr>
          <w:rFonts w:ascii="Calibri" w:eastAsia="Times New Roman" w:hAnsi="Calibri"/>
          <w:color w:val="000000"/>
        </w:rPr>
        <w:t>s for water-use related traits across the phenotyping experimental systems</w:t>
      </w:r>
      <w:r w:rsidRPr="00195206">
        <w:rPr>
          <w:rFonts w:ascii="Calibri" w:eastAsia="Times New Roman" w:hAnsi="Calibri"/>
          <w:color w:val="000000"/>
        </w:rPr>
        <w:t>.</w:t>
      </w:r>
    </w:p>
    <w:p w:rsidR="00626962" w:rsidRPr="00195206" w:rsidRDefault="00626962" w:rsidP="00626962">
      <w:pPr>
        <w:ind w:left="151"/>
        <w:rPr>
          <w:rFonts w:ascii="Calibri" w:hAnsi="Calibri"/>
          <w:color w:val="000000"/>
        </w:rPr>
      </w:pPr>
    </w:p>
    <w:p w:rsidR="00626962" w:rsidRPr="008969C1" w:rsidRDefault="00626962" w:rsidP="00626962">
      <w:pPr>
        <w:ind w:left="151"/>
        <w:jc w:val="both"/>
        <w:rPr>
          <w:rFonts w:ascii="Calibri" w:eastAsia="Times New Roman" w:hAnsi="Calibri" w:cs="Times New Roman"/>
          <w:color w:val="000000"/>
          <w:lang w:eastAsia="en-IN"/>
        </w:rPr>
      </w:pPr>
      <w:r w:rsidRPr="00195206">
        <w:rPr>
          <w:u w:val="single"/>
        </w:rPr>
        <w:t>Conclusions:</w:t>
      </w:r>
      <w:r>
        <w:t xml:space="preserve"> </w:t>
      </w:r>
      <w:r w:rsidRPr="008969C1">
        <w:t xml:space="preserve">The relevance of phenotyping pipeline as a support </w:t>
      </w:r>
      <w:r>
        <w:t xml:space="preserve">for </w:t>
      </w:r>
      <w:r w:rsidRPr="008969C1">
        <w:t>breeding for water limited environments has been validated through QTL co-</w:t>
      </w:r>
      <w:r w:rsidRPr="008969C1">
        <w:rPr>
          <w:rFonts w:ascii="Calibri" w:eastAsia="Times New Roman" w:hAnsi="Calibri" w:cs="Times New Roman"/>
          <w:color w:val="000000"/>
          <w:lang w:eastAsia="en-IN"/>
        </w:rPr>
        <w:t>localization technique</w:t>
      </w:r>
      <w:r>
        <w:rPr>
          <w:rFonts w:ascii="Calibri" w:eastAsia="Times New Roman" w:hAnsi="Calibri" w:cs="Times New Roman"/>
          <w:color w:val="000000"/>
          <w:lang w:eastAsia="en-IN"/>
        </w:rPr>
        <w:t xml:space="preserve"> on the example of pearl millet fine-mapping population (simultaneously in chickpea).</w:t>
      </w:r>
    </w:p>
    <w:p w:rsidR="0066121C" w:rsidRDefault="0066121C"/>
    <w:sectPr w:rsidR="0066121C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634C" w:rsidRDefault="007E634C" w:rsidP="00E741C5">
      <w:r>
        <w:separator/>
      </w:r>
    </w:p>
  </w:endnote>
  <w:endnote w:type="continuationSeparator" w:id="0">
    <w:p w:rsidR="007E634C" w:rsidRDefault="007E634C" w:rsidP="00E74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67110088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E741C5" w:rsidRDefault="00E741C5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:rsidR="00E741C5" w:rsidRDefault="00E741C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634C" w:rsidRDefault="007E634C" w:rsidP="00E741C5">
      <w:r>
        <w:separator/>
      </w:r>
    </w:p>
  </w:footnote>
  <w:footnote w:type="continuationSeparator" w:id="0">
    <w:p w:rsidR="007E634C" w:rsidRDefault="007E634C" w:rsidP="00E741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41C5" w:rsidRDefault="00E741C5" w:rsidP="00E741C5">
    <w:pPr>
      <w:pStyle w:val="Header"/>
      <w:jc w:val="center"/>
    </w:pPr>
    <w:r>
      <w:rPr>
        <w:rFonts w:ascii="Calibri" w:eastAsia="Calibri" w:hAnsi="Calibri" w:cs="Calibri"/>
        <w:b/>
        <w:bCs/>
        <w:noProof/>
        <w:sz w:val="19"/>
        <w:szCs w:val="19"/>
      </w:rPr>
      <w:drawing>
        <wp:inline distT="0" distB="0" distL="0" distR="0">
          <wp:extent cx="1981200" cy="792480"/>
          <wp:effectExtent l="0" t="0" r="0" b="7620"/>
          <wp:docPr id="3" name="Picture 3" descr="CGIAR Research Program on Dryland Cereals green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" descr="CGIAR Research Program on Dryland Cereals green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81200" cy="792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alibri" w:eastAsia="Calibri" w:hAnsi="Calibri" w:cs="Calibri"/>
        <w:b/>
        <w:bCs/>
        <w:noProof/>
        <w:sz w:val="19"/>
        <w:szCs w:val="19"/>
      </w:rPr>
      <w:drawing>
        <wp:inline distT="0" distB="0" distL="0" distR="0">
          <wp:extent cx="1744980" cy="784860"/>
          <wp:effectExtent l="0" t="0" r="7620" b="0"/>
          <wp:docPr id="2" name="Picture 2" descr="Captu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2" descr="Captur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4980" cy="784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41C5" w:rsidRDefault="00E741C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1813270"/>
    <w:multiLevelType w:val="multilevel"/>
    <w:tmpl w:val="27CE5008"/>
    <w:lvl w:ilvl="0">
      <w:start w:val="1"/>
      <w:numFmt w:val="decimal"/>
      <w:lvlText w:val="%1"/>
      <w:lvlJc w:val="left"/>
      <w:pPr>
        <w:ind w:left="871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71" w:hanging="720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2">
      <w:start w:val="1"/>
      <w:numFmt w:val="lowerRoman"/>
      <w:lvlText w:val="(%3)"/>
      <w:lvlJc w:val="left"/>
      <w:pPr>
        <w:ind w:left="1003" w:hanging="569"/>
      </w:pPr>
      <w:rPr>
        <w:rFonts w:ascii="Calibri" w:eastAsia="Calibri" w:hAnsi="Calibri" w:hint="default"/>
        <w:spacing w:val="-1"/>
        <w:sz w:val="22"/>
        <w:szCs w:val="22"/>
      </w:rPr>
    </w:lvl>
    <w:lvl w:ilvl="3">
      <w:start w:val="1"/>
      <w:numFmt w:val="bullet"/>
      <w:lvlText w:val="•"/>
      <w:lvlJc w:val="left"/>
      <w:pPr>
        <w:ind w:left="2893" w:hanging="56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837" w:hanging="56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82" w:hanging="56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27" w:hanging="56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672" w:hanging="56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616" w:hanging="569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6545"/>
    <w:rsid w:val="00146545"/>
    <w:rsid w:val="00626962"/>
    <w:rsid w:val="0066121C"/>
    <w:rsid w:val="007E634C"/>
    <w:rsid w:val="0090280E"/>
    <w:rsid w:val="00E74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FC20B05-9645-4280-A435-A5085347A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626962"/>
    <w:pPr>
      <w:widowControl w:val="0"/>
      <w:spacing w:after="0" w:line="240" w:lineRule="auto"/>
    </w:pPr>
  </w:style>
  <w:style w:type="paragraph" w:styleId="Heading2">
    <w:name w:val="heading 2"/>
    <w:basedOn w:val="Normal"/>
    <w:link w:val="Heading2Char"/>
    <w:uiPriority w:val="1"/>
    <w:qFormat/>
    <w:rsid w:val="00626962"/>
    <w:pPr>
      <w:ind w:left="871" w:hanging="720"/>
      <w:outlineLvl w:val="1"/>
    </w:pPr>
    <w:rPr>
      <w:rFonts w:ascii="Calibri" w:eastAsia="Calibri" w:hAnsi="Calibri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1"/>
    <w:rsid w:val="00626962"/>
    <w:rPr>
      <w:rFonts w:ascii="Calibri" w:eastAsia="Calibri" w:hAnsi="Calibri"/>
      <w:b/>
      <w:bCs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741C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741C5"/>
  </w:style>
  <w:style w:type="paragraph" w:styleId="Footer">
    <w:name w:val="footer"/>
    <w:basedOn w:val="Normal"/>
    <w:link w:val="FooterChar"/>
    <w:uiPriority w:val="99"/>
    <w:unhideWhenUsed/>
    <w:rsid w:val="00E741C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741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862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423</Words>
  <Characters>2416</Characters>
  <Application>Microsoft Office Word</Application>
  <DocSecurity>0</DocSecurity>
  <Lines>20</Lines>
  <Paragraphs>5</Paragraphs>
  <ScaleCrop>false</ScaleCrop>
  <Company>Hewlett-Packard Company</Company>
  <LinksUpToDate>false</LinksUpToDate>
  <CharactersWithSpaces>2834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ICARDA</dc:creator>
  <cp:keywords/>
  <dc:description/>
  <cp:lastModifiedBy>ICARDA</cp:lastModifiedBy>
  <cp:revision>5</cp:revision>
  <dcterms:created xsi:type="dcterms:W3CDTF">2017-01-24T07:37:00Z</dcterms:created>
  <dcterms:modified xsi:type="dcterms:W3CDTF">2017-01-24T11:11:00Z</dcterms:modified>
</cp:coreProperties>
</file>