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047" w:rsidRPr="00C442E0" w:rsidRDefault="00A23047" w:rsidP="00A23047">
      <w:pPr>
        <w:rPr>
          <w:rFonts w:ascii="Times New Roman" w:eastAsia="Times New Roman" w:hAnsi="Times New Roman" w:cs="Times New Roman"/>
          <w:sz w:val="20"/>
          <w:szCs w:val="20"/>
        </w:rPr>
      </w:pPr>
      <w:r w:rsidRPr="00C442E0">
        <w:rPr>
          <w:rFonts w:ascii="Times New Roman" w:hAnsi="Times New Roman" w:cs="Times New Roman"/>
          <w:b/>
          <w:sz w:val="20"/>
          <w:szCs w:val="20"/>
        </w:rPr>
        <w:t>Activity</w:t>
      </w:r>
      <w:r w:rsidRPr="00C442E0">
        <w:rPr>
          <w:rFonts w:ascii="Times New Roman" w:hAnsi="Times New Roman" w:cs="Times New Roman"/>
          <w:sz w:val="20"/>
          <w:szCs w:val="20"/>
        </w:rPr>
        <w:t>: Evaluate selected hybrids (25-49) across agro-ecologies in Kenya, Ethiopia, Tanzania, Sudan and Uganda</w:t>
      </w:r>
      <w:r w:rsidRPr="00C442E0">
        <w:rPr>
          <w:rFonts w:ascii="Times New Roman" w:eastAsia="Times New Roman" w:hAnsi="Times New Roman" w:cs="Times New Roman"/>
          <w:sz w:val="20"/>
          <w:szCs w:val="20"/>
        </w:rPr>
        <w:t xml:space="preserve"> </w:t>
      </w:r>
    </w:p>
    <w:p w:rsidR="00A23047" w:rsidRPr="00C442E0" w:rsidRDefault="00A23047" w:rsidP="00A23047">
      <w:pPr>
        <w:rPr>
          <w:rFonts w:ascii="Times New Roman" w:eastAsia="Times New Roman" w:hAnsi="Times New Roman" w:cs="Times New Roman"/>
          <w:sz w:val="20"/>
          <w:szCs w:val="20"/>
        </w:rPr>
      </w:pPr>
      <w:r w:rsidRPr="00C442E0">
        <w:rPr>
          <w:rFonts w:ascii="Times New Roman" w:eastAsia="Times New Roman" w:hAnsi="Times New Roman" w:cs="Times New Roman"/>
          <w:b/>
          <w:sz w:val="20"/>
          <w:szCs w:val="20"/>
        </w:rPr>
        <w:t>Output:</w:t>
      </w:r>
      <w:r w:rsidRPr="00C442E0">
        <w:rPr>
          <w:rFonts w:ascii="Times New Roman" w:eastAsia="Times New Roman" w:hAnsi="Times New Roman" w:cs="Times New Roman"/>
          <w:sz w:val="20"/>
          <w:szCs w:val="20"/>
        </w:rPr>
        <w:t xml:space="preserve"> Superior hybrids developed with adaptation to dry lowlands and with end users quality traits</w:t>
      </w:r>
    </w:p>
    <w:p w:rsidR="00A23047" w:rsidRPr="00C442E0" w:rsidRDefault="00A23047" w:rsidP="00A23047">
      <w:pPr>
        <w:pStyle w:val="ListParagraph"/>
        <w:rPr>
          <w:rFonts w:ascii="Times New Roman" w:hAnsi="Times New Roman" w:cs="Times New Roman"/>
          <w:sz w:val="20"/>
          <w:szCs w:val="20"/>
        </w:rPr>
      </w:pPr>
    </w:p>
    <w:p w:rsidR="00A23047" w:rsidRPr="00C442E0" w:rsidRDefault="00A23047" w:rsidP="00A23047">
      <w:pPr>
        <w:rPr>
          <w:rFonts w:ascii="Times New Roman" w:eastAsia="Times New Roman" w:hAnsi="Times New Roman" w:cs="Times New Roman"/>
          <w:b/>
          <w:sz w:val="20"/>
          <w:szCs w:val="20"/>
        </w:rPr>
      </w:pPr>
    </w:p>
    <w:p w:rsidR="00A23047" w:rsidRPr="00C442E0" w:rsidRDefault="00A23047" w:rsidP="00A23047">
      <w:pPr>
        <w:rPr>
          <w:rFonts w:ascii="Times New Roman" w:eastAsia="Times New Roman" w:hAnsi="Times New Roman" w:cs="Times New Roman"/>
          <w:b/>
          <w:sz w:val="20"/>
          <w:szCs w:val="20"/>
        </w:rPr>
      </w:pPr>
    </w:p>
    <w:p w:rsidR="00A23047" w:rsidRPr="00C442E0" w:rsidRDefault="00A23047" w:rsidP="00A23047">
      <w:pPr>
        <w:rPr>
          <w:rFonts w:ascii="Times New Roman" w:eastAsia="Times New Roman" w:hAnsi="Times New Roman" w:cs="Times New Roman"/>
          <w:sz w:val="20"/>
          <w:szCs w:val="20"/>
        </w:rPr>
      </w:pPr>
      <w:r w:rsidRPr="00C442E0">
        <w:rPr>
          <w:rFonts w:ascii="Times New Roman" w:eastAsia="Times New Roman" w:hAnsi="Times New Roman" w:cs="Times New Roman"/>
          <w:b/>
          <w:sz w:val="20"/>
          <w:szCs w:val="20"/>
        </w:rPr>
        <w:t>Materials and methods</w:t>
      </w:r>
      <w:r w:rsidRPr="00C442E0">
        <w:rPr>
          <w:rFonts w:ascii="Times New Roman" w:eastAsia="Times New Roman" w:hAnsi="Times New Roman" w:cs="Times New Roman"/>
          <w:sz w:val="20"/>
          <w:szCs w:val="20"/>
        </w:rPr>
        <w:t xml:space="preserve"> </w:t>
      </w:r>
    </w:p>
    <w:p w:rsidR="00A23047" w:rsidRPr="00C442E0" w:rsidRDefault="00A23047" w:rsidP="00A23047">
      <w:pPr>
        <w:autoSpaceDE w:val="0"/>
        <w:autoSpaceDN w:val="0"/>
        <w:adjustRightInd w:val="0"/>
        <w:spacing w:before="100" w:beforeAutospacing="1" w:after="100" w:afterAutospacing="1"/>
        <w:jc w:val="both"/>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 xml:space="preserve">Twenty five hybrids were tested in target dry lowland agro-ecologies in Kenya, Tanzania, Uganda, Malawi and Zimbabwe to establish their adaptability and stability in performance and to select hybrids for on farm testing. These trials were established in replicated trials using Lattice design of 4 row plots and spacing of 0.6-0.75 m by 0.2m inter and intra row depending on agro-ecology. </w:t>
      </w:r>
    </w:p>
    <w:p w:rsidR="00A23047" w:rsidRPr="00C442E0" w:rsidRDefault="00A23047" w:rsidP="00A23047">
      <w:pPr>
        <w:autoSpaceDE w:val="0"/>
        <w:autoSpaceDN w:val="0"/>
        <w:adjustRightInd w:val="0"/>
        <w:spacing w:before="100" w:beforeAutospacing="1" w:after="100" w:afterAutospacing="1"/>
        <w:jc w:val="both"/>
        <w:rPr>
          <w:rFonts w:ascii="Times New Roman" w:eastAsia="Times New Roman" w:hAnsi="Times New Roman" w:cs="Times New Roman"/>
          <w:b/>
          <w:sz w:val="20"/>
          <w:szCs w:val="20"/>
        </w:rPr>
      </w:pPr>
      <w:r w:rsidRPr="00C442E0">
        <w:rPr>
          <w:rFonts w:ascii="Times New Roman" w:eastAsia="Times New Roman" w:hAnsi="Times New Roman" w:cs="Times New Roman"/>
          <w:b/>
          <w:sz w:val="20"/>
          <w:szCs w:val="20"/>
        </w:rPr>
        <w:t xml:space="preserve">Results and interpretation </w:t>
      </w:r>
    </w:p>
    <w:p w:rsidR="00A23047" w:rsidRPr="00974E95" w:rsidRDefault="00A23047" w:rsidP="00A23047">
      <w:pPr>
        <w:autoSpaceDE w:val="0"/>
        <w:autoSpaceDN w:val="0"/>
        <w:adjustRightInd w:val="0"/>
        <w:spacing w:before="100" w:beforeAutospacing="1" w:after="100" w:afterAutospacing="1"/>
        <w:jc w:val="both"/>
        <w:rPr>
          <w:rFonts w:ascii="Times New Roman" w:eastAsia="Times New Roman" w:hAnsi="Times New Roman" w:cs="Times New Roman"/>
          <w:sz w:val="20"/>
          <w:szCs w:val="20"/>
        </w:rPr>
      </w:pPr>
      <w:r w:rsidRPr="00974E95">
        <w:rPr>
          <w:rFonts w:ascii="Times New Roman" w:eastAsia="Times New Roman" w:hAnsi="Times New Roman" w:cs="Times New Roman"/>
          <w:sz w:val="20"/>
          <w:szCs w:val="20"/>
        </w:rPr>
        <w:t>In Kenya and Tanzania hybrids</w:t>
      </w:r>
      <w:r w:rsidRPr="00974E95">
        <w:rPr>
          <w:rFonts w:ascii="Times New Roman" w:hAnsi="Times New Roman" w:cs="Times New Roman"/>
          <w:sz w:val="20"/>
          <w:szCs w:val="20"/>
        </w:rPr>
        <w:t xml:space="preserve"> IESH 22023, IESH 28005, IESH 22009, </w:t>
      </w:r>
      <w:r w:rsidRPr="00974E95">
        <w:rPr>
          <w:rFonts w:ascii="Times New Roman" w:eastAsia="Times New Roman" w:hAnsi="Times New Roman" w:cs="Times New Roman"/>
          <w:sz w:val="20"/>
          <w:szCs w:val="20"/>
        </w:rPr>
        <w:t>IESH 214016 and</w:t>
      </w:r>
      <w:r w:rsidRPr="00974E95">
        <w:rPr>
          <w:rFonts w:ascii="Times New Roman" w:hAnsi="Times New Roman" w:cs="Times New Roman"/>
          <w:sz w:val="20"/>
          <w:szCs w:val="20"/>
        </w:rPr>
        <w:t xml:space="preserve"> </w:t>
      </w:r>
      <w:r w:rsidRPr="00974E95">
        <w:rPr>
          <w:rFonts w:ascii="Times New Roman" w:eastAsia="Times New Roman" w:hAnsi="Times New Roman" w:cs="Times New Roman"/>
          <w:sz w:val="20"/>
          <w:szCs w:val="20"/>
        </w:rPr>
        <w:t xml:space="preserve">IESH 214016 had the best grain yields (4.370-6.889 t/ha) and overall agronomy and were selected for on-farm testing. These hybrids had 3.5-63.2 percent yield advantage over released hybrid IESH 28002 (NACO SH 2) in Tanzania (Table 1). In Malawi the hybrids performed better at </w:t>
      </w:r>
      <w:proofErr w:type="spellStart"/>
      <w:r w:rsidRPr="00974E95">
        <w:rPr>
          <w:rFonts w:ascii="Times New Roman" w:eastAsia="Times New Roman" w:hAnsi="Times New Roman" w:cs="Times New Roman"/>
          <w:sz w:val="20"/>
          <w:szCs w:val="20"/>
        </w:rPr>
        <w:t>Chitala</w:t>
      </w:r>
      <w:proofErr w:type="spellEnd"/>
      <w:r w:rsidRPr="00974E95">
        <w:rPr>
          <w:rFonts w:ascii="Times New Roman" w:eastAsia="Times New Roman" w:hAnsi="Times New Roman" w:cs="Times New Roman"/>
          <w:sz w:val="20"/>
          <w:szCs w:val="20"/>
        </w:rPr>
        <w:t xml:space="preserve"> station than at </w:t>
      </w:r>
      <w:proofErr w:type="spellStart"/>
      <w:r w:rsidRPr="00974E95">
        <w:rPr>
          <w:rFonts w:ascii="Times New Roman" w:eastAsia="Times New Roman" w:hAnsi="Times New Roman" w:cs="Times New Roman"/>
          <w:sz w:val="20"/>
          <w:szCs w:val="20"/>
        </w:rPr>
        <w:t>Chitedze</w:t>
      </w:r>
      <w:proofErr w:type="spellEnd"/>
      <w:r w:rsidRPr="00974E95">
        <w:rPr>
          <w:rFonts w:ascii="Times New Roman" w:eastAsia="Times New Roman" w:hAnsi="Times New Roman" w:cs="Times New Roman"/>
          <w:sz w:val="20"/>
          <w:szCs w:val="20"/>
        </w:rPr>
        <w:t xml:space="preserve"> station. Hybrids IESH 22010, IESH 22002, IESH 22005, IESH 22011, IESH 29068, IESH 22006 and IESH 22023 (released in Tanzania) with yields of 5.847 – 7.740 t ha</w:t>
      </w:r>
      <w:r w:rsidRPr="00974E95">
        <w:rPr>
          <w:rFonts w:ascii="Times New Roman" w:eastAsia="Times New Roman" w:hAnsi="Times New Roman" w:cs="Times New Roman"/>
          <w:sz w:val="20"/>
          <w:szCs w:val="20"/>
          <w:vertAlign w:val="superscript"/>
        </w:rPr>
        <w:t>-1</w:t>
      </w:r>
      <w:r w:rsidRPr="00974E95">
        <w:rPr>
          <w:rFonts w:ascii="Times New Roman" w:eastAsia="Times New Roman" w:hAnsi="Times New Roman" w:cs="Times New Roman"/>
          <w:sz w:val="20"/>
          <w:szCs w:val="20"/>
        </w:rPr>
        <w:t xml:space="preserve"> (Fig. 2) were identified for on farm evaluation. These were selected for on farm evaluation. In Zimbabwe hybrids ICSH 93135, SDSH 94014, SDSH 94010, IESH 214015, IESH 28020, IESH 28002, IESH 22023, IESH 22019 and IESH 22002 (yields 3.020 – 3.517 t/ha) were selected for on farm testing. </w:t>
      </w:r>
    </w:p>
    <w:tbl>
      <w:tblPr>
        <w:tblW w:w="7470" w:type="dxa"/>
        <w:jc w:val="center"/>
        <w:tblLook w:val="04A0" w:firstRow="1" w:lastRow="0" w:firstColumn="1" w:lastColumn="0" w:noHBand="0" w:noVBand="1"/>
      </w:tblPr>
      <w:tblGrid>
        <w:gridCol w:w="1725"/>
        <w:gridCol w:w="1027"/>
        <w:gridCol w:w="1223"/>
        <w:gridCol w:w="750"/>
        <w:gridCol w:w="1485"/>
        <w:gridCol w:w="1260"/>
      </w:tblGrid>
      <w:tr w:rsidR="00A23047" w:rsidRPr="00C442E0" w:rsidTr="00B17518">
        <w:trPr>
          <w:trHeight w:val="290"/>
          <w:jc w:val="center"/>
        </w:trPr>
        <w:tc>
          <w:tcPr>
            <w:tcW w:w="7470" w:type="dxa"/>
            <w:gridSpan w:val="6"/>
            <w:tcBorders>
              <w:top w:val="nil"/>
              <w:left w:val="nil"/>
              <w:bottom w:val="single" w:sz="4" w:space="0" w:color="auto"/>
              <w:right w:val="nil"/>
            </w:tcBorders>
            <w:shd w:val="clear" w:color="auto" w:fill="auto"/>
            <w:vAlign w:val="bottom"/>
            <w:hideMark/>
          </w:tcPr>
          <w:p w:rsidR="00A23047" w:rsidRPr="00C442E0" w:rsidRDefault="00A23047" w:rsidP="00B17518">
            <w:pP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Table 1. Hybrids selected for on-farm testing in both Kenya and Tanzania 2016</w:t>
            </w:r>
          </w:p>
        </w:tc>
      </w:tr>
      <w:tr w:rsidR="00A23047" w:rsidRPr="00C442E0" w:rsidTr="00B17518">
        <w:trPr>
          <w:trHeight w:val="701"/>
          <w:jc w:val="center"/>
        </w:trPr>
        <w:tc>
          <w:tcPr>
            <w:tcW w:w="1845" w:type="dxa"/>
            <w:tcBorders>
              <w:top w:val="nil"/>
              <w:left w:val="nil"/>
              <w:bottom w:val="single" w:sz="4" w:space="0" w:color="auto"/>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Name</w:t>
            </w:r>
          </w:p>
        </w:tc>
        <w:tc>
          <w:tcPr>
            <w:tcW w:w="960" w:type="dxa"/>
            <w:tcBorders>
              <w:top w:val="nil"/>
              <w:left w:val="nil"/>
              <w:bottom w:val="single" w:sz="4" w:space="0" w:color="auto"/>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Days 50% flowering</w:t>
            </w:r>
          </w:p>
        </w:tc>
        <w:tc>
          <w:tcPr>
            <w:tcW w:w="1223" w:type="dxa"/>
            <w:tcBorders>
              <w:top w:val="nil"/>
              <w:left w:val="nil"/>
              <w:bottom w:val="single" w:sz="4" w:space="0" w:color="auto"/>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Overall disease score            (1-9)</w:t>
            </w:r>
          </w:p>
        </w:tc>
        <w:tc>
          <w:tcPr>
            <w:tcW w:w="697" w:type="dxa"/>
            <w:tcBorders>
              <w:top w:val="nil"/>
              <w:left w:val="nil"/>
              <w:bottom w:val="single" w:sz="4" w:space="0" w:color="auto"/>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Plant height (cm)</w:t>
            </w:r>
          </w:p>
        </w:tc>
        <w:tc>
          <w:tcPr>
            <w:tcW w:w="1485" w:type="dxa"/>
            <w:tcBorders>
              <w:top w:val="nil"/>
              <w:left w:val="nil"/>
              <w:bottom w:val="single" w:sz="4" w:space="0" w:color="auto"/>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b/>
                <w:bCs/>
                <w:sz w:val="20"/>
                <w:szCs w:val="20"/>
              </w:rPr>
            </w:pPr>
            <w:proofErr w:type="spellStart"/>
            <w:r w:rsidRPr="00C442E0">
              <w:rPr>
                <w:rFonts w:ascii="Times New Roman" w:eastAsia="Times New Roman" w:hAnsi="Times New Roman" w:cs="Times New Roman"/>
                <w:b/>
                <w:bCs/>
                <w:sz w:val="20"/>
                <w:szCs w:val="20"/>
              </w:rPr>
              <w:t>Gyld</w:t>
            </w:r>
            <w:proofErr w:type="spellEnd"/>
            <w:r w:rsidRPr="00C442E0">
              <w:rPr>
                <w:rFonts w:ascii="Times New Roman" w:eastAsia="Times New Roman" w:hAnsi="Times New Roman" w:cs="Times New Roman"/>
                <w:b/>
                <w:bCs/>
                <w:sz w:val="20"/>
                <w:szCs w:val="20"/>
              </w:rPr>
              <w:t xml:space="preserve"> t/ha</w:t>
            </w:r>
          </w:p>
        </w:tc>
        <w:tc>
          <w:tcPr>
            <w:tcW w:w="1260" w:type="dxa"/>
            <w:tcBorders>
              <w:top w:val="nil"/>
              <w:left w:val="nil"/>
              <w:bottom w:val="single" w:sz="4" w:space="0" w:color="auto"/>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b/>
                <w:bCs/>
                <w:sz w:val="20"/>
                <w:szCs w:val="20"/>
              </w:rPr>
            </w:pPr>
            <w:r w:rsidRPr="00C442E0">
              <w:rPr>
                <w:rFonts w:ascii="Times New Roman" w:eastAsia="Times New Roman" w:hAnsi="Times New Roman" w:cs="Times New Roman"/>
                <w:b/>
                <w:bCs/>
                <w:sz w:val="20"/>
                <w:szCs w:val="20"/>
              </w:rPr>
              <w:t>Thresh%</w:t>
            </w:r>
          </w:p>
        </w:tc>
      </w:tr>
      <w:tr w:rsidR="00A23047" w:rsidRPr="00C442E0" w:rsidTr="00B17518">
        <w:trPr>
          <w:trHeight w:val="290"/>
          <w:jc w:val="center"/>
        </w:trPr>
        <w:tc>
          <w:tcPr>
            <w:tcW w:w="1845" w:type="dxa"/>
            <w:tcBorders>
              <w:top w:val="nil"/>
              <w:left w:val="nil"/>
              <w:bottom w:val="nil"/>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IESH 22023</w:t>
            </w:r>
          </w:p>
        </w:tc>
        <w:tc>
          <w:tcPr>
            <w:tcW w:w="9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72</w:t>
            </w:r>
          </w:p>
        </w:tc>
        <w:tc>
          <w:tcPr>
            <w:tcW w:w="1223"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3.3</w:t>
            </w:r>
          </w:p>
        </w:tc>
        <w:tc>
          <w:tcPr>
            <w:tcW w:w="697"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219.7</w:t>
            </w:r>
          </w:p>
        </w:tc>
        <w:tc>
          <w:tcPr>
            <w:tcW w:w="1485"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6.889</w:t>
            </w:r>
          </w:p>
        </w:tc>
        <w:tc>
          <w:tcPr>
            <w:tcW w:w="12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77</w:t>
            </w:r>
          </w:p>
        </w:tc>
      </w:tr>
      <w:tr w:rsidR="00A23047" w:rsidRPr="00C442E0" w:rsidTr="00B17518">
        <w:trPr>
          <w:trHeight w:val="290"/>
          <w:jc w:val="center"/>
        </w:trPr>
        <w:tc>
          <w:tcPr>
            <w:tcW w:w="1845" w:type="dxa"/>
            <w:tcBorders>
              <w:top w:val="nil"/>
              <w:left w:val="nil"/>
              <w:bottom w:val="nil"/>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IESH 28005</w:t>
            </w:r>
          </w:p>
        </w:tc>
        <w:tc>
          <w:tcPr>
            <w:tcW w:w="9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77</w:t>
            </w:r>
          </w:p>
        </w:tc>
        <w:tc>
          <w:tcPr>
            <w:tcW w:w="1223"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3.3</w:t>
            </w:r>
          </w:p>
        </w:tc>
        <w:tc>
          <w:tcPr>
            <w:tcW w:w="697"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277.0</w:t>
            </w:r>
          </w:p>
        </w:tc>
        <w:tc>
          <w:tcPr>
            <w:tcW w:w="1485"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6.222</w:t>
            </w:r>
          </w:p>
        </w:tc>
        <w:tc>
          <w:tcPr>
            <w:tcW w:w="12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74</w:t>
            </w:r>
          </w:p>
        </w:tc>
      </w:tr>
      <w:tr w:rsidR="00A23047" w:rsidRPr="00C442E0" w:rsidTr="00B17518">
        <w:trPr>
          <w:trHeight w:val="290"/>
          <w:jc w:val="center"/>
        </w:trPr>
        <w:tc>
          <w:tcPr>
            <w:tcW w:w="1845" w:type="dxa"/>
            <w:tcBorders>
              <w:top w:val="nil"/>
              <w:left w:val="nil"/>
              <w:bottom w:val="nil"/>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IESH 22009</w:t>
            </w:r>
          </w:p>
        </w:tc>
        <w:tc>
          <w:tcPr>
            <w:tcW w:w="9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74</w:t>
            </w:r>
          </w:p>
        </w:tc>
        <w:tc>
          <w:tcPr>
            <w:tcW w:w="1223"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3.3</w:t>
            </w:r>
          </w:p>
        </w:tc>
        <w:tc>
          <w:tcPr>
            <w:tcW w:w="697"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194.0</w:t>
            </w:r>
          </w:p>
        </w:tc>
        <w:tc>
          <w:tcPr>
            <w:tcW w:w="1485"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5.407</w:t>
            </w:r>
          </w:p>
        </w:tc>
        <w:tc>
          <w:tcPr>
            <w:tcW w:w="12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72</w:t>
            </w:r>
          </w:p>
        </w:tc>
      </w:tr>
      <w:tr w:rsidR="00A23047" w:rsidRPr="00C442E0" w:rsidTr="00B17518">
        <w:trPr>
          <w:trHeight w:val="290"/>
          <w:jc w:val="center"/>
        </w:trPr>
        <w:tc>
          <w:tcPr>
            <w:tcW w:w="1845" w:type="dxa"/>
            <w:tcBorders>
              <w:top w:val="nil"/>
              <w:left w:val="nil"/>
              <w:bottom w:val="nil"/>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IESH 214016</w:t>
            </w:r>
          </w:p>
        </w:tc>
        <w:tc>
          <w:tcPr>
            <w:tcW w:w="9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76</w:t>
            </w:r>
          </w:p>
        </w:tc>
        <w:tc>
          <w:tcPr>
            <w:tcW w:w="1223"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2.7</w:t>
            </w:r>
          </w:p>
        </w:tc>
        <w:tc>
          <w:tcPr>
            <w:tcW w:w="697"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184.0</w:t>
            </w:r>
          </w:p>
        </w:tc>
        <w:tc>
          <w:tcPr>
            <w:tcW w:w="1485"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4.889</w:t>
            </w:r>
          </w:p>
        </w:tc>
        <w:tc>
          <w:tcPr>
            <w:tcW w:w="12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79</w:t>
            </w:r>
          </w:p>
        </w:tc>
      </w:tr>
      <w:tr w:rsidR="00A23047" w:rsidRPr="00C442E0" w:rsidTr="00B17518">
        <w:trPr>
          <w:trHeight w:val="290"/>
          <w:jc w:val="center"/>
        </w:trPr>
        <w:tc>
          <w:tcPr>
            <w:tcW w:w="1845" w:type="dxa"/>
            <w:tcBorders>
              <w:top w:val="nil"/>
              <w:left w:val="nil"/>
              <w:bottom w:val="nil"/>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IESH 25007</w:t>
            </w:r>
          </w:p>
        </w:tc>
        <w:tc>
          <w:tcPr>
            <w:tcW w:w="9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78</w:t>
            </w:r>
          </w:p>
        </w:tc>
        <w:tc>
          <w:tcPr>
            <w:tcW w:w="1223"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2.8</w:t>
            </w:r>
          </w:p>
        </w:tc>
        <w:tc>
          <w:tcPr>
            <w:tcW w:w="697"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213.3</w:t>
            </w:r>
          </w:p>
        </w:tc>
        <w:tc>
          <w:tcPr>
            <w:tcW w:w="1485"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4.370</w:t>
            </w:r>
          </w:p>
        </w:tc>
        <w:tc>
          <w:tcPr>
            <w:tcW w:w="1260" w:type="dxa"/>
            <w:tcBorders>
              <w:top w:val="nil"/>
              <w:left w:val="nil"/>
              <w:bottom w:val="nil"/>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68</w:t>
            </w:r>
          </w:p>
        </w:tc>
      </w:tr>
      <w:tr w:rsidR="00A23047" w:rsidRPr="00C442E0" w:rsidTr="00B17518">
        <w:trPr>
          <w:trHeight w:val="290"/>
          <w:jc w:val="center"/>
        </w:trPr>
        <w:tc>
          <w:tcPr>
            <w:tcW w:w="1845" w:type="dxa"/>
            <w:tcBorders>
              <w:top w:val="nil"/>
              <w:left w:val="nil"/>
              <w:bottom w:val="nil"/>
              <w:right w:val="nil"/>
            </w:tcBorders>
            <w:shd w:val="clear" w:color="auto" w:fill="auto"/>
            <w:vAlign w:val="bottom"/>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IESH 28002 (check)</w:t>
            </w:r>
          </w:p>
        </w:tc>
        <w:tc>
          <w:tcPr>
            <w:tcW w:w="960" w:type="dxa"/>
            <w:tcBorders>
              <w:top w:val="nil"/>
              <w:left w:val="nil"/>
              <w:bottom w:val="nil"/>
              <w:right w:val="nil"/>
            </w:tcBorders>
            <w:shd w:val="clear" w:color="auto" w:fill="auto"/>
            <w:noWrap/>
            <w:vAlign w:val="bottom"/>
          </w:tcPr>
          <w:p w:rsidR="00A23047" w:rsidRPr="00C442E0" w:rsidRDefault="00A23047" w:rsidP="00B17518">
            <w:pPr>
              <w:jc w:val="center"/>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79</w:t>
            </w:r>
          </w:p>
        </w:tc>
        <w:tc>
          <w:tcPr>
            <w:tcW w:w="1223" w:type="dxa"/>
            <w:tcBorders>
              <w:top w:val="nil"/>
              <w:left w:val="nil"/>
              <w:bottom w:val="nil"/>
              <w:right w:val="nil"/>
            </w:tcBorders>
            <w:shd w:val="clear" w:color="auto" w:fill="auto"/>
            <w:noWrap/>
            <w:vAlign w:val="bottom"/>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3.2</w:t>
            </w:r>
          </w:p>
        </w:tc>
        <w:tc>
          <w:tcPr>
            <w:tcW w:w="697" w:type="dxa"/>
            <w:tcBorders>
              <w:top w:val="nil"/>
              <w:left w:val="nil"/>
              <w:bottom w:val="nil"/>
              <w:right w:val="nil"/>
            </w:tcBorders>
            <w:shd w:val="clear" w:color="auto" w:fill="auto"/>
            <w:noWrap/>
            <w:vAlign w:val="bottom"/>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216.0</w:t>
            </w:r>
          </w:p>
        </w:tc>
        <w:tc>
          <w:tcPr>
            <w:tcW w:w="1485" w:type="dxa"/>
            <w:tcBorders>
              <w:top w:val="nil"/>
              <w:left w:val="nil"/>
              <w:bottom w:val="nil"/>
              <w:right w:val="nil"/>
            </w:tcBorders>
            <w:shd w:val="clear" w:color="auto" w:fill="auto"/>
            <w:noWrap/>
            <w:vAlign w:val="bottom"/>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4.222</w:t>
            </w:r>
          </w:p>
        </w:tc>
        <w:tc>
          <w:tcPr>
            <w:tcW w:w="1260" w:type="dxa"/>
            <w:tcBorders>
              <w:top w:val="nil"/>
              <w:left w:val="nil"/>
              <w:bottom w:val="nil"/>
              <w:right w:val="nil"/>
            </w:tcBorders>
            <w:shd w:val="clear" w:color="auto" w:fill="auto"/>
            <w:noWrap/>
            <w:vAlign w:val="bottom"/>
          </w:tcPr>
          <w:p w:rsidR="00A23047" w:rsidRPr="00C442E0" w:rsidRDefault="00A23047" w:rsidP="00B17518">
            <w:pPr>
              <w:jc w:val="center"/>
              <w:rPr>
                <w:rFonts w:ascii="Times New Roman" w:eastAsia="Times New Roman" w:hAnsi="Times New Roman" w:cs="Times New Roman"/>
                <w:color w:val="000000"/>
                <w:sz w:val="20"/>
                <w:szCs w:val="20"/>
              </w:rPr>
            </w:pPr>
            <w:r w:rsidRPr="00C442E0">
              <w:rPr>
                <w:rFonts w:ascii="Times New Roman" w:eastAsia="Times New Roman" w:hAnsi="Times New Roman" w:cs="Times New Roman"/>
                <w:color w:val="000000"/>
                <w:sz w:val="20"/>
                <w:szCs w:val="20"/>
              </w:rPr>
              <w:t>68</w:t>
            </w:r>
          </w:p>
        </w:tc>
      </w:tr>
      <w:tr w:rsidR="00A23047" w:rsidRPr="00C442E0" w:rsidTr="00B17518">
        <w:trPr>
          <w:trHeight w:val="269"/>
          <w:jc w:val="center"/>
        </w:trPr>
        <w:tc>
          <w:tcPr>
            <w:tcW w:w="1845" w:type="dxa"/>
            <w:tcBorders>
              <w:top w:val="single" w:sz="4" w:space="0" w:color="auto"/>
              <w:left w:val="nil"/>
              <w:bottom w:val="single" w:sz="4" w:space="0" w:color="auto"/>
              <w:right w:val="nil"/>
            </w:tcBorders>
            <w:shd w:val="clear" w:color="auto" w:fill="auto"/>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Grand means (N=25)</w:t>
            </w:r>
          </w:p>
        </w:tc>
        <w:tc>
          <w:tcPr>
            <w:tcW w:w="960" w:type="dxa"/>
            <w:tcBorders>
              <w:top w:val="single" w:sz="4" w:space="0" w:color="auto"/>
              <w:left w:val="nil"/>
              <w:bottom w:val="single" w:sz="4" w:space="0" w:color="auto"/>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80</w:t>
            </w:r>
          </w:p>
        </w:tc>
        <w:tc>
          <w:tcPr>
            <w:tcW w:w="1223" w:type="dxa"/>
            <w:tcBorders>
              <w:top w:val="single" w:sz="4" w:space="0" w:color="auto"/>
              <w:left w:val="nil"/>
              <w:bottom w:val="single" w:sz="4" w:space="0" w:color="auto"/>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3.2</w:t>
            </w:r>
          </w:p>
        </w:tc>
        <w:tc>
          <w:tcPr>
            <w:tcW w:w="697" w:type="dxa"/>
            <w:tcBorders>
              <w:top w:val="single" w:sz="4" w:space="0" w:color="auto"/>
              <w:left w:val="nil"/>
              <w:bottom w:val="single" w:sz="4" w:space="0" w:color="auto"/>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217.6</w:t>
            </w:r>
          </w:p>
        </w:tc>
        <w:tc>
          <w:tcPr>
            <w:tcW w:w="1485" w:type="dxa"/>
            <w:tcBorders>
              <w:top w:val="single" w:sz="4" w:space="0" w:color="auto"/>
              <w:left w:val="nil"/>
              <w:bottom w:val="single" w:sz="4" w:space="0" w:color="auto"/>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4.728</w:t>
            </w:r>
          </w:p>
        </w:tc>
        <w:tc>
          <w:tcPr>
            <w:tcW w:w="1260" w:type="dxa"/>
            <w:tcBorders>
              <w:top w:val="single" w:sz="4" w:space="0" w:color="auto"/>
              <w:left w:val="nil"/>
              <w:bottom w:val="single" w:sz="4" w:space="0" w:color="auto"/>
              <w:right w:val="nil"/>
            </w:tcBorders>
            <w:shd w:val="clear" w:color="auto" w:fill="auto"/>
            <w:noWrap/>
            <w:vAlign w:val="bottom"/>
            <w:hideMark/>
          </w:tcPr>
          <w:p w:rsidR="00A23047" w:rsidRPr="00C442E0" w:rsidRDefault="00A23047" w:rsidP="00B17518">
            <w:pPr>
              <w:jc w:val="center"/>
              <w:rPr>
                <w:rFonts w:ascii="Times New Roman" w:eastAsia="Times New Roman" w:hAnsi="Times New Roman" w:cs="Times New Roman"/>
                <w:b/>
                <w:bCs/>
                <w:color w:val="000000"/>
                <w:sz w:val="20"/>
                <w:szCs w:val="20"/>
              </w:rPr>
            </w:pPr>
            <w:r w:rsidRPr="00C442E0">
              <w:rPr>
                <w:rFonts w:ascii="Times New Roman" w:eastAsia="Times New Roman" w:hAnsi="Times New Roman" w:cs="Times New Roman"/>
                <w:b/>
                <w:bCs/>
                <w:color w:val="000000"/>
                <w:sz w:val="20"/>
                <w:szCs w:val="20"/>
              </w:rPr>
              <w:t>68</w:t>
            </w:r>
          </w:p>
        </w:tc>
      </w:tr>
    </w:tbl>
    <w:p w:rsidR="00A23047" w:rsidRPr="00C442E0" w:rsidRDefault="00A23047" w:rsidP="00A23047">
      <w:pPr>
        <w:rPr>
          <w:rFonts w:ascii="Times New Roman" w:eastAsia="Times New Roman" w:hAnsi="Times New Roman" w:cs="Times New Roman"/>
          <w:sz w:val="20"/>
          <w:szCs w:val="20"/>
        </w:rPr>
      </w:pPr>
    </w:p>
    <w:p w:rsidR="00A23047" w:rsidRPr="00C442E0" w:rsidRDefault="00A23047" w:rsidP="00A23047">
      <w:pPr>
        <w:rPr>
          <w:rFonts w:ascii="Times New Roman" w:eastAsia="Times New Roman" w:hAnsi="Times New Roman" w:cs="Times New Roman"/>
          <w:sz w:val="20"/>
          <w:szCs w:val="20"/>
        </w:rPr>
      </w:pPr>
    </w:p>
    <w:p w:rsidR="00A23047" w:rsidRPr="00C442E0" w:rsidRDefault="00A23047" w:rsidP="00A23047">
      <w:pPr>
        <w:jc w:val="center"/>
        <w:rPr>
          <w:rFonts w:ascii="Times New Roman" w:eastAsia="Times New Roman" w:hAnsi="Times New Roman" w:cs="Times New Roman"/>
          <w:sz w:val="20"/>
          <w:szCs w:val="20"/>
        </w:rPr>
      </w:pPr>
      <w:r w:rsidRPr="00C442E0">
        <w:rPr>
          <w:rFonts w:ascii="Times New Roman" w:hAnsi="Times New Roman" w:cs="Times New Roman"/>
          <w:noProof/>
          <w:sz w:val="20"/>
          <w:szCs w:val="20"/>
        </w:rPr>
        <w:lastRenderedPageBreak/>
        <w:drawing>
          <wp:inline distT="0" distB="0" distL="0" distR="0" wp14:anchorId="60F0D806" wp14:editId="129C388C">
            <wp:extent cx="4425950" cy="22923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A23047" w:rsidRPr="00C442E0" w:rsidRDefault="00A23047" w:rsidP="00A23047">
      <w:pPr>
        <w:rPr>
          <w:rFonts w:ascii="Times New Roman" w:eastAsia="Times New Roman" w:hAnsi="Times New Roman" w:cs="Times New Roman"/>
          <w:sz w:val="20"/>
          <w:szCs w:val="20"/>
        </w:rPr>
      </w:pPr>
      <w:r w:rsidRPr="00C442E0">
        <w:rPr>
          <w:rFonts w:ascii="Times New Roman" w:eastAsia="Times New Roman" w:hAnsi="Times New Roman" w:cs="Times New Roman"/>
          <w:noProof/>
          <w:color w:val="000000"/>
          <w:sz w:val="20"/>
          <w:szCs w:val="20"/>
        </w:rPr>
        <mc:AlternateContent>
          <mc:Choice Requires="wps">
            <w:drawing>
              <wp:anchor distT="45720" distB="45720" distL="114300" distR="114300" simplePos="0" relativeHeight="251659264" behindDoc="0" locked="0" layoutInCell="1" allowOverlap="1" wp14:anchorId="0E320896" wp14:editId="30801F09">
                <wp:simplePos x="0" y="0"/>
                <wp:positionH relativeFrom="column">
                  <wp:posOffset>285750</wp:posOffset>
                </wp:positionH>
                <wp:positionV relativeFrom="paragraph">
                  <wp:posOffset>50800</wp:posOffset>
                </wp:positionV>
                <wp:extent cx="446405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0" cy="1404620"/>
                        </a:xfrm>
                        <a:prstGeom prst="rect">
                          <a:avLst/>
                        </a:prstGeom>
                        <a:solidFill>
                          <a:srgbClr val="FFFFFF"/>
                        </a:solidFill>
                        <a:ln w="9525">
                          <a:noFill/>
                          <a:miter lim="800000"/>
                          <a:headEnd/>
                          <a:tailEnd/>
                        </a:ln>
                      </wps:spPr>
                      <wps:txbx>
                        <w:txbxContent>
                          <w:p w:rsidR="00A23047" w:rsidRPr="00FF5D1A" w:rsidRDefault="00A23047" w:rsidP="00A23047">
                            <w:pPr>
                              <w:rPr>
                                <w:rFonts w:ascii="Times New Roman" w:hAnsi="Times New Roman" w:cs="Times New Roman"/>
                                <w:sz w:val="18"/>
                                <w:szCs w:val="18"/>
                              </w:rPr>
                            </w:pPr>
                            <w:r w:rsidRPr="00FF5D1A">
                              <w:rPr>
                                <w:rFonts w:ascii="Times New Roman" w:hAnsi="Times New Roman" w:cs="Times New Roman"/>
                                <w:sz w:val="18"/>
                                <w:szCs w:val="18"/>
                              </w:rPr>
                              <w:t>Fig 2. Yield performance of sorghum hybrids at 2 sites in Malawi 2016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E320896" id="_x0000_t202" coordsize="21600,21600" o:spt="202" path="m,l,21600r21600,l21600,xe">
                <v:stroke joinstyle="miter"/>
                <v:path gradientshapeok="t" o:connecttype="rect"/>
              </v:shapetype>
              <v:shape id="Text Box 2" o:spid="_x0000_s1026" type="#_x0000_t202" style="position:absolute;margin-left:22.5pt;margin-top:4pt;width:351.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" stroked="f">
                <v:textbox style="mso-fit-shape-to-text:t">
                  <w:txbxContent>
                    <w:p w:rsidR="00A23047" w:rsidRPr="00FF5D1A" w:rsidRDefault="00A23047" w:rsidP="00A23047">
                      <w:pPr>
                        <w:rPr>
                          <w:rFonts w:ascii="Times New Roman" w:hAnsi="Times New Roman" w:cs="Times New Roman"/>
                          <w:sz w:val="18"/>
                          <w:szCs w:val="18"/>
                        </w:rPr>
                      </w:pPr>
                      <w:r w:rsidRPr="00FF5D1A">
                        <w:rPr>
                          <w:rFonts w:ascii="Times New Roman" w:hAnsi="Times New Roman" w:cs="Times New Roman"/>
                          <w:sz w:val="18"/>
                          <w:szCs w:val="18"/>
                        </w:rPr>
                        <w:t>Fig 2. Yield performance of sorghum hybrids at 2 sites in Malawi 2016</w:t>
                      </w:r>
                    </w:p>
                  </w:txbxContent>
                </v:textbox>
                <w10:wrap type="square"/>
              </v:shape>
            </w:pict>
          </mc:Fallback>
        </mc:AlternateContent>
      </w:r>
    </w:p>
    <w:p w:rsidR="00A23047" w:rsidRPr="00C442E0" w:rsidRDefault="00A23047" w:rsidP="00A23047">
      <w:pPr>
        <w:rPr>
          <w:rFonts w:ascii="Times New Roman" w:eastAsia="Times New Roman" w:hAnsi="Times New Roman" w:cs="Times New Roman"/>
          <w:sz w:val="20"/>
          <w:szCs w:val="20"/>
        </w:rPr>
      </w:pPr>
    </w:p>
    <w:p w:rsidR="00A23047" w:rsidRPr="00C442E0" w:rsidRDefault="00A23047" w:rsidP="00A23047">
      <w:pPr>
        <w:rPr>
          <w:rFonts w:ascii="Times New Roman" w:eastAsia="Times New Roman" w:hAnsi="Times New Roman" w:cs="Times New Roman"/>
          <w:sz w:val="20"/>
          <w:szCs w:val="20"/>
        </w:rPr>
      </w:pPr>
    </w:p>
    <w:p w:rsidR="00A23047" w:rsidRPr="00C442E0" w:rsidRDefault="00A23047" w:rsidP="00A23047">
      <w:pPr>
        <w:jc w:val="both"/>
        <w:rPr>
          <w:rFonts w:ascii="Times New Roman" w:eastAsia="Times New Roman" w:hAnsi="Times New Roman" w:cs="Times New Roman"/>
          <w:b/>
          <w:sz w:val="20"/>
          <w:szCs w:val="20"/>
        </w:rPr>
      </w:pPr>
    </w:p>
    <w:p w:rsidR="00A23047" w:rsidRPr="00C442E0" w:rsidRDefault="00A23047" w:rsidP="00A23047">
      <w:pPr>
        <w:jc w:val="both"/>
        <w:rPr>
          <w:rFonts w:ascii="Times New Roman" w:eastAsia="Times New Roman" w:hAnsi="Times New Roman" w:cs="Times New Roman"/>
          <w:sz w:val="20"/>
          <w:szCs w:val="20"/>
        </w:rPr>
      </w:pPr>
      <w:r w:rsidRPr="00C442E0">
        <w:rPr>
          <w:rFonts w:ascii="Times New Roman" w:eastAsia="Times New Roman" w:hAnsi="Times New Roman" w:cs="Times New Roman"/>
          <w:b/>
          <w:sz w:val="20"/>
          <w:szCs w:val="20"/>
        </w:rPr>
        <w:t>Next steps</w:t>
      </w:r>
      <w:r w:rsidRPr="00C442E0">
        <w:rPr>
          <w:rFonts w:ascii="Times New Roman" w:eastAsia="Times New Roman" w:hAnsi="Times New Roman" w:cs="Times New Roman"/>
          <w:sz w:val="20"/>
          <w:szCs w:val="20"/>
        </w:rPr>
        <w:t xml:space="preserve"> </w:t>
      </w:r>
    </w:p>
    <w:p w:rsidR="00A23047" w:rsidRPr="00C442E0" w:rsidRDefault="00A23047" w:rsidP="00A23047">
      <w:pPr>
        <w:jc w:val="both"/>
        <w:rPr>
          <w:rFonts w:ascii="Times New Roman" w:eastAsia="Times New Roman" w:hAnsi="Times New Roman" w:cs="Times New Roman"/>
          <w:sz w:val="20"/>
          <w:szCs w:val="20"/>
        </w:rPr>
      </w:pPr>
    </w:p>
    <w:p w:rsidR="00A23047" w:rsidRPr="00C442E0" w:rsidRDefault="00A23047" w:rsidP="00A23047">
      <w:pPr>
        <w:jc w:val="both"/>
        <w:rPr>
          <w:rFonts w:ascii="Times New Roman" w:eastAsia="Times New Roman" w:hAnsi="Times New Roman" w:cs="Times New Roman"/>
          <w:sz w:val="20"/>
          <w:szCs w:val="20"/>
        </w:rPr>
      </w:pPr>
      <w:r w:rsidRPr="00C442E0">
        <w:rPr>
          <w:rFonts w:ascii="Times New Roman" w:eastAsia="Times New Roman" w:hAnsi="Times New Roman" w:cs="Times New Roman"/>
          <w:sz w:val="20"/>
          <w:szCs w:val="20"/>
        </w:rPr>
        <w:t>Selections will go into on-farm tests across dry lowland agro-ecologies with appropriate management options and farmers will be involved in selection.</w:t>
      </w:r>
    </w:p>
    <w:p w:rsidR="001C4F6C" w:rsidRDefault="001C4F6C">
      <w:bookmarkStart w:id="0" w:name="_GoBack"/>
      <w:bookmarkEnd w:id="0"/>
    </w:p>
    <w:sectPr w:rsidR="001C4F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0D5"/>
    <w:rsid w:val="001C4F6C"/>
    <w:rsid w:val="00A23047"/>
    <w:rsid w:val="00F730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4FFBD6-7C3A-4030-A75D-0EBF6E562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47"/>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30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724311877372206"/>
          <c:y val="0.15233130668792982"/>
          <c:w val="0.69545219486969334"/>
          <c:h val="0.54363101764178212"/>
        </c:manualLayout>
      </c:layout>
      <c:barChart>
        <c:barDir val="col"/>
        <c:grouping val="clustered"/>
        <c:varyColors val="0"/>
        <c:ser>
          <c:idx val="0"/>
          <c:order val="0"/>
          <c:tx>
            <c:strRef>
              <c:f>'CZ &amp; CT Sorghum Hybrids'!$W$6</c:f>
              <c:strCache>
                <c:ptCount val="1"/>
                <c:pt idx="0">
                  <c:v> Chitala</c:v>
                </c:pt>
              </c:strCache>
            </c:strRef>
          </c:tx>
          <c:invertIfNegative val="0"/>
          <c:cat>
            <c:strRef>
              <c:f>'CZ &amp; CT Sorghum Hybrids'!$V$8:$V$22</c:f>
              <c:strCache>
                <c:ptCount val="15"/>
                <c:pt idx="0">
                  <c:v>IESH 22005</c:v>
                </c:pt>
                <c:pt idx="1">
                  <c:v>IESH 22006</c:v>
                </c:pt>
                <c:pt idx="2">
                  <c:v>IESH 22010</c:v>
                </c:pt>
                <c:pt idx="3">
                  <c:v>IESH 22011</c:v>
                </c:pt>
                <c:pt idx="4">
                  <c:v>IESH 22012</c:v>
                </c:pt>
                <c:pt idx="5">
                  <c:v>IESH 22019</c:v>
                </c:pt>
                <c:pt idx="6">
                  <c:v>IESH 22023</c:v>
                </c:pt>
                <c:pt idx="7">
                  <c:v>IESH 25004</c:v>
                </c:pt>
                <c:pt idx="8">
                  <c:v>IESH 25007</c:v>
                </c:pt>
                <c:pt idx="9">
                  <c:v>IESH 25008</c:v>
                </c:pt>
                <c:pt idx="10">
                  <c:v>IESH 25009</c:v>
                </c:pt>
                <c:pt idx="11">
                  <c:v>IESH 25010</c:v>
                </c:pt>
                <c:pt idx="12">
                  <c:v>IESH 29068</c:v>
                </c:pt>
                <c:pt idx="13">
                  <c:v>Pilira 1 (check)</c:v>
                </c:pt>
                <c:pt idx="14">
                  <c:v>SDSH 90003</c:v>
                </c:pt>
              </c:strCache>
            </c:strRef>
          </c:cat>
          <c:val>
            <c:numRef>
              <c:f>'CZ &amp; CT Sorghum Hybrids'!$W$8:$W$22</c:f>
              <c:numCache>
                <c:formatCode>General</c:formatCode>
                <c:ptCount val="15"/>
                <c:pt idx="0">
                  <c:v>6369</c:v>
                </c:pt>
                <c:pt idx="1">
                  <c:v>6283</c:v>
                </c:pt>
                <c:pt idx="2">
                  <c:v>4812</c:v>
                </c:pt>
                <c:pt idx="3">
                  <c:v>6120</c:v>
                </c:pt>
                <c:pt idx="4">
                  <c:v>4675</c:v>
                </c:pt>
                <c:pt idx="5">
                  <c:v>2828</c:v>
                </c:pt>
                <c:pt idx="6">
                  <c:v>7642</c:v>
                </c:pt>
                <c:pt idx="7">
                  <c:v>5318</c:v>
                </c:pt>
                <c:pt idx="8">
                  <c:v>5582</c:v>
                </c:pt>
                <c:pt idx="9">
                  <c:v>6009</c:v>
                </c:pt>
                <c:pt idx="10">
                  <c:v>6884</c:v>
                </c:pt>
                <c:pt idx="11">
                  <c:v>8273</c:v>
                </c:pt>
                <c:pt idx="12">
                  <c:v>8074</c:v>
                </c:pt>
                <c:pt idx="13">
                  <c:v>3435</c:v>
                </c:pt>
                <c:pt idx="14">
                  <c:v>5201</c:v>
                </c:pt>
              </c:numCache>
            </c:numRef>
          </c:val>
        </c:ser>
        <c:ser>
          <c:idx val="1"/>
          <c:order val="1"/>
          <c:tx>
            <c:strRef>
              <c:f>'CZ &amp; CT Sorghum Hybrids'!$X$6</c:f>
              <c:strCache>
                <c:ptCount val="1"/>
                <c:pt idx="0">
                  <c:v> Chitedze</c:v>
                </c:pt>
              </c:strCache>
            </c:strRef>
          </c:tx>
          <c:invertIfNegative val="0"/>
          <c:cat>
            <c:strRef>
              <c:f>'CZ &amp; CT Sorghum Hybrids'!$V$8:$V$22</c:f>
              <c:strCache>
                <c:ptCount val="15"/>
                <c:pt idx="0">
                  <c:v>IESH 22005</c:v>
                </c:pt>
                <c:pt idx="1">
                  <c:v>IESH 22006</c:v>
                </c:pt>
                <c:pt idx="2">
                  <c:v>IESH 22010</c:v>
                </c:pt>
                <c:pt idx="3">
                  <c:v>IESH 22011</c:v>
                </c:pt>
                <c:pt idx="4">
                  <c:v>IESH 22012</c:v>
                </c:pt>
                <c:pt idx="5">
                  <c:v>IESH 22019</c:v>
                </c:pt>
                <c:pt idx="6">
                  <c:v>IESH 22023</c:v>
                </c:pt>
                <c:pt idx="7">
                  <c:v>IESH 25004</c:v>
                </c:pt>
                <c:pt idx="8">
                  <c:v>IESH 25007</c:v>
                </c:pt>
                <c:pt idx="9">
                  <c:v>IESH 25008</c:v>
                </c:pt>
                <c:pt idx="10">
                  <c:v>IESH 25009</c:v>
                </c:pt>
                <c:pt idx="11">
                  <c:v>IESH 25010</c:v>
                </c:pt>
                <c:pt idx="12">
                  <c:v>IESH 29068</c:v>
                </c:pt>
                <c:pt idx="13">
                  <c:v>Pilira 1 (check)</c:v>
                </c:pt>
                <c:pt idx="14">
                  <c:v>SDSH 90003</c:v>
                </c:pt>
              </c:strCache>
            </c:strRef>
          </c:cat>
          <c:val>
            <c:numRef>
              <c:f>'CZ &amp; CT Sorghum Hybrids'!$X$8:$X$22</c:f>
              <c:numCache>
                <c:formatCode>General</c:formatCode>
                <c:ptCount val="15"/>
                <c:pt idx="0">
                  <c:v>5703</c:v>
                </c:pt>
                <c:pt idx="1">
                  <c:v>5411</c:v>
                </c:pt>
                <c:pt idx="2">
                  <c:v>5301</c:v>
                </c:pt>
                <c:pt idx="3">
                  <c:v>6452</c:v>
                </c:pt>
                <c:pt idx="4">
                  <c:v>5163</c:v>
                </c:pt>
                <c:pt idx="5">
                  <c:v>4152</c:v>
                </c:pt>
                <c:pt idx="6">
                  <c:v>6342</c:v>
                </c:pt>
                <c:pt idx="7">
                  <c:v>4709</c:v>
                </c:pt>
                <c:pt idx="8">
                  <c:v>4663</c:v>
                </c:pt>
                <c:pt idx="9">
                  <c:v>6077</c:v>
                </c:pt>
                <c:pt idx="10">
                  <c:v>5120</c:v>
                </c:pt>
                <c:pt idx="11">
                  <c:v>7606</c:v>
                </c:pt>
                <c:pt idx="12">
                  <c:v>5079</c:v>
                </c:pt>
                <c:pt idx="13">
                  <c:v>4822</c:v>
                </c:pt>
                <c:pt idx="14">
                  <c:v>5232</c:v>
                </c:pt>
              </c:numCache>
            </c:numRef>
          </c:val>
        </c:ser>
        <c:dLbls>
          <c:showLegendKey val="0"/>
          <c:showVal val="0"/>
          <c:showCatName val="0"/>
          <c:showSerName val="0"/>
          <c:showPercent val="0"/>
          <c:showBubbleSize val="0"/>
        </c:dLbls>
        <c:gapWidth val="150"/>
        <c:axId val="240222832"/>
        <c:axId val="137350208"/>
      </c:barChart>
      <c:catAx>
        <c:axId val="240222832"/>
        <c:scaling>
          <c:orientation val="minMax"/>
        </c:scaling>
        <c:delete val="0"/>
        <c:axPos val="b"/>
        <c:title>
          <c:tx>
            <c:rich>
              <a:bodyPr/>
              <a:lstStyle/>
              <a:p>
                <a:pPr algn="ctr" rtl="0">
                  <a:defRPr lang="en-US" sz="1100" b="1" i="0" u="none" strike="noStrike" kern="1200" baseline="0">
                    <a:solidFill>
                      <a:sysClr val="windowText" lastClr="000000"/>
                    </a:solidFill>
                    <a:latin typeface="+mn-lt"/>
                    <a:ea typeface="+mn-ea"/>
                    <a:cs typeface="+mn-cs"/>
                  </a:defRPr>
                </a:pPr>
                <a:r>
                  <a:rPr lang="en-US" sz="1100" b="1" i="0" u="none" strike="noStrike" kern="1200" baseline="0">
                    <a:solidFill>
                      <a:sysClr val="windowText" lastClr="000000"/>
                    </a:solidFill>
                    <a:latin typeface="+mn-lt"/>
                    <a:ea typeface="+mn-ea"/>
                    <a:cs typeface="+mn-cs"/>
                  </a:rPr>
                  <a:t>Hybrid</a:t>
                </a:r>
              </a:p>
            </c:rich>
          </c:tx>
          <c:layout>
            <c:manualLayout>
              <c:xMode val="edge"/>
              <c:yMode val="edge"/>
              <c:x val="0.38952297319712359"/>
              <c:y val="0.93162430645536398"/>
            </c:manualLayout>
          </c:layout>
          <c:overlay val="0"/>
        </c:title>
        <c:numFmt formatCode="General" sourceLinked="0"/>
        <c:majorTickMark val="out"/>
        <c:minorTickMark val="none"/>
        <c:tickLblPos val="nextTo"/>
        <c:txPr>
          <a:bodyPr/>
          <a:lstStyle/>
          <a:p>
            <a:pPr>
              <a:defRPr sz="800"/>
            </a:pPr>
            <a:endParaRPr lang="en-US"/>
          </a:p>
        </c:txPr>
        <c:crossAx val="137350208"/>
        <c:crosses val="autoZero"/>
        <c:auto val="1"/>
        <c:lblAlgn val="ctr"/>
        <c:lblOffset val="100"/>
        <c:noMultiLvlLbl val="0"/>
      </c:catAx>
      <c:valAx>
        <c:axId val="137350208"/>
        <c:scaling>
          <c:orientation val="minMax"/>
        </c:scaling>
        <c:delete val="0"/>
        <c:axPos val="l"/>
        <c:majorGridlines>
          <c:spPr>
            <a:ln>
              <a:noFill/>
            </a:ln>
          </c:spPr>
        </c:majorGridlines>
        <c:title>
          <c:tx>
            <c:rich>
              <a:bodyPr rot="-5400000" vert="horz"/>
              <a:lstStyle/>
              <a:p>
                <a:pPr algn="ctr" rtl="0">
                  <a:defRPr lang="en-US" sz="1100" b="1" i="0" u="none" strike="noStrike" kern="1200" baseline="0">
                    <a:solidFill>
                      <a:sysClr val="windowText" lastClr="000000"/>
                    </a:solidFill>
                    <a:latin typeface="+mn-lt"/>
                    <a:ea typeface="+mn-ea"/>
                    <a:cs typeface="+mn-cs"/>
                  </a:defRPr>
                </a:pPr>
                <a:r>
                  <a:rPr lang="en-US" sz="1100" b="1" i="0" u="none" strike="noStrike" kern="1200" baseline="0">
                    <a:solidFill>
                      <a:sysClr val="windowText" lastClr="000000"/>
                    </a:solidFill>
                    <a:latin typeface="+mn-lt"/>
                    <a:ea typeface="+mn-ea"/>
                    <a:cs typeface="+mn-cs"/>
                  </a:rPr>
                  <a:t>Yield (kg/ha)</a:t>
                </a:r>
              </a:p>
            </c:rich>
          </c:tx>
          <c:layout>
            <c:manualLayout>
              <c:xMode val="edge"/>
              <c:yMode val="edge"/>
              <c:x val="2.8543551015230914E-3"/>
              <c:y val="0.21501179441177448"/>
            </c:manualLayout>
          </c:layout>
          <c:overlay val="0"/>
        </c:title>
        <c:numFmt formatCode="General" sourceLinked="1"/>
        <c:majorTickMark val="out"/>
        <c:minorTickMark val="none"/>
        <c:tickLblPos val="nextTo"/>
        <c:txPr>
          <a:bodyPr/>
          <a:lstStyle/>
          <a:p>
            <a:pPr>
              <a:defRPr sz="800"/>
            </a:pPr>
            <a:endParaRPr lang="en-US"/>
          </a:p>
        </c:txPr>
        <c:crossAx val="240222832"/>
        <c:crosses val="autoZero"/>
        <c:crossBetween val="between"/>
      </c:valAx>
    </c:plotArea>
    <c:legend>
      <c:legendPos val="r"/>
      <c:layout>
        <c:manualLayout>
          <c:xMode val="edge"/>
          <c:yMode val="edge"/>
          <c:x val="0.83991754155730536"/>
          <c:y val="0.30555732748596298"/>
          <c:w val="0.14341579177602801"/>
          <c:h val="0.27074188511246222"/>
        </c:manualLayout>
      </c:layout>
      <c:overlay val="0"/>
      <c:txPr>
        <a:bodyPr/>
        <a:lstStyle/>
        <a:p>
          <a:pPr>
            <a:defRPr sz="900"/>
          </a:pPr>
          <a:endParaRPr lang="en-US"/>
        </a:p>
      </c:txPr>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1795</Characters>
  <Application>Microsoft Office Word</Application>
  <DocSecurity>0</DocSecurity>
  <Lines>14</Lines>
  <Paragraphs>4</Paragraphs>
  <ScaleCrop>false</ScaleCrop>
  <Company>Hewlett-Packard Company</Company>
  <LinksUpToDate>false</LinksUpToDate>
  <CharactersWithSpaces>2105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2017-01-26T13:15:00Z</dcterms:created>
  <dcterms:modified xsi:type="dcterms:W3CDTF">2017-01-26T13:15:00Z</dcterms:modified>
</cp:coreProperties>
</file>