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C41" w:rsidRPr="00DC66BC" w:rsidRDefault="00F81C41" w:rsidP="00F81C41">
      <w:pPr>
        <w:pStyle w:val="Heading1WPa"/>
        <w:rPr>
          <w:rFonts w:ascii="Times New Roman" w:hAnsi="Times New Roman" w:cs="Times New Roman"/>
          <w:sz w:val="36"/>
          <w:szCs w:val="36"/>
          <w:lang w:val="en-US"/>
        </w:rPr>
      </w:pPr>
      <w:r w:rsidRPr="00DC66BC">
        <w:rPr>
          <w:rFonts w:ascii="Times New Roman" w:hAnsi="Times New Roman" w:cs="Times New Roman"/>
          <w:sz w:val="36"/>
          <w:szCs w:val="36"/>
          <w:lang w:val="en-US"/>
        </w:rPr>
        <w:t>Chapter 2</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b/>
          <w:sz w:val="24"/>
          <w:szCs w:val="24"/>
        </w:rPr>
      </w:pPr>
      <w:r w:rsidRPr="00DC66BC">
        <w:rPr>
          <w:rFonts w:ascii="Times New Roman" w:hAnsi="Times New Roman"/>
          <w:b/>
          <w:sz w:val="24"/>
          <w:szCs w:val="24"/>
        </w:rPr>
        <w:t>Ephraim Nkonya, Joachim von Braun, Alisher Mirzabaev, Quang Bao Le, Ho-Young Kwon, Oliver Kirui</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b/>
          <w:sz w:val="28"/>
          <w:szCs w:val="28"/>
        </w:rPr>
      </w:pPr>
    </w:p>
    <w:p w:rsidR="00F81C41" w:rsidRPr="00DC66BC" w:rsidRDefault="00F81C41" w:rsidP="00F81C41">
      <w:pPr>
        <w:spacing w:after="0" w:line="240" w:lineRule="auto"/>
        <w:jc w:val="both"/>
        <w:rPr>
          <w:rFonts w:ascii="Times New Roman" w:hAnsi="Times New Roman"/>
          <w:b/>
          <w:sz w:val="28"/>
          <w:szCs w:val="28"/>
        </w:rPr>
      </w:pPr>
      <w:r w:rsidRPr="00DC66BC">
        <w:rPr>
          <w:rFonts w:ascii="Times New Roman" w:hAnsi="Times New Roman"/>
          <w:b/>
          <w:sz w:val="28"/>
          <w:szCs w:val="28"/>
        </w:rPr>
        <w:t>Concepts and Methods of Global Assessment of the Economics of Land Degradation and Improvement</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b/>
          <w:sz w:val="24"/>
          <w:szCs w:val="24"/>
        </w:rPr>
      </w:pPr>
    </w:p>
    <w:p w:rsidR="00F81C41" w:rsidRPr="00DC66BC" w:rsidRDefault="00F81C41" w:rsidP="00F81C41">
      <w:pPr>
        <w:spacing w:after="0" w:line="240" w:lineRule="auto"/>
        <w:jc w:val="both"/>
        <w:rPr>
          <w:rFonts w:ascii="Times New Roman" w:hAnsi="Times New Roman"/>
          <w:b/>
          <w:sz w:val="24"/>
          <w:szCs w:val="24"/>
        </w:rPr>
      </w:pPr>
      <w:r w:rsidRPr="00DC66BC">
        <w:rPr>
          <w:rFonts w:ascii="Times New Roman" w:hAnsi="Times New Roman"/>
          <w:b/>
          <w:sz w:val="24"/>
          <w:szCs w:val="24"/>
        </w:rPr>
        <w:t>Abstract</w:t>
      </w:r>
    </w:p>
    <w:p w:rsidR="00F81C41" w:rsidRPr="00DC66BC" w:rsidRDefault="00F81C41" w:rsidP="00F81C41">
      <w:pPr>
        <w:spacing w:after="0" w:line="240" w:lineRule="auto"/>
        <w:jc w:val="both"/>
        <w:rPr>
          <w:rFonts w:ascii="Times New Roman" w:hAnsi="Times New Roman"/>
          <w:b/>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Economics of Land Degradation (ELD) initiative seeks to develop a science basis for policy actions to address land degradation. The purpose of this chapter is to provide with a conceptual framework and sound and feasible methodological standards for ELD assessments at global and national levels. Only if some basic standards are identified and adhered to, comparative assessments can be conducted between countries and useful aggregation of findings, based on these case studies, can be achieved. Therefore, using the Total Economic Value (TEV) framework, the chapter identifies minimum core standards that need to be adhered to in all country case studies to generate comparable material for international assessment and ELD policy guidance. </w:t>
      </w:r>
    </w:p>
    <w:p w:rsidR="00F81C41" w:rsidRPr="00DC66BC" w:rsidRDefault="00F81C41" w:rsidP="00F81C41">
      <w:pPr>
        <w:spacing w:after="0" w:line="240" w:lineRule="auto"/>
        <w:jc w:val="both"/>
        <w:rPr>
          <w:rFonts w:ascii="Times New Roman" w:hAnsi="Times New Roman"/>
          <w:b/>
          <w:sz w:val="24"/>
          <w:szCs w:val="24"/>
        </w:rPr>
      </w:pPr>
    </w:p>
    <w:p w:rsidR="00F81C41" w:rsidRPr="00DC66BC" w:rsidRDefault="00F81C41" w:rsidP="00F81C41">
      <w:pPr>
        <w:spacing w:after="0" w:line="240" w:lineRule="auto"/>
        <w:jc w:val="both"/>
        <w:rPr>
          <w:rFonts w:ascii="Times New Roman" w:hAnsi="Times New Roman"/>
          <w:b/>
          <w:sz w:val="24"/>
          <w:szCs w:val="24"/>
        </w:rPr>
      </w:pPr>
      <w:r w:rsidRPr="00DC66BC">
        <w:rPr>
          <w:rFonts w:ascii="Times New Roman" w:hAnsi="Times New Roman"/>
          <w:b/>
          <w:sz w:val="24"/>
          <w:szCs w:val="24"/>
        </w:rPr>
        <w:t xml:space="preserve">Key words: </w:t>
      </w:r>
      <w:r w:rsidRPr="00DC66BC">
        <w:rPr>
          <w:rFonts w:ascii="Times New Roman" w:hAnsi="Times New Roman"/>
          <w:sz w:val="24"/>
          <w:szCs w:val="24"/>
        </w:rPr>
        <w:t>Economics of Land Degradation, case studies, natural capital, Total Economic Value</w:t>
      </w:r>
    </w:p>
    <w:p w:rsidR="00F81C41" w:rsidRPr="00DC66BC" w:rsidRDefault="00F81C41" w:rsidP="00F81C41">
      <w:pPr>
        <w:spacing w:after="0" w:line="240" w:lineRule="auto"/>
        <w:jc w:val="both"/>
        <w:rPr>
          <w:rFonts w:ascii="Times New Roman" w:hAnsi="Times New Roman"/>
          <w:b/>
          <w:sz w:val="24"/>
          <w:szCs w:val="24"/>
        </w:rPr>
      </w:pPr>
    </w:p>
    <w:p w:rsidR="00F81C41" w:rsidRPr="00DC66BC" w:rsidRDefault="00F81C41" w:rsidP="00F81C41">
      <w:pPr>
        <w:spacing w:after="0" w:line="240" w:lineRule="auto"/>
        <w:jc w:val="both"/>
        <w:rPr>
          <w:rFonts w:ascii="Times New Roman" w:hAnsi="Times New Roman"/>
          <w:b/>
          <w:sz w:val="24"/>
          <w:szCs w:val="24"/>
        </w:rPr>
      </w:pPr>
    </w:p>
    <w:p w:rsidR="00F81C41" w:rsidRPr="00DC66BC" w:rsidRDefault="00F81C41" w:rsidP="00F81C41">
      <w:pPr>
        <w:spacing w:after="0" w:line="240" w:lineRule="auto"/>
        <w:jc w:val="both"/>
        <w:rPr>
          <w:rFonts w:ascii="Times New Roman" w:hAnsi="Times New Roman"/>
          <w:b/>
          <w:sz w:val="24"/>
          <w:szCs w:val="24"/>
        </w:rPr>
      </w:pPr>
    </w:p>
    <w:p w:rsidR="00F81C41" w:rsidRPr="00DC66BC" w:rsidRDefault="00F81C41" w:rsidP="00F81C41">
      <w:pPr>
        <w:spacing w:after="0" w:line="240" w:lineRule="auto"/>
        <w:jc w:val="both"/>
        <w:rPr>
          <w:rFonts w:ascii="Times New Roman" w:hAnsi="Times New Roman"/>
          <w:b/>
          <w:sz w:val="24"/>
          <w:szCs w:val="24"/>
        </w:rPr>
      </w:pPr>
      <w:r w:rsidRPr="00DC66BC">
        <w:rPr>
          <w:rFonts w:ascii="Times New Roman" w:hAnsi="Times New Roman"/>
          <w:b/>
          <w:sz w:val="24"/>
          <w:szCs w:val="24"/>
        </w:rPr>
        <w:t>Introduction</w:t>
      </w:r>
    </w:p>
    <w:p w:rsidR="00F81C41" w:rsidRPr="00DC66BC" w:rsidRDefault="00F81C41" w:rsidP="00F81C41">
      <w:pPr>
        <w:spacing w:after="0" w:line="240" w:lineRule="auto"/>
        <w:jc w:val="both"/>
        <w:rPr>
          <w:rFonts w:ascii="Times New Roman" w:hAnsi="Times New Roman"/>
          <w:b/>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Healthy land ecosystems (hereafter referred to simply as "land") that function well and ensure their services - are essential to sustainable development, including food security and improved livelihoods. Yet, key services provided by land have habitually been taken for granted and their true value – beyond the market value – has been underrated (von Braun et al. 2013). This pattern of undervaluation of lands is about to change in view of the rapidly rising land prices, which is the result of increasing shortage of land and high output prices (ibid.). Moreover, the value of land ecosystem services is gradually being better understood. Globally, it is estimated that about a quarter of land area is degraded, affecting more than a billion people all over the world (Lal et al. 2012). Land degradation is defined as the persistent reduction of land’s biological and/or economic production capacity, or as the long-term loss of land ecosystem functions and services (Safriel 2007</w:t>
      </w:r>
      <w:r>
        <w:rPr>
          <w:rFonts w:ascii="Times New Roman" w:hAnsi="Times New Roman"/>
          <w:sz w:val="24"/>
          <w:szCs w:val="24"/>
        </w:rPr>
        <w:t xml:space="preserve">, </w:t>
      </w:r>
      <w:r w:rsidRPr="00DC66BC">
        <w:rPr>
          <w:rFonts w:ascii="Times New Roman" w:hAnsi="Times New Roman"/>
          <w:sz w:val="24"/>
          <w:szCs w:val="24"/>
        </w:rPr>
        <w:t xml:space="preserve">Vogt et al. 2011). Land degradation wreaks its highest toll on the livelihoods and well-being of the poorest households in the rural areas of developing countries (Nachtergaele et al. 2010). Vicious circles of poverty and land degradation, as well as transmission effects from rural poverty and food insecurity to national economies, critically hamper their development process.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Despite the urgent need for preventing and reversing land degradation, the problem has yet to be appropriately addressed (Lal et al. 2012). Policy actions for sustainable land management </w:t>
      </w:r>
      <w:r w:rsidRPr="00DC66BC">
        <w:rPr>
          <w:rFonts w:ascii="Times New Roman" w:hAnsi="Times New Roman"/>
          <w:sz w:val="24"/>
          <w:szCs w:val="24"/>
        </w:rPr>
        <w:lastRenderedPageBreak/>
        <w:t xml:space="preserve">(SLM) remain inconsistent and often ineffective (Nkonya et al. 2011). Such policy frameworks to combat land degradation need to be supported by evidence-based and action-oriented research (von Braun et al. 2013). The past studies on land degradation had played a useful role in highlighting land degradation as a globally critical issue. However, most of them tended to focus only on simpler relationships, such as, for example, soil erosion and its impact on crop yield, while ignoring the broader values of land ecosystem services, various off-site and indirect costs in their analytical frameworks. The losses from land degradation include not only environmental degradation cost measured directly on-site (e.g., soil loss and nutrient depletion), but also the cost of indirect and off-site environmental impacts (e.g., siltation of water bodies, water pollution, and biodiversity declines) (Foley et al. 2005).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Yet it is empirically challenging to account for all the costs of land degradation. Among major challenges are measurement and valuation of losses in ecosystem benefits due to land degradation (Barbier 2011a, 2011b). Moreover, the double-counting of these ecosystem benefits needs to be avoided – a complex task by itself (Barbier 2010). Processes (e.g. water purification) and benefits (e.g. purified potable water) could be double counted if each is given a separate value (Balmford et al 2008). The benefits are the end products of the beneficial processes. One approach to avoid double counting in this regard is to only take the value of potable water with different qualities and skip counting of the water purification process. However, it is equally obvious that the conceptual framework for Economic Assessment of Land Degradation and Improvement should not be limited to only more easily measurable direct on-site and off-site costs of land degradation since taking such an approach ignores the intrinsic relationship of ecosystems and will lead to undervaluing the cost of land degradation and benefits of taking action against land degradation. Hence the conceptual framework should be able to accommodate all losses due to land degradation, thus providing guidance and basis for a comprehensive evaluation, even if it means that empirical gaps will be filled not immediately but through a longer-term research.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This action-oriented focus and the definitions of land and land degradation determine the methodological approaches applied in this book. United Nations Convention to Combat Desertification (UNCCD) (1996) defines land as a terrestrial ecosystem consisting of flora, fauna, hydrological processes and other ecological services beneficial to human beings. The Millennium Ecosystem Assessment (M</w:t>
      </w:r>
      <w:r>
        <w:rPr>
          <w:rFonts w:ascii="Times New Roman" w:hAnsi="Times New Roman"/>
          <w:sz w:val="24"/>
          <w:szCs w:val="24"/>
        </w:rPr>
        <w:t>E</w:t>
      </w:r>
      <w:r w:rsidRPr="00DC66BC">
        <w:rPr>
          <w:rFonts w:ascii="Times New Roman" w:hAnsi="Times New Roman"/>
          <w:sz w:val="24"/>
          <w:szCs w:val="24"/>
        </w:rPr>
        <w:t xml:space="preserve">A 2005) defines land degradation as long-term loss of on-site and off-site terrestrial ecosystem goods and services, which humans derive from them. These definitions lead to using a comprehensive approach which takes into account both short- and long-term direct and indirect, on-site and off-site benefits of sustainable land management versus the related costs of land degradation. Thus, to be comprehensive, this economic assessment study uses TEV approach, which assigns value to all use and non-use ecosystem services. This means the TEV approach captures the value of ecosystem goods and services and goes beyond the common monetary values of provisioning services used in many past economic studies. Consequently, this approach strives to capture all changes, both degradation and improvement, in ecosystem functions and services attributed to land ecosystems.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action against land degradation involves preventing the degradation of currently used or usable lands or rehabilitating degraded lands. Action against land degradation is referred here as sustainable land management, which according to TerrAfrica (2006), is generally understood as the “adoption of land systems that, through appropriate management practices, enables land users to maximize the economic and social benefits from the land, while </w:t>
      </w:r>
      <w:r w:rsidRPr="00DC66BC">
        <w:rPr>
          <w:rFonts w:ascii="Times New Roman" w:hAnsi="Times New Roman"/>
          <w:sz w:val="24"/>
          <w:szCs w:val="24"/>
        </w:rPr>
        <w:lastRenderedPageBreak/>
        <w:t>maintaining or enhancing the ecological support functions of the land resources”. However, this definition is too general, lacking measurable criteria to guide policy focuses regarding SLM. In this study, “actions against land degradation” are defined as land management which leads to persistent improvement of biological productivity and biodiversity of the land. However, relevant understanding of these criteria has to be based on the usage people expect from the land (i.e., expected land use) and the baseline for assessment. With land intentionally used for agricultural or forest production, long-term soil-driven net primary productivity (NPP), i.e. the net biomass produced by the soil and other natural resources (water and sunlight) without remarkable external inputs (e.g., improved rainfall, fertilizer use, atmospheric fertilization), can be a proxy for SLM or land degradation assessment. However, the treatment of observed biomass productivity trend has to further depend on the baseline of the assessment. Where the initial productivity was already low (degraded), a long-term improvement of soil-driven productivity can reflect SLM. Where the beginning productivity was already high, at least an absence of decline (a steady state) of soil-driven productivity also may indicate SLM. On land used/planned for nature protection, soil-driven NPP is still important, but biodiversity is an additional criterion for SLM. In many cases soil quality and biodiversity support each other, but in some other cases, they may not necessarily be mutually consistent. For example, an invasion of exotic plant species can lead to high biomass productivity but dramatically reduce biodiversity, which is not desirable. Increasing of soil nutrients can reduce plant diversity in some cases (Chapin et al. 2000, Sala et al. 2000, Wassen et al. 2005). The use of soil-based biomass productivity to indicate land degradation in these areas may not be relevant to the land-use goal. To include these areas in the land degradation or SLM assessment, in addition to soil resources, other foundational aspects of forest ecosystems (e.g. flora and fauna structures and composition) have to be considered. Thus, using biomass productivity trend alone to indicate land degradation or SLM on such protected areas can give misleading results. Further, there is still a lack of data to more accurately delineate global forest cover into different use regimes.</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Land improvement is generally recognized as being closely determined by the increasing of net primary productivity (NPP) of the land, under certain conditions, and the improvement of soil fertility. The NPP trend, approximated by the trend of inter-annual Normalized Difference Vegetation Index (NDVI), can be an indirect indicator of soil degradation or soil improvement if the nutrient source for vegetation/crop growth is solely, or largely, from the soils (i.e., soil-based biomass productivity). In the agricultural areas with intensive application of mineral fertilizers (i.e. fertilizer-based crop productivity), NPP trend (via NDVI trend) principally cannot be a reliable indicator of soil fertility trend (Le 2012a). In this case, alternative indicators of soil fertility should be used. Moreover, the elevated levels of CO</w:t>
      </w:r>
      <w:r w:rsidRPr="00802919">
        <w:rPr>
          <w:rFonts w:ascii="Times New Roman" w:hAnsi="Times New Roman"/>
          <w:sz w:val="24"/>
          <w:szCs w:val="24"/>
          <w:vertAlign w:val="subscript"/>
        </w:rPr>
        <w:t>2</w:t>
      </w:r>
      <w:r w:rsidRPr="00DC66BC">
        <w:rPr>
          <w:rFonts w:ascii="Times New Roman" w:hAnsi="Times New Roman"/>
          <w:sz w:val="24"/>
          <w:szCs w:val="24"/>
        </w:rPr>
        <w:t xml:space="preserve"> and NOx in the atmosphere (Reay et al. 2008, WMO 2012) can cause a divergence between NPP trend and soil fertility change as the atmospheric fertilization effect has not been substantially mediated through the soil. The rising level of atmospheric CO</w:t>
      </w:r>
      <w:r w:rsidRPr="00802919">
        <w:rPr>
          <w:rFonts w:ascii="Times New Roman" w:hAnsi="Times New Roman"/>
          <w:sz w:val="24"/>
          <w:szCs w:val="24"/>
          <w:vertAlign w:val="subscript"/>
        </w:rPr>
        <w:t>2</w:t>
      </w:r>
      <w:r w:rsidRPr="00DC66BC">
        <w:rPr>
          <w:rFonts w:ascii="Times New Roman" w:hAnsi="Times New Roman"/>
          <w:sz w:val="24"/>
          <w:szCs w:val="24"/>
        </w:rPr>
        <w:t xml:space="preserve"> stimulates photosynthesis in plants’ leaves, thus increasing NPP, but the soil fertility may not necessarily be proportional to the above ground biomass improvement. The wet deposition of reactive nitrogen and other nutrients may affect positively plant growths as foliate fertilization without significantly contributing to the soil nutrient pool, or compensating nutrient losses by soil leaching and accelerated erosion. The correction of the masking effect of atmospheric fertilization can be done by considering the quantum of biomass improvement in intact vegetation area, using the method proposed in Vlek et al. (2010) and Le et al. (2012b). However the result must be evaluated by comparing the spatial corrected NDVI trend pattern with independent indicators, such as ground-measured NPP or soil erosion (e.g. Le et al., 2012b).  </w:t>
      </w:r>
    </w:p>
    <w:p w:rsidR="00F81C41" w:rsidRPr="00DC66BC" w:rsidRDefault="00F81C41" w:rsidP="00F81C41">
      <w:pPr>
        <w:pStyle w:val="Heading2"/>
        <w:rPr>
          <w:rFonts w:ascii="Times New Roman" w:hAnsi="Times New Roman" w:cs="Times New Roman"/>
          <w:sz w:val="24"/>
          <w:szCs w:val="24"/>
        </w:rPr>
      </w:pPr>
      <w:bookmarkStart w:id="0" w:name="_Toc369106086"/>
      <w:r w:rsidRPr="00DC66BC">
        <w:rPr>
          <w:rFonts w:ascii="Times New Roman" w:hAnsi="Times New Roman" w:cs="Times New Roman"/>
          <w:color w:val="000000" w:themeColor="text1"/>
          <w:sz w:val="24"/>
          <w:szCs w:val="24"/>
        </w:rPr>
        <w:lastRenderedPageBreak/>
        <w:t>The Conceptual Framework</w:t>
      </w:r>
      <w:bookmarkEnd w:id="0"/>
      <w:r w:rsidRPr="00DC66BC">
        <w:rPr>
          <w:rFonts w:ascii="Times New Roman" w:hAnsi="Times New Roman" w:cs="Times New Roman"/>
          <w:color w:val="000000" w:themeColor="text1"/>
          <w:sz w:val="24"/>
          <w:szCs w:val="24"/>
        </w:rPr>
        <w:br/>
      </w:r>
    </w:p>
    <w:p w:rsidR="00F81C41" w:rsidRPr="00DC66BC" w:rsidRDefault="00F81C41" w:rsidP="00F81C41">
      <w:pPr>
        <w:spacing w:after="0" w:line="240" w:lineRule="auto"/>
        <w:jc w:val="both"/>
        <w:rPr>
          <w:rFonts w:ascii="Times New Roman" w:hAnsi="Times New Roman"/>
          <w:sz w:val="24"/>
          <w:szCs w:val="24"/>
        </w:rPr>
      </w:pPr>
      <w:bookmarkStart w:id="1" w:name="_Toc369015493"/>
      <w:bookmarkStart w:id="2" w:name="_Toc369106087"/>
      <w:r w:rsidRPr="00DC66BC">
        <w:rPr>
          <w:rFonts w:ascii="Times New Roman" w:hAnsi="Times New Roman"/>
          <w:sz w:val="24"/>
          <w:szCs w:val="24"/>
        </w:rPr>
        <w:t xml:space="preserve">The conceptual framework (Figure 2.1) categorizes the causes of land degradation into proximate and underlying, which interact with each other to result in different levels of land degradation. Proximate causes of land degradation are those that have a direct effect on the terrestrial ecosystem. The proximate causes are further divided into biophysical proximate causes (natural) and unsustainable land management practices (anthropogenic). The underlying causes of land degradation are those that indirectly affect the proximate causes of land degradation, such as institutional, socio-economic and policy factors. For example, poverty could lead to the failure of land users to invest in sustainable land management practices leading to land degradation (Way 2006, Cleaver and Schreiber 1994, Scherr 2000). Understanding of </w:t>
      </w:r>
      <w:r>
        <w:rPr>
          <w:rFonts w:ascii="Times New Roman" w:hAnsi="Times New Roman"/>
          <w:sz w:val="24"/>
          <w:szCs w:val="24"/>
        </w:rPr>
        <w:t xml:space="preserve">the </w:t>
      </w:r>
      <w:r w:rsidRPr="00DC66BC">
        <w:rPr>
          <w:rFonts w:ascii="Times New Roman" w:hAnsi="Times New Roman"/>
          <w:sz w:val="24"/>
          <w:szCs w:val="24"/>
        </w:rPr>
        <w:t>causes of land degradation and of their interactions is essential for identifying relevant actions for addressing land degradation.</w:t>
      </w:r>
      <w:bookmarkEnd w:id="1"/>
      <w:bookmarkEnd w:id="2"/>
      <w:r w:rsidRPr="00DC66BC">
        <w:rPr>
          <w:rFonts w:ascii="Times New Roman" w:hAnsi="Times New Roman"/>
          <w:sz w:val="24"/>
          <w:szCs w:val="24"/>
        </w:rPr>
        <w:t xml:space="preserve"> Therefore, as we will see further, the first step in the empirical ELD research involves the analysis of both proximate and underlying causes of land degradation.         </w:t>
      </w:r>
    </w:p>
    <w:p w:rsidR="00F81C41" w:rsidRPr="00DC66BC" w:rsidRDefault="00F81C41" w:rsidP="00F81C41">
      <w:pPr>
        <w:spacing w:after="0" w:line="240" w:lineRule="auto"/>
        <w:jc w:val="both"/>
        <w:rPr>
          <w:rFonts w:ascii="Times New Roman" w:hAnsi="Times New Roman"/>
          <w:sz w:val="24"/>
          <w:szCs w:val="24"/>
        </w:rPr>
      </w:pPr>
      <w:bookmarkStart w:id="3" w:name="_Toc369015494"/>
      <w:bookmarkStart w:id="4" w:name="_Toc369106088"/>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Inaction against land degradation would lead to continuation, even acceleration, of land degradation and of its associated costs. However, besides its benefits, action against land degradation also involves costs - the costs of specific measures and economy-wide indirect effects - that is, opportunity costs, involving resources devoted for these actions which cannot be used elsewhere. The ultimate goal of the present conceptual framework is to compare the costs and benefits of action against land degradation versus the costs of inaction</w:t>
      </w:r>
      <w:bookmarkEnd w:id="3"/>
      <w:r w:rsidRPr="00DC66BC">
        <w:rPr>
          <w:rFonts w:ascii="Times New Roman" w:hAnsi="Times New Roman"/>
          <w:sz w:val="24"/>
          <w:szCs w:val="24"/>
        </w:rPr>
        <w:t>.</w:t>
      </w:r>
      <w:bookmarkEnd w:id="4"/>
      <w:r w:rsidRPr="00DC66BC">
        <w:rPr>
          <w:rFonts w:ascii="Times New Roman" w:hAnsi="Times New Roman"/>
          <w:sz w:val="24"/>
          <w:szCs w:val="24"/>
        </w:rPr>
        <w:t xml:space="preserv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The level of land degradation determines its outcomes or effects - whether on-site or offsite - on the provision of ecosystem services and the benefits humans derive from those services. Other methods are also used to measure the on-site and off-site flow and stock of ecosystems services. Of particular importance is the life cycle analysis (LCA), which assesses the environmental impacts of a product during its life cycle (Rebitzer et al. 2004). In what is known as the environmental impact of products from its cradle to its grave, impact categories of a product and the corresponding indicators and model(s) are identified (Reap et al. 2008). The impact results are then grouped into different categories (Ibid). Despite its popularity of LCA and codification in the International Standardization Organization, LCA has a number of weaknesses (ibid.). There is no consensus on types of stressors, impacts, the models to use and corresponding indicators under consideration (ibid). Like TEV, double counting remains a major problem of LCA (ibid). Due to these problems and given that TEV methods also trace the on-site and off-site impacts of the ecosystem services, the studies in this book will use the TEV approach.</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Many of the services provided by ecosystems are not traded in markets, so the different actors do not pay for negative or positive effects on those ecosystems. The value of such externalities may not be considered in the farmer’s land use decision, which leads to an undervaluation of land and its provision of ecosystem services. The ecosystem services should be considered as capital assets, or natural capital (Daily et al. 2011, Barbier 2011c). This natural capital should be properly valuated and managed as any other form of capital assets (Daily et al. 2000).  The failure to capture these values for land ecosystems could lead to undervaluing the impact of higher rates of land degradation. To adequately account for ecosystem services in decision making, the economic values of those services have to be determined. There exist various methods to evaluate ecosystem services (Barbier 2010, 2011a, 2011b, Nkonya et al. 2011)., However, attributing economic values to ecosystem </w:t>
      </w:r>
      <w:r w:rsidRPr="00DC66BC">
        <w:rPr>
          <w:rFonts w:ascii="Times New Roman" w:hAnsi="Times New Roman"/>
          <w:sz w:val="24"/>
          <w:szCs w:val="24"/>
        </w:rPr>
        <w:lastRenderedPageBreak/>
        <w:t>services is challenging, due to many unknowns and actual measurement constraints. The valuation of the natural capital, therefore, should follow three stages (Daily et al. 2000): i) evaluation of alternative options, for example, degrading soil ecosystem services vs. their sustainable management, ii) measurement and identification of costs and benefits for each alternative, and iii) comparison of costs and benefits of each of the alternatives including their long-term effects (ibid.). However, identifying and aggregating individual preferences and attached values to ecosystem services, including over time, for each alternative option, is not a straightforward  task (ibid.) As economic values are linked to the number of (human) beneficiaries and the socioeconomic context, these services depend on local or regional conditions. This dependence contributes to the variability of the values (TEEB 2010).</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noProof/>
          <w:sz w:val="24"/>
          <w:szCs w:val="24"/>
        </w:rPr>
        <w:drawing>
          <wp:inline distT="0" distB="0" distL="0" distR="0" wp14:anchorId="0C906EE4" wp14:editId="1BFACB04">
            <wp:extent cx="5554112" cy="5022376"/>
            <wp:effectExtent l="0" t="0" r="8890" b="6985"/>
            <wp:docPr id="13495" name="Picture 1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58751" cy="5026571"/>
                    </a:xfrm>
                    <a:prstGeom prst="rect">
                      <a:avLst/>
                    </a:prstGeom>
                  </pic:spPr>
                </pic:pic>
              </a:graphicData>
            </a:graphic>
          </wp:inline>
        </w:drawing>
      </w:r>
    </w:p>
    <w:p w:rsidR="00F81C41" w:rsidRPr="00DC66BC" w:rsidRDefault="00F81C41" w:rsidP="00F81C41">
      <w:pPr>
        <w:pStyle w:val="TableTitle"/>
        <w:rPr>
          <w:sz w:val="24"/>
        </w:rPr>
      </w:pPr>
      <w:r w:rsidRPr="00DC66BC">
        <w:rPr>
          <w:sz w:val="24"/>
        </w:rPr>
        <w:t>Figure 2.1. The Conceptual Framework</w:t>
      </w:r>
    </w:p>
    <w:p w:rsidR="00F81C41" w:rsidRPr="00DC66BC" w:rsidRDefault="00F81C41" w:rsidP="00F81C41">
      <w:pPr>
        <w:pStyle w:val="Source"/>
      </w:pPr>
      <w:r w:rsidRPr="00DC66BC">
        <w:t>Source: adapted from Nkonya et al. (2011)</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green square box in Figure 2.1 deals with the economic analysis to be carried out, and the green arrow shows the flow of information that is necessary to perform the different elements of the global economic analysis. Ideally, all indirect and off-site effects should be accounted for in the economic analysis to ensure that the assessment is from society’s point of view and includes all existing externalities, in addition to the private costs that are usually considered </w:t>
      </w:r>
      <w:r w:rsidRPr="00DC66BC">
        <w:rPr>
          <w:rFonts w:ascii="Times New Roman" w:hAnsi="Times New Roman"/>
          <w:sz w:val="24"/>
          <w:szCs w:val="24"/>
        </w:rPr>
        <w:lastRenderedPageBreak/>
        <w:t xml:space="preserve">when individuals decide on land use. This assessment has to be conducted at the margin, which means that costs of small changes in the level of land degradation, which may accumulate over time, have to be identified. Bringing together the different cost and value types to fully assess total costs and benefits over time and their interactions can be done within the framework of cost–benefit analysis and mathematical modeling. In doing this, care should be taken in the choice of the discount rates because the size of the discount rate, as well as the length of the considered time horizon, can radically change the results. Discount rates relate to people‘s time preferences, with higher discount rates indicating a strong time preference and attaching a higher value to each unit of the natural resource that is consumed now rather than in the future.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Institutional arrangements, or the “rules of the game” that determine whether actors choose to act against land degradation and whether the level or type of action undertaken will effectively reduce or halt land degradation, are represented as dotted lines encapsulating the different elements of the conceptual framework. It is crucial to identify and understand these institutional arrangements in order to devise sustainable and efficient policies to combat land degradation. For example, if farmers over-irrigate, leading to salinization of the land, it must be understood why they do so. As an illustration, it may be that institutional arrangements, also referred to as distorting incentive structures, make it economically profitable for farmers to produce as much crops as possible. Missing or very low prices of irrigation may act as such an incentive in a misleading institutional setup (Rosegrant et al. 1995).</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Finally, it is also essential for the analysis to identify all the important actors of land degradation, such as land users, landowners, governmental authorities, industries, and consumers, as well as identify how institutions and policies influence those actors. Transaction costs and collective versus market and state actions are to be considered.</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bookmarkStart w:id="5" w:name="_Toc369106089"/>
    </w:p>
    <w:p w:rsidR="00F81C41" w:rsidRPr="00DC66BC" w:rsidRDefault="00F81C41" w:rsidP="00F81C41">
      <w:pPr>
        <w:pStyle w:val="Heading2"/>
        <w:rPr>
          <w:rFonts w:ascii="Times New Roman" w:hAnsi="Times New Roman" w:cs="Times New Roman"/>
          <w:color w:val="000000" w:themeColor="text1"/>
          <w:sz w:val="24"/>
          <w:szCs w:val="24"/>
        </w:rPr>
      </w:pPr>
      <w:r w:rsidRPr="00DC66BC">
        <w:rPr>
          <w:rFonts w:ascii="Times New Roman" w:hAnsi="Times New Roman" w:cs="Times New Roman"/>
          <w:color w:val="000000" w:themeColor="text1"/>
          <w:sz w:val="24"/>
          <w:szCs w:val="24"/>
        </w:rPr>
        <w:t>The Methodological Framework</w:t>
      </w:r>
      <w:bookmarkEnd w:id="5"/>
      <w:r w:rsidRPr="00DC66BC">
        <w:rPr>
          <w:rFonts w:ascii="Times New Roman" w:hAnsi="Times New Roman" w:cs="Times New Roman"/>
          <w:color w:val="000000" w:themeColor="text1"/>
          <w:sz w:val="24"/>
          <w:szCs w:val="24"/>
        </w:rPr>
        <w:t xml:space="preserv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The methodological approaches applied throughout the chapters of this book consist of two mutually complementary lines of research, which tackle two different aspects of the research agenda described in the conceptual framework (Figure 2.1). This first line of research is based on descriptive and econometric analysis of causes of land degradation. Here, we seek to identify the key underlying and proximate causes of land degradation. This analysis will help to identify strategies for taking action against land degradation. However, action or non-action against land degradation will depend on its costs and benefits of taking action. This justifies and links the first part to the second part of analysis, whereas the second line of research looks specifically into the costs of land degradation and net benefits from SLM.</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pStyle w:val="Heading3"/>
        <w:rPr>
          <w:rFonts w:ascii="Times New Roman" w:hAnsi="Times New Roman" w:cs="Times New Roman"/>
          <w:color w:val="000000" w:themeColor="text1"/>
          <w:sz w:val="24"/>
          <w:szCs w:val="24"/>
        </w:rPr>
      </w:pPr>
      <w:bookmarkStart w:id="6" w:name="_Toc369106093"/>
      <w:r w:rsidRPr="00DC66BC">
        <w:rPr>
          <w:rFonts w:ascii="Times New Roman" w:hAnsi="Times New Roman" w:cs="Times New Roman"/>
          <w:color w:val="000000" w:themeColor="text1"/>
          <w:sz w:val="24"/>
          <w:szCs w:val="24"/>
        </w:rPr>
        <w:t>Analysis of Causes of Land Degradation</w:t>
      </w:r>
      <w:bookmarkEnd w:id="6"/>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highlight w:val="yellow"/>
        </w:rPr>
      </w:pPr>
      <w:r w:rsidRPr="00DC66BC">
        <w:rPr>
          <w:rFonts w:ascii="Times New Roman" w:hAnsi="Times New Roman"/>
          <w:sz w:val="24"/>
          <w:szCs w:val="24"/>
        </w:rPr>
        <w:t xml:space="preserve">The causes of land degradation are numerous, interrelated and complex. Quite often, the same causal factor could lead to diverging consequences in different contexts because of its varying interactions with other proximate and underlying causes of land degradation. The results imply that targeting one underlying factor is not, in itself, sufficient to address land </w:t>
      </w:r>
      <w:r w:rsidRPr="00DC66BC">
        <w:rPr>
          <w:rFonts w:ascii="Times New Roman" w:hAnsi="Times New Roman"/>
          <w:sz w:val="24"/>
          <w:szCs w:val="24"/>
        </w:rPr>
        <w:lastRenderedPageBreak/>
        <w:t>degradation. Rather, a number of underlying and proximate factors need to be taken into account when designing policies to prevent or mitigate land degradation. For our model specification, it is essential not to look for only into individual causes of land degradation, but rather identify the effects of various combinations and interactions of underlying and proximate causes of land degradation in a robust manner, with appropriate handling of potential issues related to endogeneity, multicollinearity, omitted variable bias and other statistical challenges.</w:t>
      </w:r>
    </w:p>
    <w:p w:rsidR="00F81C41" w:rsidRPr="00DC66BC" w:rsidRDefault="00F81C41" w:rsidP="00F81C41">
      <w:pPr>
        <w:spacing w:after="0" w:line="240" w:lineRule="auto"/>
        <w:jc w:val="both"/>
        <w:rPr>
          <w:rFonts w:ascii="Times New Roman" w:hAnsi="Times New Roman"/>
          <w:sz w:val="24"/>
          <w:szCs w:val="24"/>
          <w:highlight w:val="yellow"/>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At the start of the empirical work, an exploratory analysis </w:t>
      </w:r>
      <w:r>
        <w:rPr>
          <w:rFonts w:ascii="Times New Roman" w:hAnsi="Times New Roman"/>
          <w:sz w:val="24"/>
          <w:szCs w:val="24"/>
        </w:rPr>
        <w:t>is</w:t>
      </w:r>
      <w:r w:rsidRPr="00DC66BC">
        <w:rPr>
          <w:rFonts w:ascii="Times New Roman" w:hAnsi="Times New Roman"/>
          <w:sz w:val="24"/>
          <w:szCs w:val="24"/>
        </w:rPr>
        <w:t xml:space="preserve"> conducted for better understanding the characteristics and trends in land degradation, the interaction of proximate and underlying causes of land degradation and other relevant socio-economic data. This exploratory analysis </w:t>
      </w:r>
      <w:r>
        <w:rPr>
          <w:rFonts w:ascii="Times New Roman" w:hAnsi="Times New Roman"/>
          <w:sz w:val="24"/>
          <w:szCs w:val="24"/>
        </w:rPr>
        <w:t>is</w:t>
      </w:r>
      <w:r w:rsidRPr="00DC66BC">
        <w:rPr>
          <w:rFonts w:ascii="Times New Roman" w:hAnsi="Times New Roman"/>
          <w:sz w:val="24"/>
          <w:szCs w:val="24"/>
        </w:rPr>
        <w:t xml:space="preserve"> used for refining the hypotheses about the causes of land degradation, which </w:t>
      </w:r>
      <w:r>
        <w:rPr>
          <w:rFonts w:ascii="Times New Roman" w:hAnsi="Times New Roman"/>
          <w:sz w:val="24"/>
          <w:szCs w:val="24"/>
        </w:rPr>
        <w:t>is</w:t>
      </w:r>
      <w:r w:rsidRPr="00DC66BC">
        <w:rPr>
          <w:rFonts w:ascii="Times New Roman" w:hAnsi="Times New Roman"/>
          <w:sz w:val="24"/>
          <w:szCs w:val="24"/>
        </w:rPr>
        <w:t xml:space="preserve"> later tested using the in-depth data in each case study country. The exploratory analysis </w:t>
      </w:r>
      <w:r>
        <w:rPr>
          <w:rFonts w:ascii="Times New Roman" w:hAnsi="Times New Roman"/>
          <w:sz w:val="24"/>
          <w:szCs w:val="24"/>
        </w:rPr>
        <w:t>is</w:t>
      </w:r>
      <w:r w:rsidRPr="00DC66BC">
        <w:rPr>
          <w:rFonts w:ascii="Times New Roman" w:hAnsi="Times New Roman"/>
          <w:sz w:val="24"/>
          <w:szCs w:val="24"/>
        </w:rPr>
        <w:t xml:space="preserve"> done using simple descriptive tools, while the results </w:t>
      </w:r>
      <w:r>
        <w:rPr>
          <w:rFonts w:ascii="Times New Roman" w:hAnsi="Times New Roman"/>
          <w:sz w:val="24"/>
          <w:szCs w:val="24"/>
        </w:rPr>
        <w:t>are</w:t>
      </w:r>
      <w:r w:rsidRPr="00DC66BC">
        <w:rPr>
          <w:rFonts w:ascii="Times New Roman" w:hAnsi="Times New Roman"/>
          <w:sz w:val="24"/>
          <w:szCs w:val="24"/>
        </w:rPr>
        <w:t xml:space="preserve"> illustrated using maps, figures and tables. For example, </w:t>
      </w:r>
      <w:r>
        <w:rPr>
          <w:rFonts w:ascii="Times New Roman" w:hAnsi="Times New Roman"/>
          <w:sz w:val="24"/>
          <w:szCs w:val="24"/>
        </w:rPr>
        <w:t xml:space="preserve">the </w:t>
      </w:r>
      <w:r w:rsidRPr="00DC66BC">
        <w:rPr>
          <w:rFonts w:ascii="Times New Roman" w:hAnsi="Times New Roman"/>
          <w:sz w:val="24"/>
          <w:szCs w:val="24"/>
        </w:rPr>
        <w:t xml:space="preserve">correlation between poverty, government effectiveness, land tenure, environmental policies and other key causes of land degradation </w:t>
      </w:r>
      <w:r>
        <w:rPr>
          <w:rFonts w:ascii="Times New Roman" w:hAnsi="Times New Roman"/>
          <w:sz w:val="24"/>
          <w:szCs w:val="24"/>
        </w:rPr>
        <w:t>is</w:t>
      </w:r>
      <w:r w:rsidRPr="00DC66BC">
        <w:rPr>
          <w:rFonts w:ascii="Times New Roman" w:hAnsi="Times New Roman"/>
          <w:sz w:val="24"/>
          <w:szCs w:val="24"/>
        </w:rPr>
        <w:t xml:space="preserve"> overlaid with a change in NDVI or other relevant land degradation indicators. This form</w:t>
      </w:r>
      <w:r>
        <w:rPr>
          <w:rFonts w:ascii="Times New Roman" w:hAnsi="Times New Roman"/>
          <w:sz w:val="24"/>
          <w:szCs w:val="24"/>
        </w:rPr>
        <w:t>s</w:t>
      </w:r>
      <w:r w:rsidRPr="00DC66BC">
        <w:rPr>
          <w:rFonts w:ascii="Times New Roman" w:hAnsi="Times New Roman"/>
          <w:sz w:val="24"/>
          <w:szCs w:val="24"/>
        </w:rPr>
        <w:t xml:space="preserve"> useful and simple patterns to be used to enrich the econometric results. For example, data on land tenure </w:t>
      </w:r>
      <w:r>
        <w:rPr>
          <w:rFonts w:ascii="Times New Roman" w:hAnsi="Times New Roman"/>
          <w:sz w:val="24"/>
          <w:szCs w:val="24"/>
        </w:rPr>
        <w:t>is</w:t>
      </w:r>
      <w:r w:rsidRPr="00DC66BC">
        <w:rPr>
          <w:rFonts w:ascii="Times New Roman" w:hAnsi="Times New Roman"/>
          <w:sz w:val="24"/>
          <w:szCs w:val="24"/>
        </w:rPr>
        <w:t xml:space="preserve"> overlaid with change in NDVI to show areas where NDVI decreased (possible land degradation) or increased (possible land improvement) while such areas had secure land tenure or insecure land tenure.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Therefore, the proximate and underlying causes of land degradation </w:t>
      </w:r>
      <w:r>
        <w:rPr>
          <w:rFonts w:ascii="Times New Roman" w:hAnsi="Times New Roman"/>
          <w:sz w:val="24"/>
          <w:szCs w:val="24"/>
        </w:rPr>
        <w:t>are</w:t>
      </w:r>
      <w:r w:rsidRPr="00DC66BC">
        <w:rPr>
          <w:rFonts w:ascii="Times New Roman" w:hAnsi="Times New Roman"/>
          <w:sz w:val="24"/>
          <w:szCs w:val="24"/>
        </w:rPr>
        <w:t xml:space="preserve"> analyzed at two levels: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pStyle w:val="ListParagraph"/>
        <w:numPr>
          <w:ilvl w:val="0"/>
          <w:numId w:val="1"/>
        </w:numPr>
        <w:spacing w:after="0" w:line="240" w:lineRule="auto"/>
        <w:jc w:val="both"/>
        <w:rPr>
          <w:rFonts w:ascii="Times New Roman" w:hAnsi="Times New Roman"/>
          <w:sz w:val="24"/>
          <w:szCs w:val="24"/>
        </w:rPr>
      </w:pPr>
      <w:r w:rsidRPr="00DC66BC">
        <w:rPr>
          <w:rFonts w:ascii="Times New Roman" w:hAnsi="Times New Roman"/>
          <w:sz w:val="24"/>
          <w:szCs w:val="24"/>
        </w:rPr>
        <w:t xml:space="preserve">Global at pixel level. Like in Nkonya et al (2011), a pixel-level estimation of causes of land degradation </w:t>
      </w:r>
      <w:r>
        <w:rPr>
          <w:rFonts w:ascii="Times New Roman" w:hAnsi="Times New Roman"/>
          <w:sz w:val="24"/>
          <w:szCs w:val="24"/>
        </w:rPr>
        <w:t>is</w:t>
      </w:r>
      <w:r w:rsidRPr="00DC66BC">
        <w:rPr>
          <w:rFonts w:ascii="Times New Roman" w:hAnsi="Times New Roman"/>
          <w:sz w:val="24"/>
          <w:szCs w:val="24"/>
        </w:rPr>
        <w:t xml:space="preserve"> made. However, </w:t>
      </w:r>
      <w:r>
        <w:rPr>
          <w:rFonts w:ascii="Times New Roman" w:hAnsi="Times New Roman"/>
          <w:sz w:val="24"/>
          <w:szCs w:val="24"/>
        </w:rPr>
        <w:t>we</w:t>
      </w:r>
      <w:r w:rsidRPr="00DC66BC">
        <w:rPr>
          <w:rFonts w:ascii="Times New Roman" w:hAnsi="Times New Roman"/>
          <w:sz w:val="24"/>
          <w:szCs w:val="24"/>
        </w:rPr>
        <w:t xml:space="preserve"> improve on Nkonya et al (2011) by using more recent data and controlling for more causes of land degradation</w:t>
      </w:r>
      <w:r>
        <w:rPr>
          <w:rFonts w:ascii="Times New Roman" w:hAnsi="Times New Roman"/>
          <w:sz w:val="24"/>
          <w:szCs w:val="24"/>
        </w:rPr>
        <w:t xml:space="preserve"> (Chapter 7 of this volume)</w:t>
      </w:r>
      <w:r w:rsidRPr="00DC66BC">
        <w:rPr>
          <w:rFonts w:ascii="Times New Roman" w:hAnsi="Times New Roman"/>
          <w:sz w:val="24"/>
          <w:szCs w:val="24"/>
        </w:rPr>
        <w:t xml:space="preserve">. Moreover, NDVI values used </w:t>
      </w:r>
      <w:r>
        <w:rPr>
          <w:rFonts w:ascii="Times New Roman" w:hAnsi="Times New Roman"/>
          <w:sz w:val="24"/>
          <w:szCs w:val="24"/>
        </w:rPr>
        <w:t>by us are</w:t>
      </w:r>
      <w:r w:rsidRPr="00DC66BC">
        <w:rPr>
          <w:rFonts w:ascii="Times New Roman" w:hAnsi="Times New Roman"/>
          <w:sz w:val="24"/>
          <w:szCs w:val="24"/>
        </w:rPr>
        <w:t xml:space="preserve"> corrected for the effects of fertilization that has been shown dissimulate land degradation (</w:t>
      </w:r>
      <w:r>
        <w:rPr>
          <w:rFonts w:ascii="Times New Roman" w:hAnsi="Times New Roman"/>
          <w:sz w:val="24"/>
          <w:szCs w:val="24"/>
        </w:rPr>
        <w:t>Chapter 4 of this volume</w:t>
      </w:r>
      <w:r w:rsidRPr="00DC66BC">
        <w:rPr>
          <w:rFonts w:ascii="Times New Roman" w:hAnsi="Times New Roman"/>
          <w:sz w:val="24"/>
          <w:szCs w:val="24"/>
        </w:rPr>
        <w:t>).</w:t>
      </w:r>
    </w:p>
    <w:p w:rsidR="00F81C41" w:rsidRPr="00DC66BC" w:rsidRDefault="00F81C41" w:rsidP="00F81C41">
      <w:pPr>
        <w:spacing w:after="0" w:line="240" w:lineRule="auto"/>
        <w:ind w:left="720" w:firstLine="60"/>
        <w:jc w:val="both"/>
        <w:rPr>
          <w:rFonts w:ascii="Times New Roman" w:hAnsi="Times New Roman"/>
          <w:sz w:val="24"/>
          <w:szCs w:val="24"/>
        </w:rPr>
      </w:pPr>
    </w:p>
    <w:p w:rsidR="00F81C41" w:rsidRPr="00DC66BC" w:rsidRDefault="00F81C41" w:rsidP="00F81C41">
      <w:pPr>
        <w:pStyle w:val="ListParagraph"/>
        <w:numPr>
          <w:ilvl w:val="0"/>
          <w:numId w:val="1"/>
        </w:numPr>
        <w:spacing w:after="0" w:line="240" w:lineRule="auto"/>
        <w:jc w:val="both"/>
        <w:rPr>
          <w:rFonts w:ascii="Times New Roman" w:hAnsi="Times New Roman"/>
          <w:sz w:val="24"/>
          <w:szCs w:val="24"/>
        </w:rPr>
      </w:pPr>
      <w:r w:rsidRPr="00DC66BC">
        <w:rPr>
          <w:rFonts w:ascii="Times New Roman" w:hAnsi="Times New Roman"/>
          <w:sz w:val="24"/>
          <w:szCs w:val="24"/>
        </w:rPr>
        <w:t xml:space="preserve">Household level analysis in the case study countries with panel (or cross-sectional, if panel is not available) household data. Using land use change, or households’ reporting of their plot level land quality, or factual measurements of land quality at the household plots, or very high resolution NDVI images, or lack of application of sustainable land management practices, as available, as an indicator for land degradation.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The choice of variables for model specification is based on theoretical grounds and previous research, which has been described in detail in Nkonya et al (2011) and von Braun et al (2013). Additionally they follow established literature on causes of land degradation (Meyfroid</w:t>
      </w:r>
      <w:r>
        <w:rPr>
          <w:rFonts w:ascii="Times New Roman" w:hAnsi="Times New Roman"/>
          <w:sz w:val="24"/>
          <w:szCs w:val="24"/>
        </w:rPr>
        <w:t xml:space="preserve">t et al. </w:t>
      </w:r>
      <w:r w:rsidRPr="00DC66BC">
        <w:rPr>
          <w:rFonts w:ascii="Times New Roman" w:hAnsi="Times New Roman"/>
          <w:sz w:val="24"/>
          <w:szCs w:val="24"/>
        </w:rPr>
        <w:t>2010</w:t>
      </w:r>
      <w:r>
        <w:rPr>
          <w:rFonts w:ascii="Times New Roman" w:hAnsi="Times New Roman"/>
          <w:sz w:val="24"/>
          <w:szCs w:val="24"/>
        </w:rPr>
        <w:t xml:space="preserve">, </w:t>
      </w:r>
      <w:r w:rsidRPr="00DC66BC">
        <w:rPr>
          <w:rFonts w:ascii="Times New Roman" w:hAnsi="Times New Roman"/>
          <w:sz w:val="24"/>
          <w:szCs w:val="24"/>
        </w:rPr>
        <w:t>Lambin 2001</w:t>
      </w:r>
      <w:r>
        <w:rPr>
          <w:rFonts w:ascii="Times New Roman" w:hAnsi="Times New Roman"/>
          <w:sz w:val="24"/>
          <w:szCs w:val="24"/>
        </w:rPr>
        <w:t xml:space="preserve">, </w:t>
      </w:r>
      <w:r w:rsidRPr="00DC66BC">
        <w:rPr>
          <w:rFonts w:ascii="Times New Roman" w:hAnsi="Times New Roman"/>
          <w:sz w:val="24"/>
          <w:szCs w:val="24"/>
        </w:rPr>
        <w:t xml:space="preserve">Lambin and Geist 2006, </w:t>
      </w:r>
      <w:r>
        <w:rPr>
          <w:rFonts w:ascii="Times New Roman" w:hAnsi="Times New Roman"/>
          <w:sz w:val="24"/>
          <w:szCs w:val="24"/>
        </w:rPr>
        <w:t>Chapter 7</w:t>
      </w:r>
      <w:r w:rsidRPr="00DC66BC">
        <w:rPr>
          <w:rFonts w:ascii="Times New Roman" w:hAnsi="Times New Roman"/>
          <w:sz w:val="24"/>
          <w:szCs w:val="24"/>
        </w:rPr>
        <w:t xml:space="preserv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Following Meyfroidt et al (2010); Lambin (2001); Lambin and Geist (2006) and Nkonya et al (2011), the structural first difference model estimating causes of land degradation or land improvement at global, regional/district and household levels, using annualized data is:</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lastRenderedPageBreak/>
        <w:t>Δ NDVI</w:t>
      </w:r>
      <m:oMath>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4</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4</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5</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z</m:t>
            </m:r>
          </m:e>
          <m:sub>
            <m:r>
              <m:rPr>
                <m:sty m:val="bi"/>
              </m:rP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ε</m:t>
            </m:r>
          </m:e>
          <m:sub>
            <m:r>
              <m:rPr>
                <m:sty m:val="bi"/>
              </m:rPr>
              <w:rPr>
                <w:rFonts w:ascii="Cambria Math" w:hAnsi="Cambria Math"/>
                <w:sz w:val="24"/>
                <w:szCs w:val="24"/>
              </w:rPr>
              <m:t>i</m:t>
            </m:r>
          </m:sub>
        </m:sSub>
      </m:oMath>
      <w:r w:rsidRPr="00DC66BC">
        <w:rPr>
          <w:rFonts w:ascii="Times New Roman" w:hAnsi="Times New Roman"/>
          <w:sz w:val="24"/>
          <w:szCs w:val="24"/>
        </w:rPr>
        <w:tab/>
        <w:t xml:space="preserve">    </w:t>
      </w:r>
      <w:r w:rsidRPr="00DC66BC">
        <w:rPr>
          <w:rFonts w:ascii="Times New Roman" w:hAnsi="Times New Roman"/>
          <w:sz w:val="24"/>
          <w:szCs w:val="24"/>
        </w:rPr>
        <w:tab/>
        <w:t>(2.1)</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where,</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Δ NDVI – change in the values of the NDVI between the baseline and endline periods</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x</w:t>
      </w:r>
      <w:r w:rsidRPr="00DC66BC">
        <w:rPr>
          <w:rFonts w:ascii="Times New Roman" w:hAnsi="Times New Roman"/>
          <w:sz w:val="24"/>
          <w:szCs w:val="24"/>
          <w:vertAlign w:val="subscript"/>
        </w:rPr>
        <w:t>1</w:t>
      </w:r>
      <w:r w:rsidRPr="00DC66BC">
        <w:rPr>
          <w:rFonts w:ascii="Times New Roman" w:hAnsi="Times New Roman"/>
          <w:sz w:val="24"/>
          <w:szCs w:val="24"/>
        </w:rPr>
        <w:t xml:space="preserve"> - a vector of biophysical causes of land degradation (e.g. climate conditions, topography, soil constraints);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x</w:t>
      </w:r>
      <w:r w:rsidRPr="00DC66BC">
        <w:rPr>
          <w:rFonts w:ascii="Times New Roman" w:hAnsi="Times New Roman"/>
          <w:sz w:val="24"/>
          <w:szCs w:val="24"/>
          <w:vertAlign w:val="subscript"/>
        </w:rPr>
        <w:t>2</w:t>
      </w:r>
      <w:r w:rsidRPr="00DC66BC">
        <w:rPr>
          <w:rFonts w:ascii="Times New Roman" w:hAnsi="Times New Roman"/>
          <w:sz w:val="24"/>
          <w:szCs w:val="24"/>
        </w:rPr>
        <w:t xml:space="preserve"> - a vector of policy-related, institutional, demographic and socio-economic  causes of land degradation (e.g. population density and growth rate, urban growth, GDP per capita, agricultural intensification and growth, national, international policies directly affecting land management, government effectiveness, land tenure, etc);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x</w:t>
      </w:r>
      <w:r w:rsidRPr="00DC66BC">
        <w:rPr>
          <w:rFonts w:ascii="Times New Roman" w:hAnsi="Times New Roman"/>
          <w:sz w:val="24"/>
          <w:szCs w:val="24"/>
          <w:vertAlign w:val="subscript"/>
        </w:rPr>
        <w:t>3</w:t>
      </w:r>
      <w:r w:rsidRPr="00DC66BC">
        <w:rPr>
          <w:rFonts w:ascii="Times New Roman" w:hAnsi="Times New Roman"/>
          <w:sz w:val="24"/>
          <w:szCs w:val="24"/>
        </w:rPr>
        <w:t xml:space="preserve"> - a vector of variables representing access to rural services (e.g. links to extension services, road proximity or density, access to information, assess to rural credits);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x</w:t>
      </w:r>
      <w:r w:rsidRPr="00DC66BC">
        <w:rPr>
          <w:rFonts w:ascii="Times New Roman" w:hAnsi="Times New Roman"/>
          <w:szCs w:val="24"/>
        </w:rPr>
        <w:t>4</w:t>
      </w:r>
      <w:r w:rsidRPr="00DC66BC">
        <w:rPr>
          <w:rFonts w:ascii="Times New Roman" w:hAnsi="Times New Roman"/>
          <w:sz w:val="24"/>
          <w:szCs w:val="24"/>
        </w:rPr>
        <w:t xml:space="preserve"> - vector of variables representing rural household level capital endowment, level of education, poverty level, physical capital, social capital;</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z</w:t>
      </w:r>
      <w:r w:rsidRPr="00DC66BC">
        <w:rPr>
          <w:rFonts w:ascii="Times New Roman" w:hAnsi="Times New Roman"/>
          <w:sz w:val="24"/>
          <w:szCs w:val="24"/>
          <w:vertAlign w:val="subscript"/>
        </w:rPr>
        <w:t>i</w:t>
      </w:r>
      <w:r w:rsidRPr="00DC66BC">
        <w:rPr>
          <w:rFonts w:ascii="Times New Roman" w:hAnsi="Times New Roman"/>
          <w:sz w:val="24"/>
          <w:szCs w:val="24"/>
        </w:rPr>
        <w:t xml:space="preserve"> - vector of fixed effect variables, including administrative divisions (region, NDVI prior to the baseline period, etc).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Alternatively, this model could be estimated using fixed effects approach instead of the first difference approach. The choice between first difference and fixed effects estimations usually depends on the characteristics of the panel data and specifically those of the error term. We expect the error terms to follow random walk, requiring first difference estimation rather than being serially uncorrelated when fixed effects is better. However, the ultimate choice between first difference and fixed effects should be made based on the characteristics of the actual data used. Various appropriate interactions and nonlinear relationships among specific variables </w:t>
      </w:r>
      <w:r>
        <w:rPr>
          <w:rFonts w:ascii="Times New Roman" w:hAnsi="Times New Roman"/>
          <w:sz w:val="24"/>
          <w:szCs w:val="24"/>
        </w:rPr>
        <w:t xml:space="preserve">are also </w:t>
      </w:r>
      <w:r w:rsidRPr="00DC66BC">
        <w:rPr>
          <w:rFonts w:ascii="Times New Roman" w:hAnsi="Times New Roman"/>
          <w:sz w:val="24"/>
          <w:szCs w:val="24"/>
        </w:rPr>
        <w:t xml:space="preserve">tested following theoretical expectations. The results of this model </w:t>
      </w:r>
      <w:r>
        <w:rPr>
          <w:rFonts w:ascii="Times New Roman" w:hAnsi="Times New Roman"/>
          <w:sz w:val="24"/>
          <w:szCs w:val="24"/>
        </w:rPr>
        <w:t>are</w:t>
      </w:r>
      <w:r w:rsidRPr="00DC66BC">
        <w:rPr>
          <w:rFonts w:ascii="Times New Roman" w:hAnsi="Times New Roman"/>
          <w:sz w:val="24"/>
          <w:szCs w:val="24"/>
        </w:rPr>
        <w:t xml:space="preserve"> triangulated whenever possible using alternative measures of land degradation as dependent variable (such as actual soil quality measurements, etc).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use of NDVI or other satellite-derived measures as proxies of land degradation may, in some cases, lead to less accurate results as NDVI or other satellite-derived indicators may not be fully collinear with land degradation processes on the ground. For example, NDVI cannot easily differentiate between composition changes in vegetation, hence can lead to misleading conclusions when secondary salinization leads to abandonment of previously agricultural areas and replacement of agricultural crops by halophytic weeds. To minimize such inaccuracies, ground-truthing of satellite-derived data </w:t>
      </w:r>
      <w:r>
        <w:rPr>
          <w:rFonts w:ascii="Times New Roman" w:hAnsi="Times New Roman"/>
          <w:sz w:val="24"/>
          <w:szCs w:val="24"/>
        </w:rPr>
        <w:t>is</w:t>
      </w:r>
      <w:r w:rsidRPr="00DC66BC">
        <w:rPr>
          <w:rFonts w:ascii="Times New Roman" w:hAnsi="Times New Roman"/>
          <w:sz w:val="24"/>
          <w:szCs w:val="24"/>
        </w:rPr>
        <w:t xml:space="preserve"> conducted. More specifically, sub-national ground-truthing studies </w:t>
      </w:r>
      <w:r>
        <w:rPr>
          <w:rFonts w:ascii="Times New Roman" w:hAnsi="Times New Roman"/>
          <w:sz w:val="24"/>
          <w:szCs w:val="24"/>
        </w:rPr>
        <w:t>are</w:t>
      </w:r>
      <w:r w:rsidRPr="00DC66BC">
        <w:rPr>
          <w:rFonts w:ascii="Times New Roman" w:hAnsi="Times New Roman"/>
          <w:sz w:val="24"/>
          <w:szCs w:val="24"/>
        </w:rPr>
        <w:t xml:space="preserve"> conducted in </w:t>
      </w:r>
      <w:r>
        <w:rPr>
          <w:rFonts w:ascii="Times New Roman" w:hAnsi="Times New Roman"/>
          <w:sz w:val="24"/>
          <w:szCs w:val="24"/>
        </w:rPr>
        <w:t>some</w:t>
      </w:r>
      <w:r w:rsidRPr="00DC66BC">
        <w:rPr>
          <w:rFonts w:ascii="Times New Roman" w:hAnsi="Times New Roman"/>
          <w:sz w:val="24"/>
          <w:szCs w:val="24"/>
        </w:rPr>
        <w:t xml:space="preserve"> case study countries to assess land degradation using local-specific data to triangulate the results with the global satellite-based analysis.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However, NDVI pixels could be too big to make any meaningful conclusions at the household level. To address this problem, the above equation, which is more suited to global level analyses, </w:t>
      </w:r>
      <w:r>
        <w:rPr>
          <w:rFonts w:ascii="Times New Roman" w:hAnsi="Times New Roman"/>
          <w:sz w:val="24"/>
          <w:szCs w:val="24"/>
        </w:rPr>
        <w:t>is</w:t>
      </w:r>
      <w:r w:rsidRPr="00DC66BC">
        <w:rPr>
          <w:rFonts w:ascii="Times New Roman" w:hAnsi="Times New Roman"/>
          <w:sz w:val="24"/>
          <w:szCs w:val="24"/>
        </w:rPr>
        <w:t xml:space="preserve"> modified taking alternative household-level indicators of land quality as the dependent variable, such as land use change, or households’ reporting of their plot level land quality, or the lack of application of sustainable land management practices, factual measurements of land quality at the household plots, or very high resolution NDVI data, as available. The explanatory variables </w:t>
      </w:r>
      <w:r>
        <w:rPr>
          <w:rFonts w:ascii="Times New Roman" w:hAnsi="Times New Roman"/>
          <w:sz w:val="24"/>
          <w:szCs w:val="24"/>
        </w:rPr>
        <w:t>are</w:t>
      </w:r>
      <w:r w:rsidRPr="00DC66BC">
        <w:rPr>
          <w:rFonts w:ascii="Times New Roman" w:hAnsi="Times New Roman"/>
          <w:sz w:val="24"/>
          <w:szCs w:val="24"/>
        </w:rPr>
        <w:t xml:space="preserve"> also at the household level: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lastRenderedPageBreak/>
        <w:t xml:space="preserve">Δ H </w:t>
      </w:r>
      <m:oMath>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4</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x</m:t>
            </m:r>
          </m:e>
          <m:sub>
            <m:r>
              <m:rPr>
                <m:sty m:val="bi"/>
              </m:rPr>
              <w:rPr>
                <w:rFonts w:ascii="Cambria Math" w:hAnsi="Cambria Math"/>
                <w:sz w:val="24"/>
                <w:szCs w:val="24"/>
              </w:rPr>
              <m:t>4</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5</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z</m:t>
            </m:r>
          </m:e>
          <m:sub>
            <m:r>
              <m:rPr>
                <m:sty m:val="bi"/>
              </m:rP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sty m:val="bi"/>
              </m:rPr>
              <w:rPr>
                <w:rFonts w:ascii="Cambria Math" w:hAnsi="Cambria Math"/>
                <w:sz w:val="24"/>
                <w:szCs w:val="24"/>
              </w:rPr>
              <m:t>ε</m:t>
            </m:r>
          </m:e>
          <m:sub>
            <m:r>
              <m:rPr>
                <m:sty m:val="bi"/>
              </m:rPr>
              <w:rPr>
                <w:rFonts w:ascii="Cambria Math" w:hAnsi="Cambria Math"/>
                <w:sz w:val="24"/>
                <w:szCs w:val="24"/>
              </w:rPr>
              <m:t>i</m:t>
            </m:r>
          </m:sub>
        </m:sSub>
      </m:oMath>
      <w:r w:rsidRPr="00DC66BC">
        <w:rPr>
          <w:rFonts w:ascii="Times New Roman" w:hAnsi="Times New Roman"/>
          <w:sz w:val="24"/>
          <w:szCs w:val="24"/>
        </w:rPr>
        <w:t xml:space="preserve"> </w:t>
      </w:r>
      <w:r w:rsidRPr="00DC66BC">
        <w:rPr>
          <w:rFonts w:ascii="Times New Roman" w:hAnsi="Times New Roman"/>
          <w:sz w:val="24"/>
          <w:szCs w:val="24"/>
        </w:rPr>
        <w:tab/>
        <w:t xml:space="preserve"> </w:t>
      </w:r>
      <w:r w:rsidRPr="00DC66BC">
        <w:rPr>
          <w:rFonts w:ascii="Times New Roman" w:hAnsi="Times New Roman"/>
          <w:sz w:val="24"/>
          <w:szCs w:val="24"/>
        </w:rPr>
        <w:tab/>
      </w:r>
      <w:r w:rsidRPr="00DC66BC">
        <w:rPr>
          <w:rFonts w:ascii="Times New Roman" w:hAnsi="Times New Roman"/>
          <w:sz w:val="24"/>
          <w:szCs w:val="24"/>
        </w:rPr>
        <w:tab/>
        <w:t>(2.2)</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where,</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H = household land quality indicator</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 x</w:t>
      </w:r>
      <w:r w:rsidRPr="00DC66BC">
        <w:rPr>
          <w:rFonts w:ascii="Times New Roman" w:hAnsi="Times New Roman"/>
          <w:sz w:val="24"/>
          <w:szCs w:val="24"/>
          <w:vertAlign w:val="subscript"/>
        </w:rPr>
        <w:t>1</w:t>
      </w:r>
      <w:r w:rsidRPr="00DC66BC">
        <w:rPr>
          <w:rFonts w:ascii="Times New Roman" w:hAnsi="Times New Roman"/>
          <w:sz w:val="24"/>
          <w:szCs w:val="24"/>
        </w:rPr>
        <w:t xml:space="preserve"> = a vector of biophysical causes of land degradation (e.g. climate conditions, topography, soil constraints) at household plots;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x</w:t>
      </w:r>
      <w:r w:rsidRPr="00DC66BC">
        <w:rPr>
          <w:rFonts w:ascii="Times New Roman" w:hAnsi="Times New Roman"/>
          <w:sz w:val="24"/>
          <w:szCs w:val="24"/>
          <w:vertAlign w:val="subscript"/>
        </w:rPr>
        <w:t>2</w:t>
      </w:r>
      <w:r w:rsidRPr="00DC66BC">
        <w:rPr>
          <w:rFonts w:ascii="Times New Roman" w:hAnsi="Times New Roman"/>
          <w:sz w:val="24"/>
          <w:szCs w:val="24"/>
        </w:rPr>
        <w:t xml:space="preserve"> = a vector of policy-related, institutional, demographic and socio-economic  causes of land degradation (e.g. household income per capita, family labor availability, fertilizer/manure application rates, land tenure, etc);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x</w:t>
      </w:r>
      <w:r w:rsidRPr="00DC66BC">
        <w:rPr>
          <w:rFonts w:ascii="Times New Roman" w:hAnsi="Times New Roman"/>
          <w:sz w:val="24"/>
          <w:szCs w:val="24"/>
          <w:vertAlign w:val="subscript"/>
        </w:rPr>
        <w:t>3</w:t>
      </w:r>
      <w:r w:rsidRPr="00DC66BC">
        <w:rPr>
          <w:rFonts w:ascii="Times New Roman" w:hAnsi="Times New Roman"/>
          <w:sz w:val="24"/>
          <w:szCs w:val="24"/>
        </w:rPr>
        <w:t xml:space="preserve"> = a vector of variables representing access to rural services (e.g. links to extension services, road proximity or density, access to information, assess to rural credits);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x</w:t>
      </w:r>
      <w:r w:rsidRPr="00DC66BC">
        <w:rPr>
          <w:rFonts w:ascii="Times New Roman" w:hAnsi="Times New Roman"/>
          <w:sz w:val="24"/>
          <w:szCs w:val="24"/>
          <w:vertAlign w:val="subscript"/>
        </w:rPr>
        <w:t>4</w:t>
      </w:r>
      <w:r w:rsidRPr="00DC66BC">
        <w:rPr>
          <w:rFonts w:ascii="Times New Roman" w:hAnsi="Times New Roman"/>
          <w:sz w:val="24"/>
          <w:szCs w:val="24"/>
        </w:rPr>
        <w:t xml:space="preserve"> = vector of variables representing household level asset endowments, level of education, poverty level, physical capital, social capital;</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z</w:t>
      </w:r>
      <w:r w:rsidRPr="00DC66BC">
        <w:rPr>
          <w:rFonts w:ascii="Times New Roman" w:hAnsi="Times New Roman"/>
          <w:sz w:val="24"/>
          <w:szCs w:val="24"/>
          <w:vertAlign w:val="subscript"/>
        </w:rPr>
        <w:t>i</w:t>
      </w:r>
      <w:r w:rsidRPr="00DC66BC">
        <w:rPr>
          <w:rFonts w:ascii="Times New Roman" w:hAnsi="Times New Roman"/>
          <w:sz w:val="24"/>
          <w:szCs w:val="24"/>
        </w:rPr>
        <w:t xml:space="preserve"> = vector of fixed effect variables, including administrative divisions, household fixed effects, etc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Similarly, here as well, an alternative fixed effects model will also be considered. In case of cross-sectional data, the panel estimation approach will be replaced by methods suitable for cross-sectional data. Various appropriate interactions and nonlinear relationships among specific variables will be tested following theoretical expectations.</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pStyle w:val="Heading3"/>
        <w:rPr>
          <w:rFonts w:ascii="Times New Roman" w:hAnsi="Times New Roman" w:cs="Times New Roman"/>
          <w:color w:val="000000" w:themeColor="text1"/>
          <w:sz w:val="24"/>
          <w:szCs w:val="24"/>
        </w:rPr>
      </w:pPr>
      <w:bookmarkStart w:id="7" w:name="_Toc369106094"/>
      <w:r w:rsidRPr="00DC66BC">
        <w:rPr>
          <w:rFonts w:ascii="Times New Roman" w:hAnsi="Times New Roman" w:cs="Times New Roman"/>
          <w:color w:val="000000" w:themeColor="text1"/>
          <w:sz w:val="24"/>
          <w:szCs w:val="24"/>
        </w:rPr>
        <w:t>Cost and benefits of action vs. inaction against land degradation</w:t>
      </w:r>
      <w:bookmarkEnd w:id="7"/>
      <w:r w:rsidRPr="00DC66BC">
        <w:rPr>
          <w:rFonts w:ascii="Times New Roman" w:hAnsi="Times New Roman" w:cs="Times New Roman"/>
          <w:color w:val="000000" w:themeColor="text1"/>
          <w:sz w:val="24"/>
          <w:szCs w:val="24"/>
        </w:rPr>
        <w:t xml:space="preserv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TEV approach is required to comprehensively capture the costs of land degradation. It consists of use and non-use values (Remoundou et al. 2009). The use value is further divided into direct and indirect use. The direct use includes marketed outputs involving priced consumption (e.g. crop production, fisheries, tourism, etc) as well as un-priced benefits such as local culture and recreation. The indirect use value consists of un-priced ecosystem functions such as water purification, carbon sequestration, etc. Non-use value is divided into bequest, altruistic and existence values, all of which represent the un-priced benefits. In between these two major categories, there is the option value, which includes both marketable outputs and ecosystem services for future direct or indirect use. It is usually challenging to measure the non-use and indirect use values as mostly they are not traded in markets. An additional challenge of measuring TEV is the potential of double-counting of benefits from ecosystems services (Barbier 2010). Following Balmford et al. (2008) and others, care </w:t>
      </w:r>
      <w:r>
        <w:rPr>
          <w:rFonts w:ascii="Times New Roman" w:hAnsi="Times New Roman"/>
          <w:sz w:val="24"/>
          <w:szCs w:val="24"/>
        </w:rPr>
        <w:t>is</w:t>
      </w:r>
      <w:r w:rsidRPr="00DC66BC">
        <w:rPr>
          <w:rFonts w:ascii="Times New Roman" w:hAnsi="Times New Roman"/>
          <w:sz w:val="24"/>
          <w:szCs w:val="24"/>
        </w:rPr>
        <w:t xml:space="preserve"> taken to avoid double counting, by partitioning the broad but closely related benefits and process and traced their links such that they avoided double-counting (ibid).</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Since we follow the broad definition of land degradation which captures the on-site and off-site effects of land management, we use social costs and benefits of land degradation. The social cost and benefit of action against land degradation and inaction is given by the net present value (NPV) for taking action against land degradation in year t for the land users planning horizon T:</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m:oMath>
        <m:sSub>
          <m:sSubPr>
            <m:ctrlPr>
              <w:rPr>
                <w:rFonts w:ascii="Cambria Math" w:hAnsi="Cambria Math"/>
                <w:i/>
                <w:sz w:val="24"/>
                <w:szCs w:val="24"/>
              </w:rPr>
            </m:ctrlPr>
          </m:sSubPr>
          <m:e>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c</m:t>
                </m:r>
              </m:sup>
            </m:sSubSup>
          </m:e>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sSup>
              <m:sSupPr>
                <m:ctrlPr>
                  <w:rPr>
                    <w:rFonts w:ascii="Cambria Math" w:hAnsi="Cambria Math"/>
                    <w:i/>
                    <w:sz w:val="24"/>
                    <w:szCs w:val="24"/>
                  </w:rPr>
                </m:ctrlPr>
              </m:sSupPr>
              <m:e>
                <m:r>
                  <w:rPr>
                    <w:rFonts w:ascii="Cambria Math" w:hAnsi="Cambria Math"/>
                    <w:sz w:val="24"/>
                    <w:szCs w:val="24"/>
                  </w:rPr>
                  <m:t>ρ</m:t>
                </m:r>
              </m:e>
              <m:sup>
                <m:r>
                  <w:rPr>
                    <w:rFonts w:ascii="Cambria Math" w:hAnsi="Cambria Math"/>
                    <w:sz w:val="24"/>
                    <w:szCs w:val="24"/>
                  </w:rPr>
                  <m:t>t</m:t>
                </m:r>
              </m:sup>
            </m:sSup>
          </m:den>
        </m:f>
        <m:nary>
          <m:naryPr>
            <m:chr m:val="∑"/>
            <m:limLoc m:val="undOvr"/>
            <m:ctrlPr>
              <w:rPr>
                <w:rFonts w:ascii="Cambria Math" w:hAnsi="Cambria Math"/>
                <w:i/>
                <w:sz w:val="24"/>
                <w:szCs w:val="24"/>
              </w:rPr>
            </m:ctrlPr>
          </m:naryPr>
          <m:sub>
            <m:r>
              <w:rPr>
                <w:rFonts w:ascii="Cambria Math" w:hAnsi="Cambria Math"/>
                <w:sz w:val="24"/>
                <w:szCs w:val="24"/>
              </w:rPr>
              <m:t>t=0</m:t>
            </m:r>
          </m:sub>
          <m:sup>
            <m:r>
              <w:rPr>
                <w:rFonts w:ascii="Cambria Math" w:hAnsi="Cambria Math"/>
                <w:sz w:val="24"/>
                <w:szCs w:val="24"/>
              </w:rPr>
              <m:t>T</m:t>
            </m:r>
          </m:sup>
          <m:e>
            <m:d>
              <m:dPr>
                <m:ctrlPr>
                  <w:rPr>
                    <w:rFonts w:ascii="Cambria Math" w:hAnsi="Cambria Math"/>
                    <w:i/>
                    <w:sz w:val="24"/>
                    <w:szCs w:val="24"/>
                  </w:rPr>
                </m:ctrlPr>
              </m:dPr>
              <m:e>
                <m:sSubSup>
                  <m:sSubSupPr>
                    <m:ctrlPr>
                      <w:rPr>
                        <w:rFonts w:ascii="Cambria Math" w:hAnsi="Cambria Math"/>
                        <w:i/>
                        <w:sz w:val="24"/>
                        <w:szCs w:val="24"/>
                      </w:rPr>
                    </m:ctrlPr>
                  </m:sSubSupPr>
                  <m:e>
                    <m:r>
                      <w:rPr>
                        <w:rFonts w:ascii="Cambria Math" w:hAnsi="Cambria Math"/>
                        <w:sz w:val="24"/>
                        <w:szCs w:val="24"/>
                      </w:rPr>
                      <m:t>PY</m:t>
                    </m:r>
                  </m:e>
                  <m:sub>
                    <m:r>
                      <w:rPr>
                        <w:rFonts w:ascii="Cambria Math" w:hAnsi="Cambria Math"/>
                        <w:sz w:val="24"/>
                        <w:szCs w:val="24"/>
                      </w:rPr>
                      <m:t>t</m:t>
                    </m:r>
                  </m:sub>
                  <m:sup>
                    <m:r>
                      <w:rPr>
                        <w:rFonts w:ascii="Cambria Math" w:hAnsi="Cambria Math"/>
                        <w:sz w:val="24"/>
                        <w:szCs w:val="24"/>
                      </w:rPr>
                      <m:t>c</m:t>
                    </m:r>
                  </m:sup>
                </m:sSubSup>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IV</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NU</m:t>
                    </m:r>
                  </m:e>
                  <m:sub>
                    <m:r>
                      <w:rPr>
                        <w:rFonts w:ascii="Cambria Math" w:hAnsi="Cambria Math"/>
                        <w:sz w:val="24"/>
                        <w:szCs w:val="24"/>
                      </w:rPr>
                      <m:t>t</m:t>
                    </m:r>
                  </m:sub>
                </m:sSub>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b</m:t>
                    </m:r>
                  </m:e>
                  <m:sub>
                    <m:r>
                      <w:rPr>
                        <w:rFonts w:ascii="Cambria Math" w:hAnsi="Cambria Math"/>
                        <w:sz w:val="24"/>
                        <w:szCs w:val="24"/>
                      </w:rPr>
                      <m:t>t</m:t>
                    </m:r>
                  </m:sub>
                  <m:sup>
                    <m:r>
                      <w:rPr>
                        <w:rFonts w:ascii="Cambria Math" w:hAnsi="Cambria Math"/>
                        <w:sz w:val="24"/>
                        <w:szCs w:val="24"/>
                      </w:rPr>
                      <m:t>c</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lm</m:t>
                    </m:r>
                  </m:e>
                  <m:sub>
                    <m:r>
                      <w:rPr>
                        <w:rFonts w:ascii="Cambria Math" w:hAnsi="Cambria Math"/>
                        <w:sz w:val="24"/>
                        <w:szCs w:val="24"/>
                      </w:rPr>
                      <m:t>t</m:t>
                    </m:r>
                  </m:sub>
                  <m:sup>
                    <m:r>
                      <w:rPr>
                        <w:rFonts w:ascii="Cambria Math" w:hAnsi="Cambria Math"/>
                        <w:sz w:val="24"/>
                        <w:szCs w:val="24"/>
                      </w:rPr>
                      <m:t>c</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t</m:t>
                    </m:r>
                  </m:sub>
                  <m:sup>
                    <m:r>
                      <w:rPr>
                        <w:rFonts w:ascii="Cambria Math" w:hAnsi="Cambria Math"/>
                        <w:sz w:val="24"/>
                        <w:szCs w:val="24"/>
                      </w:rPr>
                      <m:t>c</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τ</m:t>
                    </m:r>
                  </m:e>
                  <m:sub>
                    <m:r>
                      <w:rPr>
                        <w:rFonts w:ascii="Cambria Math" w:hAnsi="Cambria Math"/>
                        <w:sz w:val="24"/>
                        <w:szCs w:val="24"/>
                      </w:rPr>
                      <m:t>t</m:t>
                    </m:r>
                  </m:sub>
                  <m:sup>
                    <m:r>
                      <w:rPr>
                        <w:rFonts w:ascii="Cambria Math" w:hAnsi="Cambria Math"/>
                        <w:sz w:val="24"/>
                        <w:szCs w:val="24"/>
                      </w:rPr>
                      <m:t>c</m:t>
                    </m:r>
                  </m:sup>
                </m:sSubSup>
              </m:e>
            </m:d>
          </m:e>
        </m:nary>
      </m:oMath>
      <w:r w:rsidRPr="00DC66BC">
        <w:rPr>
          <w:rFonts w:ascii="Times New Roman" w:hAnsi="Times New Roman"/>
          <w:sz w:val="24"/>
          <w:szCs w:val="24"/>
        </w:rPr>
        <w:t xml:space="preserve">                   </w:t>
      </w:r>
      <w:r w:rsidRPr="00DC66BC">
        <w:rPr>
          <w:rFonts w:ascii="Times New Roman" w:hAnsi="Times New Roman"/>
          <w:sz w:val="24"/>
          <w:szCs w:val="24"/>
        </w:rPr>
        <w:tab/>
        <w:t xml:space="preserve">    </w:t>
      </w:r>
      <w:r w:rsidRPr="00DC66BC">
        <w:rPr>
          <w:rFonts w:ascii="Times New Roman" w:hAnsi="Times New Roman"/>
          <w:sz w:val="24"/>
          <w:szCs w:val="24"/>
        </w:rPr>
        <w:tab/>
        <w:t xml:space="preserve">        (2.3)</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lastRenderedPageBreak/>
        <w:t xml:space="preserve">where, </w:t>
      </w:r>
      <m:oMath>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c</m:t>
            </m:r>
          </m:sup>
        </m:sSubSup>
      </m:oMath>
      <w:r w:rsidRPr="00DC66BC">
        <w:rPr>
          <w:rFonts w:ascii="Times New Roman" w:hAnsi="Times New Roman"/>
          <w:sz w:val="24"/>
          <w:szCs w:val="24"/>
        </w:rPr>
        <w:t xml:space="preserve"> = net present value (NPV) for taking action against land degradation in year t for the land users planning horizon T; </w:t>
      </w:r>
      <m:oMath>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c</m:t>
            </m:r>
          </m:sup>
        </m:sSubSup>
      </m:oMath>
      <w:r w:rsidRPr="00DC66BC">
        <w:rPr>
          <w:rFonts w:ascii="Times New Roman" w:hAnsi="Times New Roman"/>
          <w:sz w:val="24"/>
          <w:szCs w:val="24"/>
        </w:rPr>
        <w:t xml:space="preserve">= production of direct use provisioning services when using SLM practices; P= unit price of </w:t>
      </w:r>
      <m:oMath>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c</m:t>
            </m:r>
          </m:sup>
        </m:sSubSup>
      </m:oMath>
      <w:r w:rsidRPr="00DC66BC">
        <w:rPr>
          <w:rFonts w:ascii="Times New Roman" w:hAnsi="Times New Roman"/>
          <w:sz w:val="24"/>
          <w:szCs w:val="24"/>
        </w:rPr>
        <w:t xml:space="preserve">; IVt = indirect use value;  NUt = on-site non-use value; </w:t>
      </w:r>
      <m:oMath>
        <m:sSubSup>
          <m:sSubSupPr>
            <m:ctrlPr>
              <w:rPr>
                <w:rFonts w:ascii="Cambria Math" w:hAnsi="Cambria Math"/>
                <w:i/>
                <w:sz w:val="24"/>
                <w:szCs w:val="24"/>
              </w:rPr>
            </m:ctrlPr>
          </m:sSubSupPr>
          <m:e>
            <m:r>
              <w:rPr>
                <w:rFonts w:ascii="Cambria Math" w:hAnsi="Cambria Math"/>
                <w:sz w:val="24"/>
                <w:szCs w:val="24"/>
              </w:rPr>
              <m:t>b</m:t>
            </m:r>
          </m:e>
          <m:sub>
            <m:r>
              <w:rPr>
                <w:rFonts w:ascii="Cambria Math" w:hAnsi="Cambria Math"/>
                <w:sz w:val="24"/>
                <w:szCs w:val="24"/>
              </w:rPr>
              <m:t>t</m:t>
            </m:r>
          </m:sub>
          <m:sup>
            <m:r>
              <w:rPr>
                <w:rFonts w:ascii="Cambria Math" w:hAnsi="Cambria Math"/>
                <w:sz w:val="24"/>
                <w:szCs w:val="24"/>
              </w:rPr>
              <m:t>c</m:t>
            </m:r>
          </m:sup>
        </m:sSubSup>
      </m:oMath>
      <w:r w:rsidRPr="00DC66BC">
        <w:rPr>
          <w:rFonts w:ascii="Times New Roman" w:hAnsi="Times New Roman"/>
          <w:sz w:val="24"/>
          <w:szCs w:val="24"/>
        </w:rPr>
        <w:t xml:space="preserve"> = off-site positive benefit of SLM practices  ρt = 1+r, r = land user’s discount rate; </w:t>
      </w:r>
      <m:oMath>
        <m:sSubSup>
          <m:sSubSupPr>
            <m:ctrlPr>
              <w:rPr>
                <w:rFonts w:ascii="Cambria Math" w:hAnsi="Cambria Math"/>
                <w:i/>
                <w:sz w:val="24"/>
                <w:szCs w:val="24"/>
              </w:rPr>
            </m:ctrlPr>
          </m:sSubSupPr>
          <m:e>
            <m:r>
              <w:rPr>
                <w:rFonts w:ascii="Cambria Math" w:hAnsi="Cambria Math"/>
                <w:sz w:val="24"/>
                <w:szCs w:val="24"/>
              </w:rPr>
              <m:t>lm</m:t>
            </m:r>
          </m:e>
          <m:sub>
            <m:r>
              <w:rPr>
                <w:rFonts w:ascii="Cambria Math" w:hAnsi="Cambria Math"/>
                <w:sz w:val="24"/>
                <w:szCs w:val="24"/>
              </w:rPr>
              <m:t>t</m:t>
            </m:r>
          </m:sub>
          <m:sup>
            <m:r>
              <w:rPr>
                <w:rFonts w:ascii="Cambria Math" w:hAnsi="Cambria Math"/>
                <w:sz w:val="24"/>
                <w:szCs w:val="24"/>
              </w:rPr>
              <m:t>c</m:t>
            </m:r>
          </m:sup>
        </m:sSubSup>
      </m:oMath>
      <w:r w:rsidRPr="00DC66BC">
        <w:rPr>
          <w:rFonts w:ascii="Times New Roman" w:hAnsi="Times New Roman"/>
          <w:sz w:val="24"/>
          <w:szCs w:val="24"/>
        </w:rPr>
        <w:t xml:space="preserve"> = cost of SLM practices; </w:t>
      </w: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t</m:t>
            </m:r>
          </m:sub>
          <m:sup>
            <m:r>
              <w:rPr>
                <w:rFonts w:ascii="Cambria Math" w:hAnsi="Cambria Math"/>
                <w:sz w:val="24"/>
                <w:szCs w:val="24"/>
              </w:rPr>
              <m:t>c</m:t>
            </m:r>
          </m:sup>
        </m:sSubSup>
      </m:oMath>
      <w:r w:rsidRPr="00DC66BC">
        <w:rPr>
          <w:rFonts w:ascii="Times New Roman" w:hAnsi="Times New Roman"/>
          <w:sz w:val="24"/>
          <w:szCs w:val="24"/>
        </w:rPr>
        <w:t xml:space="preserve"> = direct costs of production other than land management; </w:t>
      </w:r>
      <m:oMath>
        <m:sSubSup>
          <m:sSubSupPr>
            <m:ctrlPr>
              <w:rPr>
                <w:rFonts w:ascii="Cambria Math" w:hAnsi="Cambria Math"/>
                <w:i/>
                <w:sz w:val="24"/>
                <w:szCs w:val="24"/>
              </w:rPr>
            </m:ctrlPr>
          </m:sSubSupPr>
          <m:e>
            <m:r>
              <w:rPr>
                <w:rFonts w:ascii="Cambria Math" w:hAnsi="Cambria Math"/>
                <w:sz w:val="24"/>
                <w:szCs w:val="24"/>
              </w:rPr>
              <m:t>τ</m:t>
            </m:r>
          </m:e>
          <m:sub>
            <m:r>
              <w:rPr>
                <w:rFonts w:ascii="Cambria Math" w:hAnsi="Cambria Math"/>
                <w:sz w:val="24"/>
                <w:szCs w:val="24"/>
              </w:rPr>
              <m:t>t</m:t>
            </m:r>
          </m:sub>
          <m:sup>
            <m:r>
              <w:rPr>
                <w:rFonts w:ascii="Cambria Math" w:hAnsi="Cambria Math"/>
                <w:sz w:val="24"/>
                <w:szCs w:val="24"/>
              </w:rPr>
              <m:t>c</m:t>
            </m:r>
          </m:sup>
        </m:sSubSup>
        <m:r>
          <w:rPr>
            <w:rFonts w:ascii="Cambria Math" w:hAnsi="Cambria Math"/>
            <w:sz w:val="24"/>
            <w:szCs w:val="24"/>
          </w:rPr>
          <m:t xml:space="preserve"> </m:t>
        </m:r>
      </m:oMath>
      <w:r w:rsidRPr="00DC66BC">
        <w:rPr>
          <w:rFonts w:ascii="Times New Roman" w:hAnsi="Times New Roman"/>
          <w:sz w:val="24"/>
          <w:szCs w:val="24"/>
        </w:rPr>
        <w:t xml:space="preserve">= off-site costs of SLM – including use and non-use costs. The term </w:t>
      </w:r>
      <m:oMath>
        <m:sSubSup>
          <m:sSubSupPr>
            <m:ctrlPr>
              <w:rPr>
                <w:rFonts w:ascii="Cambria Math" w:hAnsi="Cambria Math"/>
                <w:i/>
                <w:sz w:val="24"/>
                <w:szCs w:val="24"/>
              </w:rPr>
            </m:ctrlPr>
          </m:sSubSupPr>
          <m:e>
            <m:r>
              <w:rPr>
                <w:rFonts w:ascii="Cambria Math" w:hAnsi="Cambria Math"/>
                <w:sz w:val="24"/>
                <w:szCs w:val="24"/>
              </w:rPr>
              <m:t>τ</m:t>
            </m:r>
          </m:e>
          <m:sub>
            <m:r>
              <w:rPr>
                <w:rFonts w:ascii="Cambria Math" w:hAnsi="Cambria Math"/>
                <w:sz w:val="24"/>
                <w:szCs w:val="24"/>
              </w:rPr>
              <m:t>t</m:t>
            </m:r>
          </m:sub>
          <m:sup>
            <m:r>
              <w:rPr>
                <w:rFonts w:ascii="Cambria Math" w:hAnsi="Cambria Math"/>
                <w:sz w:val="24"/>
                <w:szCs w:val="24"/>
              </w:rPr>
              <m:t>c</m:t>
            </m:r>
          </m:sup>
        </m:sSubSup>
      </m:oMath>
      <w:r w:rsidRPr="00DC66BC">
        <w:rPr>
          <w:rFonts w:ascii="Times New Roman" w:hAnsi="Times New Roman"/>
          <w:sz w:val="24"/>
          <w:szCs w:val="24"/>
        </w:rPr>
        <w:t xml:space="preserve"> implies that even SLM could produce negative off-site costs. For example, application of chemical fertilizer leads to greenhouse gas emission. One kg of nitrogen requires about 3 kg of CO</w:t>
      </w:r>
      <w:r w:rsidRPr="00005354">
        <w:rPr>
          <w:rFonts w:ascii="Times New Roman" w:hAnsi="Times New Roman"/>
          <w:sz w:val="24"/>
          <w:szCs w:val="24"/>
          <w:vertAlign w:val="subscript"/>
        </w:rPr>
        <w:t>2</w:t>
      </w:r>
      <w:r w:rsidRPr="00DC66BC">
        <w:rPr>
          <w:rFonts w:ascii="Times New Roman" w:hAnsi="Times New Roman"/>
          <w:sz w:val="24"/>
          <w:szCs w:val="24"/>
        </w:rPr>
        <w:t>-eqivalent (Vlek et al. 2004) because of the high energy requirement for the manufacture and transport of fertilizer.</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If land user does not take action against land degradation, the corresponding NPV is given by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d</m:t>
            </m:r>
          </m:sup>
        </m:sSub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sSup>
              <m:sSupPr>
                <m:ctrlPr>
                  <w:rPr>
                    <w:rFonts w:ascii="Cambria Math" w:hAnsi="Cambria Math"/>
                    <w:i/>
                    <w:sz w:val="24"/>
                    <w:szCs w:val="24"/>
                  </w:rPr>
                </m:ctrlPr>
              </m:sSupPr>
              <m:e>
                <m:r>
                  <w:rPr>
                    <w:rFonts w:ascii="Cambria Math" w:hAnsi="Cambria Math"/>
                    <w:sz w:val="24"/>
                    <w:szCs w:val="24"/>
                  </w:rPr>
                  <m:t>ρ</m:t>
                </m:r>
              </m:e>
              <m:sup>
                <m:r>
                  <w:rPr>
                    <w:rFonts w:ascii="Cambria Math" w:hAnsi="Cambria Math"/>
                    <w:sz w:val="24"/>
                    <w:szCs w:val="24"/>
                  </w:rPr>
                  <m:t>t</m:t>
                </m:r>
              </m:sup>
            </m:sSup>
          </m:den>
        </m:f>
        <m:nary>
          <m:naryPr>
            <m:chr m:val="∑"/>
            <m:limLoc m:val="undOvr"/>
            <m:ctrlPr>
              <w:rPr>
                <w:rFonts w:ascii="Cambria Math" w:hAnsi="Cambria Math"/>
                <w:i/>
                <w:sz w:val="24"/>
                <w:szCs w:val="24"/>
              </w:rPr>
            </m:ctrlPr>
          </m:naryPr>
          <m:sub>
            <m:r>
              <w:rPr>
                <w:rFonts w:ascii="Cambria Math" w:hAnsi="Cambria Math"/>
                <w:sz w:val="24"/>
                <w:szCs w:val="24"/>
              </w:rPr>
              <m:t>t=0</m:t>
            </m:r>
          </m:sub>
          <m:sup>
            <m:r>
              <w:rPr>
                <w:rFonts w:ascii="Cambria Math" w:hAnsi="Cambria Math"/>
                <w:sz w:val="24"/>
                <w:szCs w:val="24"/>
              </w:rPr>
              <m:t>T</m:t>
            </m:r>
          </m:sup>
          <m:e>
            <m:d>
              <m:dPr>
                <m:ctrlPr>
                  <w:rPr>
                    <w:rFonts w:ascii="Cambria Math" w:hAnsi="Cambria Math"/>
                    <w:i/>
                    <w:sz w:val="24"/>
                    <w:szCs w:val="24"/>
                  </w:rPr>
                </m:ctrlPr>
              </m:dPr>
              <m:e>
                <m:r>
                  <w:rPr>
                    <w:rFonts w:ascii="Cambria Math" w:hAnsi="Cambria Math"/>
                    <w:sz w:val="24"/>
                    <w:szCs w:val="24"/>
                  </w:rPr>
                  <m:t>P</m:t>
                </m:r>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d</m:t>
                    </m:r>
                  </m:sup>
                </m:sSubSup>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IV</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NU</m:t>
                    </m:r>
                  </m:e>
                  <m:sub>
                    <m:r>
                      <w:rPr>
                        <w:rFonts w:ascii="Cambria Math" w:hAnsi="Cambria Math"/>
                        <w:sz w:val="24"/>
                        <w:szCs w:val="24"/>
                      </w:rPr>
                      <m:t>t</m:t>
                    </m:r>
                  </m:sub>
                </m:sSub>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b</m:t>
                    </m:r>
                  </m:e>
                  <m:sub>
                    <m:r>
                      <w:rPr>
                        <w:rFonts w:ascii="Cambria Math" w:hAnsi="Cambria Math"/>
                        <w:sz w:val="24"/>
                        <w:szCs w:val="24"/>
                      </w:rPr>
                      <m:t>t</m:t>
                    </m:r>
                  </m:sub>
                  <m:sup>
                    <m:r>
                      <w:rPr>
                        <w:rFonts w:ascii="Cambria Math" w:hAnsi="Cambria Math"/>
                        <w:sz w:val="24"/>
                        <w:szCs w:val="24"/>
                      </w:rPr>
                      <m:t>d</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lm</m:t>
                    </m:r>
                  </m:e>
                  <m:sub>
                    <m:r>
                      <w:rPr>
                        <w:rFonts w:ascii="Cambria Math" w:hAnsi="Cambria Math"/>
                        <w:sz w:val="24"/>
                        <w:szCs w:val="24"/>
                      </w:rPr>
                      <m:t>t</m:t>
                    </m:r>
                  </m:sub>
                  <m:sup>
                    <m:r>
                      <w:rPr>
                        <w:rFonts w:ascii="Cambria Math" w:hAnsi="Cambria Math"/>
                        <w:sz w:val="24"/>
                        <w:szCs w:val="24"/>
                      </w:rPr>
                      <m:t>d</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t</m:t>
                    </m:r>
                  </m:sub>
                  <m:sup>
                    <m:r>
                      <w:rPr>
                        <w:rFonts w:ascii="Cambria Math" w:hAnsi="Cambria Math"/>
                        <w:sz w:val="24"/>
                        <w:szCs w:val="24"/>
                      </w:rPr>
                      <m:t>d</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τ</m:t>
                    </m:r>
                  </m:e>
                  <m:sub>
                    <m:r>
                      <w:rPr>
                        <w:rFonts w:ascii="Cambria Math" w:hAnsi="Cambria Math"/>
                        <w:sz w:val="24"/>
                        <w:szCs w:val="24"/>
                      </w:rPr>
                      <m:t>t</m:t>
                    </m:r>
                  </m:sub>
                  <m:sup>
                    <m:r>
                      <w:rPr>
                        <w:rFonts w:ascii="Cambria Math" w:hAnsi="Cambria Math"/>
                        <w:sz w:val="24"/>
                        <w:szCs w:val="24"/>
                      </w:rPr>
                      <m:t>d</m:t>
                    </m:r>
                  </m:sup>
                </m:sSubSup>
              </m:e>
            </m:d>
          </m:e>
        </m:nary>
      </m:oMath>
      <w:r w:rsidRPr="00DC66BC">
        <w:rPr>
          <w:rFonts w:ascii="Times New Roman" w:hAnsi="Times New Roman"/>
          <w:sz w:val="24"/>
          <w:szCs w:val="24"/>
        </w:rPr>
        <w:t xml:space="preserve">       </w:t>
      </w:r>
      <w:r w:rsidRPr="00DC66BC">
        <w:rPr>
          <w:rFonts w:ascii="Times New Roman" w:hAnsi="Times New Roman"/>
          <w:sz w:val="24"/>
          <w:szCs w:val="24"/>
        </w:rPr>
        <w:tab/>
        <w:t xml:space="preserve">    </w:t>
      </w:r>
      <w:r w:rsidRPr="00DC66BC">
        <w:rPr>
          <w:rFonts w:ascii="Times New Roman" w:hAnsi="Times New Roman"/>
          <w:sz w:val="24"/>
          <w:szCs w:val="24"/>
        </w:rPr>
        <w:tab/>
        <w:t xml:space="preserve">    </w:t>
      </w:r>
      <w:r w:rsidRPr="00DC66BC">
        <w:rPr>
          <w:rFonts w:ascii="Times New Roman" w:hAnsi="Times New Roman"/>
          <w:sz w:val="24"/>
          <w:szCs w:val="24"/>
        </w:rPr>
        <w:tab/>
        <w:t xml:space="preserve">        (2.4)</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where </w:t>
      </w:r>
      <m:oMath>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d</m:t>
            </m:r>
          </m:sup>
        </m:sSubSup>
      </m:oMath>
      <w:r w:rsidRPr="00DC66BC">
        <w:rPr>
          <w:rFonts w:ascii="Times New Roman" w:hAnsi="Times New Roman"/>
          <w:sz w:val="24"/>
          <w:szCs w:val="24"/>
        </w:rPr>
        <w:t xml:space="preserve"> = NPV when land user uses land degrading practices. All other variables are as defined in above but with superscript d indicating land degrading practices.</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benefit of taking action against land degradation is given by </w:t>
      </w:r>
      <w:r w:rsidRPr="00DC66BC">
        <w:rPr>
          <w:rFonts w:ascii="Cambria Math" w:hAnsi="Cambria Math" w:cs="Cambria Math"/>
          <w:sz w:val="24"/>
          <w:szCs w:val="24"/>
        </w:rPr>
        <w:t>𝐵𝐴</w:t>
      </w:r>
      <w:r w:rsidRPr="00DC66BC">
        <w:rPr>
          <w:rFonts w:ascii="Times New Roman" w:hAnsi="Times New Roman"/>
          <w:sz w:val="24"/>
          <w:szCs w:val="24"/>
        </w:rPr>
        <w:t xml:space="preserve"> = </w:t>
      </w:r>
      <m:oMath>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c</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d</m:t>
            </m:r>
          </m:sup>
        </m:sSubSup>
      </m:oMath>
      <w:r w:rsidRPr="00DC66BC">
        <w:rPr>
          <w:rFonts w:ascii="Times New Roman" w:hAnsi="Times New Roman"/>
          <w:sz w:val="24"/>
          <w:szCs w:val="24"/>
        </w:rPr>
        <w:t xml:space="preserv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difference  </w:t>
      </w:r>
      <m:oMath>
        <m:sSubSup>
          <m:sSubSupPr>
            <m:ctrlPr>
              <w:rPr>
                <w:rFonts w:ascii="Cambria Math" w:hAnsi="Cambria Math"/>
                <w:sz w:val="24"/>
                <w:szCs w:val="24"/>
              </w:rPr>
            </m:ctrlPr>
          </m:sSubSupPr>
          <m:e>
            <m:r>
              <m:rPr>
                <m:sty m:val="p"/>
              </m:rPr>
              <w:rPr>
                <w:rFonts w:ascii="Cambria Math" w:hAnsi="Cambria Math"/>
                <w:sz w:val="24"/>
                <w:szCs w:val="24"/>
              </w:rPr>
              <m:t>π</m:t>
            </m:r>
          </m:e>
          <m:sub>
            <m:r>
              <m:rPr>
                <m:sty m:val="p"/>
              </m:rPr>
              <w:rPr>
                <w:rFonts w:ascii="Cambria Math" w:hAnsi="Cambria Math"/>
                <w:sz w:val="24"/>
                <w:szCs w:val="24"/>
              </w:rPr>
              <m:t>t</m:t>
            </m:r>
          </m:sub>
          <m:sup>
            <m:r>
              <m:rPr>
                <m:sty m:val="p"/>
              </m:rPr>
              <w:rPr>
                <w:rFonts w:ascii="Cambria Math" w:hAnsi="Cambria Math"/>
                <w:sz w:val="24"/>
                <w:szCs w:val="24"/>
              </w:rPr>
              <m:t>c</m:t>
            </m:r>
          </m:sup>
        </m:sSubSup>
        <m:r>
          <m:rPr>
            <m:sty m:val="p"/>
          </m:rPr>
          <w:rPr>
            <w:rFonts w:ascii="Cambria Math" w:hAnsi="Cambria Math"/>
            <w:sz w:val="24"/>
            <w:szCs w:val="24"/>
          </w:rPr>
          <m:t>-</m:t>
        </m:r>
        <m:sSubSup>
          <m:sSubSupPr>
            <m:ctrlPr>
              <w:rPr>
                <w:rFonts w:ascii="Cambria Math" w:hAnsi="Cambria Math"/>
                <w:sz w:val="24"/>
                <w:szCs w:val="24"/>
              </w:rPr>
            </m:ctrlPr>
          </m:sSubSupPr>
          <m:e>
            <m:r>
              <m:rPr>
                <m:sty m:val="p"/>
              </m:rPr>
              <w:rPr>
                <w:rFonts w:ascii="Cambria Math" w:hAnsi="Cambria Math"/>
                <w:sz w:val="24"/>
                <w:szCs w:val="24"/>
              </w:rPr>
              <m:t>π</m:t>
            </m:r>
          </m:e>
          <m:sub>
            <m:r>
              <m:rPr>
                <m:sty m:val="p"/>
              </m:rPr>
              <w:rPr>
                <w:rFonts w:ascii="Cambria Math" w:hAnsi="Cambria Math"/>
                <w:sz w:val="24"/>
                <w:szCs w:val="24"/>
              </w:rPr>
              <m:t>t</m:t>
            </m:r>
          </m:sub>
          <m:sup>
            <m:r>
              <m:rPr>
                <m:sty m:val="p"/>
              </m:rPr>
              <w:rPr>
                <w:rFonts w:ascii="Cambria Math" w:hAnsi="Cambria Math"/>
                <w:sz w:val="24"/>
                <w:szCs w:val="24"/>
              </w:rPr>
              <m:t>d</m:t>
            </m:r>
          </m:sup>
        </m:sSubSup>
        <m:r>
          <m:rPr>
            <m:sty m:val="p"/>
          </m:rPr>
          <w:rPr>
            <w:rFonts w:ascii="Cambria Math" w:hAnsi="Cambria Math"/>
            <w:sz w:val="24"/>
            <w:szCs w:val="24"/>
          </w:rPr>
          <m:t xml:space="preserve"> </m:t>
        </m:r>
      </m:oMath>
      <w:r w:rsidRPr="00DC66BC">
        <w:rPr>
          <w:rFonts w:ascii="Times New Roman" w:hAnsi="Times New Roman"/>
          <w:sz w:val="24"/>
          <w:szCs w:val="24"/>
        </w:rPr>
        <w:t xml:space="preserve"> plays an important role in land users’ decision making during their planning horizon T.  Table 2.1 summarizes the actions of land users when returns to SLM are smaller, greater or equal to the corresponding returns to SLM.  If the returns to land management for the SLM are smaller than the corresponding returns for land degrading practices, the land user is likely to use land degrading practices.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pStyle w:val="TableTitle"/>
        <w:rPr>
          <w:sz w:val="24"/>
        </w:rPr>
      </w:pPr>
      <w:bookmarkStart w:id="8" w:name="_Toc355712302"/>
      <w:r w:rsidRPr="00DC66BC">
        <w:rPr>
          <w:sz w:val="24"/>
        </w:rPr>
        <w:t>Table 2.1. Action vs inaction decisions at different levels</w:t>
      </w:r>
      <w:bookmarkEnd w:id="8"/>
      <w:r w:rsidRPr="00DC66BC">
        <w:rPr>
          <w:sz w:val="24"/>
        </w:rPr>
        <w:t xml:space="preserve"> </w:t>
      </w:r>
    </w:p>
    <w:tbl>
      <w:tblPr>
        <w:tblW w:w="0" w:type="auto"/>
        <w:tblBorders>
          <w:top w:val="single" w:sz="4" w:space="0" w:color="auto"/>
          <w:bottom w:val="single" w:sz="4" w:space="0" w:color="auto"/>
        </w:tblBorders>
        <w:tblLook w:val="04A0" w:firstRow="1" w:lastRow="0" w:firstColumn="1" w:lastColumn="0" w:noHBand="0" w:noVBand="1"/>
      </w:tblPr>
      <w:tblGrid>
        <w:gridCol w:w="1278"/>
        <w:gridCol w:w="7619"/>
      </w:tblGrid>
      <w:tr w:rsidR="00F81C41" w:rsidRPr="00DC66BC" w:rsidTr="00746379">
        <w:tc>
          <w:tcPr>
            <w:tcW w:w="1278" w:type="dxa"/>
            <w:tcBorders>
              <w:bottom w:val="single" w:sz="4" w:space="0" w:color="auto"/>
            </w:tcBorders>
            <w:shd w:val="clear" w:color="auto" w:fill="auto"/>
          </w:tcPr>
          <w:p w:rsidR="00F81C41" w:rsidRPr="00DC66BC" w:rsidRDefault="00F81C41" w:rsidP="00746379">
            <w:pPr>
              <w:spacing w:after="0" w:line="240" w:lineRule="auto"/>
              <w:jc w:val="both"/>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c</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π</m:t>
                    </m:r>
                  </m:e>
                  <m:sub>
                    <m:r>
                      <w:rPr>
                        <w:rFonts w:ascii="Cambria Math" w:hAnsi="Cambria Math"/>
                        <w:sz w:val="24"/>
                        <w:szCs w:val="24"/>
                      </w:rPr>
                      <m:t>t</m:t>
                    </m:r>
                  </m:sub>
                  <m:sup>
                    <m:r>
                      <w:rPr>
                        <w:rFonts w:ascii="Cambria Math" w:hAnsi="Cambria Math"/>
                        <w:sz w:val="24"/>
                        <w:szCs w:val="24"/>
                      </w:rPr>
                      <m:t>d</m:t>
                    </m:r>
                  </m:sup>
                </m:sSubSup>
              </m:oMath>
            </m:oMathPara>
          </w:p>
        </w:tc>
        <w:tc>
          <w:tcPr>
            <w:tcW w:w="7619" w:type="dxa"/>
            <w:tcBorders>
              <w:bottom w:val="single" w:sz="4" w:space="0" w:color="auto"/>
            </w:tcBorders>
            <w:shd w:val="clear" w:color="auto" w:fill="auto"/>
          </w:tcPr>
          <w:p w:rsidR="00F81C41" w:rsidRPr="00DC66BC" w:rsidRDefault="00F81C41" w:rsidP="00746379">
            <w:pPr>
              <w:spacing w:after="0" w:line="240" w:lineRule="auto"/>
              <w:jc w:val="both"/>
              <w:rPr>
                <w:rFonts w:ascii="Times New Roman" w:hAnsi="Times New Roman"/>
                <w:sz w:val="24"/>
                <w:szCs w:val="24"/>
              </w:rPr>
            </w:pPr>
            <w:r w:rsidRPr="00DC66BC">
              <w:rPr>
                <w:rFonts w:ascii="Times New Roman" w:hAnsi="Times New Roman"/>
                <w:sz w:val="24"/>
                <w:szCs w:val="24"/>
              </w:rPr>
              <w:t>Logical action/inaction</w:t>
            </w:r>
          </w:p>
        </w:tc>
      </w:tr>
      <w:tr w:rsidR="00F81C41" w:rsidRPr="00DC66BC" w:rsidTr="00746379">
        <w:tc>
          <w:tcPr>
            <w:tcW w:w="1278" w:type="dxa"/>
            <w:tcBorders>
              <w:top w:val="single" w:sz="4" w:space="0" w:color="auto"/>
              <w:bottom w:val="nil"/>
            </w:tcBorders>
            <w:shd w:val="clear" w:color="auto" w:fill="auto"/>
          </w:tcPr>
          <w:p w:rsidR="00F81C41" w:rsidRPr="00DC66BC" w:rsidRDefault="00F81C41" w:rsidP="00746379">
            <w:pPr>
              <w:spacing w:after="0" w:line="240" w:lineRule="auto"/>
              <w:jc w:val="both"/>
              <w:rPr>
                <w:rFonts w:ascii="Times New Roman" w:hAnsi="Times New Roman"/>
                <w:sz w:val="24"/>
                <w:szCs w:val="24"/>
              </w:rPr>
            </w:pPr>
            <w:r w:rsidRPr="00DC66BC">
              <w:rPr>
                <w:rFonts w:ascii="Times New Roman" w:hAnsi="Times New Roman"/>
                <w:sz w:val="24"/>
                <w:szCs w:val="24"/>
              </w:rPr>
              <w:t>&gt; 0</w:t>
            </w:r>
          </w:p>
        </w:tc>
        <w:tc>
          <w:tcPr>
            <w:tcW w:w="7619" w:type="dxa"/>
            <w:tcBorders>
              <w:top w:val="single" w:sz="4" w:space="0" w:color="auto"/>
              <w:bottom w:val="nil"/>
            </w:tcBorders>
            <w:shd w:val="clear" w:color="auto" w:fill="auto"/>
          </w:tcPr>
          <w:p w:rsidR="00F81C41" w:rsidRPr="00DC66BC" w:rsidRDefault="00F81C41" w:rsidP="00746379">
            <w:pPr>
              <w:spacing w:after="0" w:line="240" w:lineRule="auto"/>
              <w:jc w:val="both"/>
              <w:rPr>
                <w:rFonts w:ascii="Times New Roman" w:hAnsi="Times New Roman"/>
                <w:sz w:val="24"/>
                <w:szCs w:val="24"/>
              </w:rPr>
            </w:pPr>
            <w:r w:rsidRPr="00DC66BC">
              <w:rPr>
                <w:rFonts w:ascii="Times New Roman" w:hAnsi="Times New Roman"/>
                <w:sz w:val="24"/>
                <w:szCs w:val="24"/>
              </w:rPr>
              <w:t>Take action against LD</w:t>
            </w:r>
          </w:p>
        </w:tc>
      </w:tr>
      <w:tr w:rsidR="00F81C41" w:rsidRPr="00DC66BC" w:rsidTr="00746379">
        <w:tc>
          <w:tcPr>
            <w:tcW w:w="1278" w:type="dxa"/>
            <w:tcBorders>
              <w:top w:val="nil"/>
            </w:tcBorders>
            <w:shd w:val="clear" w:color="auto" w:fill="auto"/>
          </w:tcPr>
          <w:p w:rsidR="00F81C41" w:rsidRPr="00DC66BC" w:rsidRDefault="00F81C41" w:rsidP="00746379">
            <w:pPr>
              <w:spacing w:after="0" w:line="240" w:lineRule="auto"/>
              <w:jc w:val="both"/>
              <w:rPr>
                <w:rFonts w:ascii="Times New Roman" w:hAnsi="Times New Roman"/>
                <w:sz w:val="24"/>
                <w:szCs w:val="24"/>
              </w:rPr>
            </w:pPr>
            <w:r w:rsidRPr="00DC66BC">
              <w:rPr>
                <w:rFonts w:ascii="Times New Roman" w:hAnsi="Times New Roman"/>
                <w:sz w:val="24"/>
                <w:szCs w:val="24"/>
              </w:rPr>
              <w:t>&lt; 0</w:t>
            </w:r>
          </w:p>
        </w:tc>
        <w:tc>
          <w:tcPr>
            <w:tcW w:w="7619" w:type="dxa"/>
            <w:tcBorders>
              <w:top w:val="nil"/>
            </w:tcBorders>
            <w:shd w:val="clear" w:color="auto" w:fill="auto"/>
          </w:tcPr>
          <w:p w:rsidR="00F81C41" w:rsidRPr="00DC66BC" w:rsidRDefault="00F81C41" w:rsidP="00746379">
            <w:pPr>
              <w:spacing w:after="0" w:line="240" w:lineRule="auto"/>
              <w:jc w:val="both"/>
              <w:rPr>
                <w:rFonts w:ascii="Times New Roman" w:hAnsi="Times New Roman"/>
                <w:sz w:val="24"/>
                <w:szCs w:val="24"/>
              </w:rPr>
            </w:pPr>
            <w:r w:rsidRPr="00DC66BC">
              <w:rPr>
                <w:rFonts w:ascii="Times New Roman" w:hAnsi="Times New Roman"/>
                <w:sz w:val="24"/>
                <w:szCs w:val="24"/>
              </w:rPr>
              <w:t>Don’t take action. Alternatively provide incentives to take action against land degradation (e.g. PES*)</w:t>
            </w:r>
          </w:p>
        </w:tc>
      </w:tr>
      <w:tr w:rsidR="00F81C41" w:rsidRPr="00DC66BC" w:rsidTr="00746379">
        <w:tc>
          <w:tcPr>
            <w:tcW w:w="1278" w:type="dxa"/>
            <w:shd w:val="clear" w:color="auto" w:fill="auto"/>
          </w:tcPr>
          <w:p w:rsidR="00F81C41" w:rsidRPr="00DC66BC" w:rsidRDefault="00F81C41" w:rsidP="00746379">
            <w:pPr>
              <w:spacing w:after="0" w:line="240" w:lineRule="auto"/>
              <w:jc w:val="both"/>
              <w:rPr>
                <w:rFonts w:ascii="Times New Roman" w:hAnsi="Times New Roman"/>
                <w:sz w:val="24"/>
                <w:szCs w:val="24"/>
              </w:rPr>
            </w:pPr>
            <w:r w:rsidRPr="00DC66BC">
              <w:rPr>
                <w:rFonts w:ascii="Times New Roman" w:hAnsi="Times New Roman"/>
                <w:sz w:val="24"/>
                <w:szCs w:val="24"/>
              </w:rPr>
              <w:t>= 0</w:t>
            </w:r>
          </w:p>
        </w:tc>
        <w:tc>
          <w:tcPr>
            <w:tcW w:w="7619" w:type="dxa"/>
            <w:shd w:val="clear" w:color="auto" w:fill="auto"/>
          </w:tcPr>
          <w:p w:rsidR="00F81C41" w:rsidRPr="00DC66BC" w:rsidRDefault="00F81C41" w:rsidP="00746379">
            <w:pPr>
              <w:spacing w:after="0" w:line="240" w:lineRule="auto"/>
              <w:jc w:val="both"/>
              <w:rPr>
                <w:rFonts w:ascii="Times New Roman" w:hAnsi="Times New Roman"/>
                <w:sz w:val="24"/>
                <w:szCs w:val="24"/>
              </w:rPr>
            </w:pPr>
            <w:r w:rsidRPr="00DC66BC">
              <w:rPr>
                <w:rFonts w:ascii="Times New Roman" w:hAnsi="Times New Roman"/>
                <w:sz w:val="24"/>
                <w:szCs w:val="24"/>
              </w:rPr>
              <w:t>Indifferent, hence provide incentives to take action against land degradation (e.g. PES)</w:t>
            </w:r>
          </w:p>
        </w:tc>
      </w:tr>
    </w:tbl>
    <w:p w:rsidR="00F81C41" w:rsidRPr="006E77CB" w:rsidRDefault="00F81C41" w:rsidP="00F81C41">
      <w:pPr>
        <w:pStyle w:val="Source"/>
      </w:pPr>
      <w:r w:rsidRPr="006E77CB">
        <w:t>Note: Taking action against land degradation include: prevention of land degradation or rehabilitation of degraded lands. *Payment for Ecosystem Services. Source: the authors.</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However, given that prevention of land degradation is expected to be cheaper than rehabilitation of degraded lands, it is always prudent to prevent land degradation. The challenge is internalization of SLM benefits and enhancing adoption of SLM practices for low income farmers who may not have paid to adopt SLM. For example, payment for ecosystem services (PES) could be used when BA ≤ 0 (see Table 2.1).</w:t>
      </w:r>
    </w:p>
    <w:p w:rsidR="00F81C41" w:rsidRPr="00DC66BC" w:rsidRDefault="00F81C41" w:rsidP="00F81C41">
      <w:pPr>
        <w:spacing w:after="0" w:line="240" w:lineRule="auto"/>
        <w:jc w:val="both"/>
        <w:rPr>
          <w:rFonts w:ascii="Times New Roman" w:hAnsi="Times New Roman"/>
          <w:sz w:val="24"/>
          <w:szCs w:val="24"/>
        </w:rPr>
      </w:pPr>
    </w:p>
    <w:p w:rsidR="00F81C41"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  </w:t>
      </w:r>
    </w:p>
    <w:p w:rsidR="00F81C41"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pStyle w:val="Heading3"/>
        <w:rPr>
          <w:rFonts w:ascii="Times New Roman" w:hAnsi="Times New Roman" w:cs="Times New Roman"/>
          <w:color w:val="000000" w:themeColor="text1"/>
          <w:sz w:val="24"/>
          <w:szCs w:val="24"/>
        </w:rPr>
      </w:pPr>
      <w:bookmarkStart w:id="9" w:name="_Toc369106096"/>
      <w:r w:rsidRPr="00DC66BC">
        <w:rPr>
          <w:rFonts w:ascii="Times New Roman" w:hAnsi="Times New Roman" w:cs="Times New Roman"/>
          <w:color w:val="000000" w:themeColor="text1"/>
          <w:sz w:val="24"/>
          <w:szCs w:val="24"/>
        </w:rPr>
        <w:lastRenderedPageBreak/>
        <w:t>Sampling Framework for Case Studies</w:t>
      </w:r>
      <w:bookmarkEnd w:id="9"/>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Proximate and underlying causes of land degradation are intricately embedded in their specific local contexts (Nkonya et al., 2011, von Braun et al. 2013), and hence, only through comprehensive analysis of these local heterogeneous interactions that meaningful insights could be derived about causes and necessary actions against land degradation. On the other hand, needless to say that these insights should not be exclusively limited only to some specific local settings, but should have a global relevance. In this regard, case study methodology is </w:t>
      </w:r>
      <w:r>
        <w:rPr>
          <w:rFonts w:ascii="Times New Roman" w:hAnsi="Times New Roman"/>
          <w:sz w:val="24"/>
          <w:szCs w:val="24"/>
        </w:rPr>
        <w:t>a</w:t>
      </w:r>
      <w:r w:rsidRPr="00DC66BC">
        <w:rPr>
          <w:rFonts w:ascii="Times New Roman" w:hAnsi="Times New Roman"/>
          <w:sz w:val="24"/>
          <w:szCs w:val="24"/>
        </w:rPr>
        <w:t xml:space="preserve"> preferred choice of method when the phenomenon being studied is indistinguishable from its context (Yin 2003) -  which enables to achieve the first objective of local thoroughness. The second objective of global relevance is achieved by designing a rigorous sampling framework with theoretically sound case study selection strategy.</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Extrapolation of case study findings beyond these case studies themselves is possible only when the case study design has been based on theoretical grounds: where specific research questions are asked to test the validity of rival explanations of cause-and-effect relationships in land degradation. Carefully selected multiple case studies are the means to provide a more convincing test of a theory and specify conditions under which different, perhaps even opposing, theories could be valid (de Vaus, 2001). Moreover, the external validity of a case study depends on its capacity for theoretical generalization, rather than statistical generalization which is conducted through probability-based random sampling techniques. In that sense, case studies are like experiments with replications: if the theoretical insights gained from case studies conducted in multiple settings coincide, then the potential of external validity of these results is higher. To achieve such external validity, case studies are selected not statistically, but “strategically” (ibid.), which necessitates selecting those cases which will enable to rigorously test the causal relationships in different contexts (ibid.). Moreover, random probability based selection of countries is also practically infeasible within realistic time and budget constraints.  Finally, it is essential that the core research methodologies and protocols in each of the case studies should be similar for ensuring comparability of their results.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For conducting this global economic analysis of land degradation, case study countries have been carefully selected based on purposive sampling framework and maximum variation approach, where it was sought to comprehensively capture a wide spectrum of heterogeneous contexts of land degradation in order to test rival cause-and-effect hypotheses about land degradation. Thus, the main objective in the sampling was to ensure the external validity and global relevance of the selected case study countries for a big heterogeneity of land degradation, institutional and socio-economic situations around the world.</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 sampling strategy consisted of three steps: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6E77CB">
        <w:rPr>
          <w:rFonts w:ascii="Times New Roman" w:hAnsi="Times New Roman"/>
          <w:b/>
          <w:sz w:val="24"/>
          <w:szCs w:val="24"/>
        </w:rPr>
        <w:t>First</w:t>
      </w:r>
      <w:r w:rsidRPr="00DC66BC">
        <w:rPr>
          <w:rFonts w:ascii="Times New Roman" w:hAnsi="Times New Roman"/>
          <w:sz w:val="24"/>
          <w:szCs w:val="24"/>
        </w:rPr>
        <w:t xml:space="preserve">, earlier analyses of causes of land degradation have identified such key socio-economic and institutional underlying factors of land degradation as per capita GDP, population density, government effectiveness and agricultural intensification (Nkonya et al. 2011). Based on these characteristics, the countries of the world have been clustered using K-means clustering technique into seven clusters with more homogenous within-cluster characteristics (Table 2.2). The decision on the optimal number of clusters was guided both by the results of the </w:t>
      </w:r>
      <w:r w:rsidRPr="00DC66BC">
        <w:rPr>
          <w:rFonts w:ascii="Times New Roman" w:hAnsi="Times New Roman"/>
          <w:sz w:val="24"/>
          <w:szCs w:val="24"/>
        </w:rPr>
        <w:lastRenderedPageBreak/>
        <w:t>formal statistical Calinsk</w:t>
      </w:r>
      <w:r>
        <w:rPr>
          <w:rFonts w:ascii="Times New Roman" w:hAnsi="Times New Roman"/>
          <w:sz w:val="24"/>
          <w:szCs w:val="24"/>
        </w:rPr>
        <w:t>i</w:t>
      </w:r>
      <w:r w:rsidRPr="00DC66BC">
        <w:rPr>
          <w:rFonts w:ascii="Times New Roman" w:hAnsi="Times New Roman"/>
          <w:sz w:val="24"/>
          <w:szCs w:val="24"/>
        </w:rPr>
        <w:t>-Harabasz stopping rule (Calinsk</w:t>
      </w:r>
      <w:r>
        <w:rPr>
          <w:rFonts w:ascii="Times New Roman" w:hAnsi="Times New Roman"/>
          <w:sz w:val="24"/>
          <w:szCs w:val="24"/>
        </w:rPr>
        <w:t>i</w:t>
      </w:r>
      <w:r w:rsidRPr="00DC66BC">
        <w:rPr>
          <w:rFonts w:ascii="Times New Roman" w:hAnsi="Times New Roman"/>
          <w:sz w:val="24"/>
          <w:szCs w:val="24"/>
        </w:rPr>
        <w:t xml:space="preserve"> and Harabasz, 1974)</w:t>
      </w:r>
      <w:r w:rsidRPr="00DC66BC">
        <w:rPr>
          <w:rFonts w:ascii="Times New Roman" w:hAnsi="Times New Roman"/>
          <w:sz w:val="24"/>
          <w:szCs w:val="24"/>
          <w:vertAlign w:val="superscript"/>
        </w:rPr>
        <w:footnoteReference w:id="1"/>
      </w:r>
      <w:r w:rsidRPr="00DC66BC">
        <w:rPr>
          <w:rFonts w:ascii="Times New Roman" w:hAnsi="Times New Roman"/>
          <w:sz w:val="24"/>
          <w:szCs w:val="24"/>
        </w:rPr>
        <w:t xml:space="preserve">, and graphical and numerical exploratory analysis of the data. </w:t>
      </w:r>
      <w:r w:rsidRPr="006E77CB">
        <w:rPr>
          <w:rFonts w:ascii="Times New Roman" w:hAnsi="Times New Roman"/>
          <w:b/>
          <w:sz w:val="24"/>
          <w:szCs w:val="24"/>
        </w:rPr>
        <w:t>Second</w:t>
      </w:r>
      <w:r w:rsidRPr="00DC66BC">
        <w:rPr>
          <w:rFonts w:ascii="Times New Roman" w:hAnsi="Times New Roman"/>
          <w:sz w:val="24"/>
          <w:szCs w:val="24"/>
        </w:rPr>
        <w:t xml:space="preserve">, the selected clusters were formally validated against several key socio-economic and biophysical variables, which were not part of the initial clustering, such as long-term changes in remotely-sensed NDVI values (Tucker et al. 2004), which can be used as a potential proxy for land degradation, share of rural population in the total, share of agriculture in GDP, average cereal yields per hectare. The identified clusters showed significant differences for each of these variables, thus providing a strong evidence for the validity of the clustering approach employed (Table 2.2, Figure 2.2).  </w:t>
      </w:r>
      <w:r w:rsidRPr="006E77CB">
        <w:rPr>
          <w:rFonts w:ascii="Times New Roman" w:hAnsi="Times New Roman"/>
          <w:b/>
          <w:sz w:val="24"/>
          <w:szCs w:val="24"/>
        </w:rPr>
        <w:t>Third</w:t>
      </w:r>
      <w:r w:rsidRPr="00DC66BC">
        <w:rPr>
          <w:rFonts w:ascii="Times New Roman" w:hAnsi="Times New Roman"/>
          <w:sz w:val="24"/>
          <w:szCs w:val="24"/>
        </w:rPr>
        <w:t xml:space="preserve">, once the countries have been put through these selection filters to ensure their representativeness of global heterogeneity in terms of socio-economic, institutional and land degradation characteristics, countries were selected from each cluster for in-depth case studies, based on such additional criteria as i) regional representativeness, ii) the selected countries have collected or are collecting the data required for the assessment.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pStyle w:val="TableTitle"/>
        <w:rPr>
          <w:sz w:val="24"/>
        </w:rPr>
      </w:pPr>
      <w:r w:rsidRPr="00DC66BC">
        <w:rPr>
          <w:sz w:val="24"/>
        </w:rPr>
        <w:t>Table 2.2. Clustering and validation results</w:t>
      </w:r>
    </w:p>
    <w:tbl>
      <w:tblPr>
        <w:tblW w:w="9782" w:type="dxa"/>
        <w:tblInd w:w="-176" w:type="dxa"/>
        <w:tblBorders>
          <w:top w:val="single" w:sz="8" w:space="0" w:color="auto"/>
          <w:bottom w:val="single" w:sz="8" w:space="0" w:color="auto"/>
        </w:tblBorders>
        <w:tblLayout w:type="fixed"/>
        <w:tblLook w:val="04A0" w:firstRow="1" w:lastRow="0" w:firstColumn="1" w:lastColumn="0" w:noHBand="0" w:noVBand="1"/>
      </w:tblPr>
      <w:tblGrid>
        <w:gridCol w:w="710"/>
        <w:gridCol w:w="992"/>
        <w:gridCol w:w="992"/>
        <w:gridCol w:w="1134"/>
        <w:gridCol w:w="992"/>
        <w:gridCol w:w="1985"/>
        <w:gridCol w:w="850"/>
        <w:gridCol w:w="1134"/>
        <w:gridCol w:w="993"/>
      </w:tblGrid>
      <w:tr w:rsidR="00F81C41" w:rsidRPr="00DC66BC" w:rsidTr="00746379">
        <w:trPr>
          <w:trHeight w:val="1515"/>
        </w:trPr>
        <w:tc>
          <w:tcPr>
            <w:tcW w:w="710"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Clusters</w:t>
            </w:r>
          </w:p>
        </w:tc>
        <w:tc>
          <w:tcPr>
            <w:tcW w:w="992"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GDP per capita</w:t>
            </w:r>
          </w:p>
        </w:tc>
        <w:tc>
          <w:tcPr>
            <w:tcW w:w="992"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Government effectiveness</w:t>
            </w:r>
          </w:p>
        </w:tc>
        <w:tc>
          <w:tcPr>
            <w:tcW w:w="1134"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Population density</w:t>
            </w:r>
          </w:p>
        </w:tc>
        <w:tc>
          <w:tcPr>
            <w:tcW w:w="992"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Agricultural Intensification</w:t>
            </w:r>
          </w:p>
        </w:tc>
        <w:tc>
          <w:tcPr>
            <w:tcW w:w="1985" w:type="dxa"/>
            <w:tcBorders>
              <w:top w:val="single" w:sz="8" w:space="0" w:color="auto"/>
              <w:bottom w:val="single" w:sz="8" w:space="0" w:color="auto"/>
            </w:tcBorders>
            <w:shd w:val="clear" w:color="auto" w:fill="auto"/>
            <w:vAlign w:val="center"/>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Maximum changes in NDVI values between the baseline (1982-84) and endline (2003-06)*</w:t>
            </w:r>
          </w:p>
        </w:tc>
        <w:tc>
          <w:tcPr>
            <w:tcW w:w="850"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Cereal yields</w:t>
            </w:r>
          </w:p>
        </w:tc>
        <w:tc>
          <w:tcPr>
            <w:tcW w:w="1134"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Share of Agriculture in GDP</w:t>
            </w:r>
          </w:p>
        </w:tc>
        <w:tc>
          <w:tcPr>
            <w:tcW w:w="993" w:type="dxa"/>
            <w:tcBorders>
              <w:top w:val="single" w:sz="8" w:space="0" w:color="auto"/>
              <w:bottom w:val="single" w:sz="8" w:space="0" w:color="auto"/>
            </w:tcBorders>
            <w:shd w:val="clear" w:color="auto" w:fill="auto"/>
            <w:vAlign w:val="center"/>
            <w:hideMark/>
          </w:tcPr>
          <w:p w:rsidR="00F81C41" w:rsidRPr="00DC66BC" w:rsidRDefault="00F81C41" w:rsidP="00746379">
            <w:pPr>
              <w:spacing w:after="0" w:line="240" w:lineRule="auto"/>
              <w:jc w:val="center"/>
              <w:rPr>
                <w:rFonts w:ascii="Times New Roman" w:hAnsi="Times New Roman"/>
                <w:sz w:val="20"/>
                <w:szCs w:val="20"/>
              </w:rPr>
            </w:pPr>
            <w:r w:rsidRPr="00DC66BC">
              <w:rPr>
                <w:rFonts w:ascii="Times New Roman" w:hAnsi="Times New Roman"/>
                <w:sz w:val="20"/>
                <w:szCs w:val="20"/>
              </w:rPr>
              <w:t>Share of Rural Population in Total</w:t>
            </w:r>
          </w:p>
        </w:tc>
      </w:tr>
      <w:tr w:rsidR="00F81C41" w:rsidRPr="00DC66BC" w:rsidTr="00746379">
        <w:trPr>
          <w:trHeight w:hRule="exact" w:val="1295"/>
        </w:trPr>
        <w:tc>
          <w:tcPr>
            <w:tcW w:w="710"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1</w:t>
            </w:r>
          </w:p>
        </w:tc>
        <w:tc>
          <w:tcPr>
            <w:tcW w:w="992"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992"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1134"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992"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1985" w:type="dxa"/>
            <w:tcBorders>
              <w:top w:val="single" w:sz="8" w:space="0" w:color="auto"/>
            </w:tcBorders>
            <w:shd w:val="clear" w:color="auto" w:fill="auto"/>
            <w:vAlign w:val="center"/>
          </w:tcPr>
          <w:p w:rsidR="00F81C41" w:rsidRPr="00DC66BC" w:rsidRDefault="00F81C41" w:rsidP="00746379">
            <w:pPr>
              <w:spacing w:after="0" w:line="240" w:lineRule="auto"/>
              <w:rPr>
                <w:rFonts w:ascii="Times New Roman" w:hAnsi="Times New Roman"/>
                <w:sz w:val="20"/>
                <w:szCs w:val="20"/>
              </w:rPr>
            </w:pPr>
            <w:r w:rsidRPr="00DC66BC">
              <w:rPr>
                <w:rFonts w:ascii="Times New Roman" w:hAnsi="Times New Roman"/>
                <w:sz w:val="20"/>
                <w:szCs w:val="20"/>
              </w:rPr>
              <w:t xml:space="preserve">Highest dispersion, both biggest decreases </w:t>
            </w:r>
            <w:r w:rsidRPr="00DC66BC">
              <w:rPr>
                <w:rFonts w:ascii="Times New Roman" w:hAnsi="Times New Roman"/>
                <w:sz w:val="20"/>
                <w:szCs w:val="20"/>
              </w:rPr>
              <w:br/>
              <w:t>and increases</w:t>
            </w:r>
          </w:p>
        </w:tc>
        <w:tc>
          <w:tcPr>
            <w:tcW w:w="850"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1134"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993" w:type="dxa"/>
            <w:tcBorders>
              <w:top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r>
      <w:tr w:rsidR="00F81C41" w:rsidRPr="00DC66BC" w:rsidTr="00746379">
        <w:trPr>
          <w:trHeight w:hRule="exact" w:val="737"/>
        </w:trPr>
        <w:tc>
          <w:tcPr>
            <w:tcW w:w="710"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2</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1985"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smaller decreases</w:t>
            </w:r>
          </w:p>
        </w:tc>
        <w:tc>
          <w:tcPr>
            <w:tcW w:w="850"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3"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r>
      <w:tr w:rsidR="00F81C41" w:rsidRPr="00DC66BC" w:rsidTr="00746379">
        <w:trPr>
          <w:trHeight w:hRule="exact" w:val="737"/>
        </w:trPr>
        <w:tc>
          <w:tcPr>
            <w:tcW w:w="710"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3</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985"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smaller decreases</w:t>
            </w:r>
          </w:p>
        </w:tc>
        <w:tc>
          <w:tcPr>
            <w:tcW w:w="850"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3"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r>
      <w:tr w:rsidR="00F81C41" w:rsidRPr="00DC66BC" w:rsidTr="00746379">
        <w:trPr>
          <w:trHeight w:hRule="exact" w:val="737"/>
        </w:trPr>
        <w:tc>
          <w:tcPr>
            <w:tcW w:w="710"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4</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985"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larger decreases</w:t>
            </w:r>
          </w:p>
        </w:tc>
        <w:tc>
          <w:tcPr>
            <w:tcW w:w="850"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3"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r>
      <w:tr w:rsidR="00F81C41" w:rsidRPr="00DC66BC" w:rsidTr="00746379">
        <w:trPr>
          <w:trHeight w:hRule="exact" w:val="737"/>
        </w:trPr>
        <w:tc>
          <w:tcPr>
            <w:tcW w:w="710"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5</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1985"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smaller decreases</w:t>
            </w:r>
          </w:p>
        </w:tc>
        <w:tc>
          <w:tcPr>
            <w:tcW w:w="850"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3"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r>
      <w:tr w:rsidR="00F81C41" w:rsidRPr="00DC66BC" w:rsidTr="00746379">
        <w:trPr>
          <w:trHeight w:hRule="exact" w:val="737"/>
        </w:trPr>
        <w:tc>
          <w:tcPr>
            <w:tcW w:w="710"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6</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2"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1985" w:type="dxa"/>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larger decreases</w:t>
            </w:r>
          </w:p>
        </w:tc>
        <w:tc>
          <w:tcPr>
            <w:tcW w:w="850"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1134"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mid</w:t>
            </w:r>
          </w:p>
        </w:tc>
        <w:tc>
          <w:tcPr>
            <w:tcW w:w="993" w:type="dxa"/>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r>
      <w:tr w:rsidR="00F81C41" w:rsidRPr="00DC66BC" w:rsidTr="00746379">
        <w:trPr>
          <w:trHeight w:hRule="exact" w:val="737"/>
        </w:trPr>
        <w:tc>
          <w:tcPr>
            <w:tcW w:w="710" w:type="dxa"/>
            <w:tcBorders>
              <w:bottom w:val="single" w:sz="8" w:space="0" w:color="auto"/>
            </w:tcBorders>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7</w:t>
            </w:r>
          </w:p>
        </w:tc>
        <w:tc>
          <w:tcPr>
            <w:tcW w:w="992" w:type="dxa"/>
            <w:tcBorders>
              <w:bottom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992" w:type="dxa"/>
            <w:tcBorders>
              <w:bottom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1134" w:type="dxa"/>
            <w:tcBorders>
              <w:bottom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992" w:type="dxa"/>
            <w:tcBorders>
              <w:bottom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1985" w:type="dxa"/>
            <w:tcBorders>
              <w:bottom w:val="single" w:sz="8" w:space="0" w:color="auto"/>
            </w:tcBorders>
            <w:shd w:val="clear" w:color="auto" w:fill="auto"/>
            <w:vAlign w:val="center"/>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smaller decreases</w:t>
            </w:r>
          </w:p>
        </w:tc>
        <w:tc>
          <w:tcPr>
            <w:tcW w:w="850" w:type="dxa"/>
            <w:tcBorders>
              <w:bottom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higher</w:t>
            </w:r>
          </w:p>
        </w:tc>
        <w:tc>
          <w:tcPr>
            <w:tcW w:w="1134" w:type="dxa"/>
            <w:tcBorders>
              <w:bottom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c>
          <w:tcPr>
            <w:tcW w:w="993" w:type="dxa"/>
            <w:tcBorders>
              <w:bottom w:val="single" w:sz="8" w:space="0" w:color="auto"/>
            </w:tcBorders>
            <w:shd w:val="clear" w:color="auto" w:fill="auto"/>
            <w:vAlign w:val="center"/>
            <w:hideMark/>
          </w:tcPr>
          <w:p w:rsidR="00F81C41" w:rsidRPr="00DC66BC" w:rsidRDefault="00F81C41" w:rsidP="00746379">
            <w:pPr>
              <w:spacing w:after="0" w:line="240" w:lineRule="auto"/>
              <w:jc w:val="both"/>
              <w:rPr>
                <w:rFonts w:ascii="Times New Roman" w:hAnsi="Times New Roman"/>
                <w:sz w:val="20"/>
                <w:szCs w:val="20"/>
              </w:rPr>
            </w:pPr>
            <w:r w:rsidRPr="00DC66BC">
              <w:rPr>
                <w:rFonts w:ascii="Times New Roman" w:hAnsi="Times New Roman"/>
                <w:sz w:val="20"/>
                <w:szCs w:val="20"/>
              </w:rPr>
              <w:t>lower</w:t>
            </w:r>
          </w:p>
        </w:tc>
      </w:tr>
    </w:tbl>
    <w:p w:rsidR="00F81C41" w:rsidRPr="00DC66BC" w:rsidRDefault="00F81C41" w:rsidP="00F81C41">
      <w:pPr>
        <w:pStyle w:val="Source"/>
        <w:rPr>
          <w:sz w:val="24"/>
          <w:szCs w:val="24"/>
        </w:rPr>
      </w:pPr>
      <w:r w:rsidRPr="00DC66BC">
        <w:rPr>
          <w:sz w:val="24"/>
          <w:szCs w:val="24"/>
        </w:rPr>
        <w:t>Source: the authors.</w:t>
      </w:r>
    </w:p>
    <w:p w:rsidR="00F81C41" w:rsidRPr="00DC66BC" w:rsidRDefault="00F81C41" w:rsidP="00F81C41">
      <w:pPr>
        <w:pStyle w:val="Source"/>
        <w:rPr>
          <w:sz w:val="24"/>
          <w:szCs w:val="24"/>
        </w:rPr>
      </w:pPr>
      <w:r w:rsidRPr="00DC66BC">
        <w:t xml:space="preserve">Notes: The NDVI time-series comes from GIMMS dataset, which is driven from NOAA AVHRR satellite data (http://glcf.umd.edu/). The NDVI changes here have not been corrected for the effects of inter-annual rainfall variation, atmospheric fertilization and human application of mineral fertilizer. </w:t>
      </w:r>
      <w:r w:rsidRPr="00DC66BC">
        <w:rPr>
          <w:sz w:val="24"/>
          <w:szCs w:val="24"/>
        </w:rPr>
        <w:br w:type="page"/>
      </w:r>
    </w:p>
    <w:p w:rsidR="00F81C41" w:rsidRPr="00DC66BC" w:rsidRDefault="00F81C41" w:rsidP="00F81C41">
      <w:pPr>
        <w:spacing w:after="0" w:line="240" w:lineRule="auto"/>
        <w:jc w:val="both"/>
        <w:rPr>
          <w:rFonts w:ascii="Times New Roman" w:hAnsi="Times New Roman"/>
          <w:sz w:val="24"/>
          <w:szCs w:val="24"/>
        </w:rPr>
        <w:sectPr w:rsidR="00F81C41" w:rsidRPr="00DC66BC" w:rsidSect="008F4E07">
          <w:footerReference w:type="default" r:id="rId9"/>
          <w:pgSz w:w="11907" w:h="16840" w:code="9"/>
          <w:pgMar w:top="1417" w:right="1417" w:bottom="1134" w:left="1417" w:header="720" w:footer="720" w:gutter="0"/>
          <w:pgNumType w:start="1"/>
          <w:cols w:space="720"/>
          <w:docGrid w:linePitch="326"/>
        </w:sectPr>
      </w:pP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ab/>
      </w:r>
      <w:r w:rsidRPr="00DC66BC">
        <w:rPr>
          <w:rFonts w:ascii="Times New Roman" w:hAnsi="Times New Roman"/>
          <w:sz w:val="24"/>
          <w:szCs w:val="24"/>
        </w:rPr>
        <w:tab/>
      </w:r>
      <w:r w:rsidRPr="00DC66BC">
        <w:rPr>
          <w:rFonts w:ascii="Times New Roman" w:hAnsi="Times New Roman"/>
          <w:sz w:val="24"/>
          <w:szCs w:val="24"/>
        </w:rPr>
        <w:tab/>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noProof/>
          <w:sz w:val="24"/>
          <w:szCs w:val="24"/>
        </w:rPr>
        <w:drawing>
          <wp:inline distT="0" distB="0" distL="0" distR="0" wp14:anchorId="14BA404E" wp14:editId="4841A28A">
            <wp:extent cx="8932322" cy="4011283"/>
            <wp:effectExtent l="0" t="0" r="2540" b="8890"/>
            <wp:docPr id="1152" name="Content Placeholder 2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 name="Content Placeholder 21"/>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32322" cy="4011283"/>
                    </a:xfrm>
                    <a:prstGeom prst="rect">
                      <a:avLst/>
                    </a:prstGeom>
                    <a:noFill/>
                    <a:ln>
                      <a:noFill/>
                    </a:ln>
                    <a:effectLst/>
                    <a:extLst/>
                  </pic:spPr>
                </pic:pic>
              </a:graphicData>
            </a:graphic>
          </wp:inline>
        </w:drawing>
      </w:r>
    </w:p>
    <w:p w:rsidR="00F81C41" w:rsidRPr="00DC66BC" w:rsidRDefault="00F81C41" w:rsidP="00F81C41">
      <w:pPr>
        <w:pStyle w:val="TableTitle"/>
        <w:rPr>
          <w:sz w:val="24"/>
        </w:rPr>
      </w:pPr>
      <w:r w:rsidRPr="00DC66BC">
        <w:rPr>
          <w:sz w:val="24"/>
        </w:rPr>
        <w:t>Figure 2.2. Global Map showing the correspondence of case study countries to major global biomes.</w:t>
      </w:r>
    </w:p>
    <w:p w:rsidR="00F81C41" w:rsidRPr="00DC66BC" w:rsidRDefault="00F81C41" w:rsidP="00F81C41">
      <w:pPr>
        <w:pStyle w:val="Source"/>
      </w:pPr>
      <w:r w:rsidRPr="00DC66BC">
        <w:t>Source: modified from Wikipedia Commons, from http://commons.wikimedia.org/wiki/File:Vegetation-no-legend.PNG, accessed on 08 October 2013.</w:t>
      </w:r>
      <w:r>
        <w:t xml:space="preserve"> Selected case study countries are identified by blue circles, and include</w:t>
      </w:r>
      <w:r>
        <w:rPr>
          <w:lang w:val="en-US"/>
        </w:rPr>
        <w:t xml:space="preserve">: Argentina, Bhutan, China, Ethiopia, India, Kenya, Malawi, Niger, Tanzania, Russia, Senegal and Uzbekistan. </w:t>
      </w:r>
      <w:r w:rsidRPr="00DC66BC">
        <w:t xml:space="preserve"> </w:t>
      </w:r>
    </w:p>
    <w:p w:rsidR="00F81C41" w:rsidRPr="00DC66BC" w:rsidRDefault="00F81C41" w:rsidP="00F81C41">
      <w:pPr>
        <w:pStyle w:val="Source"/>
        <w:sectPr w:rsidR="00F81C41" w:rsidRPr="00DC66BC" w:rsidSect="008F4E07">
          <w:pgSz w:w="16840" w:h="11907" w:orient="landscape" w:code="9"/>
          <w:pgMar w:top="1417" w:right="1417" w:bottom="1134" w:left="1417" w:header="720" w:footer="720" w:gutter="0"/>
          <w:cols w:space="720"/>
        </w:sect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lastRenderedPageBreak/>
        <w:t xml:space="preserve">This selection of countries is highly and sufficiently heterogeneous in terms of both biophysical, socio-economic and institutional characteristics to enable rigorous ground-level testing of various causal hypotheses about land degradation, and for specifying which causal relationships could be prevailing under each of these different interactions of factors. The representativeness of the case study countries is also demonstrated by their good coverage of the world biomes (Figure 2.2).  Moreover, these globally representative case studies also allow for achieving the objective of providing national and global-level estimates of costs of land degradation and net benefits of taking action against it through SLM investments and policies. The 12 selected case study countries account for 43% of the global population and 28% of the land area.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 </w:t>
      </w: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Given higher levels of development challenges and opportunities posed by land degradation impacts, Cluster 1 countries</w:t>
      </w:r>
      <w:r>
        <w:rPr>
          <w:rFonts w:ascii="Times New Roman" w:hAnsi="Times New Roman"/>
          <w:sz w:val="24"/>
          <w:szCs w:val="24"/>
        </w:rPr>
        <w:t>, mostly from sub-Saharan Africa,</w:t>
      </w:r>
      <w:r w:rsidRPr="00DC66BC">
        <w:rPr>
          <w:rFonts w:ascii="Times New Roman" w:hAnsi="Times New Roman"/>
          <w:sz w:val="24"/>
          <w:szCs w:val="24"/>
        </w:rPr>
        <w:t xml:space="preserve"> are given higher weight in this particular selection. Naturally, the more is the number of case study countries, the higher is the accuracy of </w:t>
      </w:r>
      <w:r>
        <w:rPr>
          <w:rFonts w:ascii="Times New Roman" w:hAnsi="Times New Roman"/>
          <w:sz w:val="24"/>
          <w:szCs w:val="24"/>
        </w:rPr>
        <w:t>generalizations</w:t>
      </w:r>
      <w:r w:rsidRPr="00DC66BC">
        <w:rPr>
          <w:rFonts w:ascii="Times New Roman" w:hAnsi="Times New Roman"/>
          <w:sz w:val="24"/>
          <w:szCs w:val="24"/>
        </w:rPr>
        <w:t xml:space="preserve">.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Following this sampling framework, and using the European Joint Research Center (JRC) guidelines (Toth et al. 2012), the data collected from the case study countries will be interpolated across the corresponding farming systems within the same cluster or the same region. No interpolation will be made across regions. For example, no data from </w:t>
      </w:r>
      <w:r>
        <w:rPr>
          <w:rFonts w:ascii="Times New Roman" w:hAnsi="Times New Roman"/>
          <w:sz w:val="24"/>
          <w:szCs w:val="24"/>
        </w:rPr>
        <w:t>s</w:t>
      </w:r>
      <w:r w:rsidRPr="00DC66BC">
        <w:rPr>
          <w:rFonts w:ascii="Times New Roman" w:hAnsi="Times New Roman"/>
          <w:sz w:val="24"/>
          <w:szCs w:val="24"/>
        </w:rPr>
        <w:t>ub-Saharan Africa will be interpolated to Latin America or Asia.</w:t>
      </w:r>
      <w:r w:rsidRPr="00DC66BC" w:rsidDel="000B62C8">
        <w:rPr>
          <w:rFonts w:ascii="Times New Roman" w:hAnsi="Times New Roman"/>
          <w:sz w:val="24"/>
          <w:szCs w:val="24"/>
        </w:rPr>
        <w:t xml:space="preserve"> </w:t>
      </w:r>
      <w:r w:rsidRPr="00DC66BC">
        <w:rPr>
          <w:rFonts w:ascii="Times New Roman" w:hAnsi="Times New Roman"/>
          <w:sz w:val="24"/>
          <w:szCs w:val="24"/>
        </w:rPr>
        <w:t xml:space="preserve"> This is because the interpolation within a region increases the accuracy of results as there are unobservable characteristics that could play an important role in causing land degradation. Interpolating within a region minimizes such omitted variable effects.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bookmarkStart w:id="10" w:name="_Toc369106097"/>
    </w:p>
    <w:p w:rsidR="00F81C41" w:rsidRPr="00DC66BC" w:rsidRDefault="00F81C41" w:rsidP="00F81C41">
      <w:pPr>
        <w:pStyle w:val="Heading3"/>
        <w:rPr>
          <w:rFonts w:ascii="Times New Roman" w:hAnsi="Times New Roman" w:cs="Times New Roman"/>
          <w:color w:val="000000" w:themeColor="text1"/>
          <w:sz w:val="24"/>
          <w:szCs w:val="24"/>
        </w:rPr>
      </w:pPr>
      <w:bookmarkStart w:id="11" w:name="_Toc369106100"/>
      <w:bookmarkEnd w:id="10"/>
      <w:r w:rsidRPr="00DC66BC">
        <w:rPr>
          <w:rFonts w:ascii="Times New Roman" w:hAnsi="Times New Roman" w:cs="Times New Roman"/>
          <w:color w:val="000000" w:themeColor="text1"/>
          <w:sz w:val="24"/>
          <w:szCs w:val="24"/>
        </w:rPr>
        <w:t>Conclusions and Reflections</w:t>
      </w:r>
      <w:bookmarkEnd w:id="11"/>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There have been numerous but isolated attempts in the past to assess the causes and consequences of land degradation. However, the differences in concepts and methodologies did not allow for their meaningful comparison, and quite often have led to contradicting policy conclusions. Only if some basic standards are identified and adhered to, comparative assessments can be conducted between countries and useful aggregation of findings, based on these case studies, can be achieved. This is quite important for making impact on policy for investment and land use, and for getting land degradation problems out of their current obscurity. The proposed framework can provide a consistent conceptual basis for other ongoing or future similar research activities on economics of land degradation and improvement.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 xml:space="preserve">Certainly, causes, consequences and solutions for land degradation problems are not limited to agriculture alone. Reducing poverty, enhancing food security, promoting rural development through addressing land degradation, require that the applied methodologies need to involve all the relevant sectors, institutions, and policies. It is also true that one needs to start somewhere – without any doubt, agriculture is at the heart of land degradation problems, and while the other sectors need to be included too. It is also crucial to incorporate ecosystem values in assessing the costs of land degradation, in addition to direct costs. Many of the services provided by ecosystems are not traded in markets, so the different actors do not pay for negative or positive </w:t>
      </w:r>
      <w:r w:rsidRPr="00DC66BC">
        <w:rPr>
          <w:rFonts w:ascii="Times New Roman" w:hAnsi="Times New Roman"/>
          <w:sz w:val="24"/>
          <w:szCs w:val="24"/>
        </w:rPr>
        <w:lastRenderedPageBreak/>
        <w:t>effects on those ecosystems. The value of such externalities may not be considered in the farmer’s land use decision, which leads to an undervaluation of land and its provision of ecosystem services.</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r w:rsidRPr="00DC66BC">
        <w:rPr>
          <w:rFonts w:ascii="Times New Roman" w:hAnsi="Times New Roman"/>
          <w:sz w:val="24"/>
          <w:szCs w:val="24"/>
        </w:rPr>
        <w:t>What is proposed here is a comprehensive conceptual framework for conducting the ELD assessment, concentrating on two core analytical methods demonstrating the use of methodological standards to guide other ELD case studies: 1) identif</w:t>
      </w:r>
      <w:r>
        <w:rPr>
          <w:rFonts w:ascii="Times New Roman" w:hAnsi="Times New Roman"/>
          <w:sz w:val="24"/>
          <w:szCs w:val="24"/>
        </w:rPr>
        <w:t xml:space="preserve">ication of </w:t>
      </w:r>
      <w:r w:rsidRPr="00DC66BC">
        <w:rPr>
          <w:rFonts w:ascii="Times New Roman" w:hAnsi="Times New Roman"/>
          <w:sz w:val="24"/>
          <w:szCs w:val="24"/>
        </w:rPr>
        <w:t xml:space="preserve">causes of land degradation, 2) economic modeling of action vs. inaction against land degradation. However, the conceptual framework represents a forward-looking agenda which can guide future research to fill </w:t>
      </w:r>
      <w:r>
        <w:rPr>
          <w:rFonts w:ascii="Times New Roman" w:hAnsi="Times New Roman"/>
          <w:sz w:val="24"/>
          <w:szCs w:val="24"/>
        </w:rPr>
        <w:t xml:space="preserve">the </w:t>
      </w:r>
      <w:r w:rsidRPr="00DC66BC">
        <w:rPr>
          <w:rFonts w:ascii="Times New Roman" w:hAnsi="Times New Roman"/>
          <w:sz w:val="24"/>
          <w:szCs w:val="24"/>
        </w:rPr>
        <w:t xml:space="preserve">other elements of this comprehensive framework. Therefore, building national and international capacities, mobilizing bottom-up national research and action against land degradation is one of the key expectations from this research work.  </w:t>
      </w: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sz w:val="24"/>
          <w:szCs w:val="24"/>
        </w:rPr>
      </w:pPr>
    </w:p>
    <w:p w:rsidR="00F81C41" w:rsidRPr="00DC66BC" w:rsidRDefault="00F81C41" w:rsidP="00F81C41">
      <w:pPr>
        <w:spacing w:after="0" w:line="240" w:lineRule="auto"/>
        <w:jc w:val="both"/>
        <w:rPr>
          <w:rFonts w:ascii="Times New Roman" w:hAnsi="Times New Roman"/>
          <w:b/>
          <w:sz w:val="24"/>
          <w:szCs w:val="24"/>
        </w:rPr>
      </w:pPr>
      <w:bookmarkStart w:id="12" w:name="_Toc369106101"/>
      <w:r w:rsidRPr="00DC66BC">
        <w:rPr>
          <w:rFonts w:ascii="Times New Roman" w:hAnsi="Times New Roman"/>
          <w:b/>
          <w:sz w:val="24"/>
          <w:szCs w:val="24"/>
        </w:rPr>
        <w:t>References</w:t>
      </w:r>
      <w:bookmarkEnd w:id="12"/>
    </w:p>
    <w:p w:rsidR="00F81C41" w:rsidRPr="00DC66BC" w:rsidRDefault="00F81C41" w:rsidP="00F81C41">
      <w:pPr>
        <w:spacing w:after="0" w:line="240" w:lineRule="auto"/>
        <w:jc w:val="both"/>
        <w:rPr>
          <w:rFonts w:ascii="Times New Roman" w:hAnsi="Times New Roman"/>
          <w:sz w:val="24"/>
          <w:szCs w:val="24"/>
        </w:rPr>
      </w:pPr>
    </w:p>
    <w:p w:rsidR="00F81C41" w:rsidRDefault="00F81C41" w:rsidP="00F81C41">
      <w:pPr>
        <w:pStyle w:val="Biblio"/>
      </w:pPr>
      <w:r w:rsidRPr="008C5D2B">
        <w:rPr>
          <w:lang w:val="en-US"/>
        </w:rPr>
        <w:t xml:space="preserve">Balmford, A., Rodrigues, A., Walpole, M., Ten Brink, P., Kettunen, M., Braat, L., &amp; De Groot, R. (2008). </w:t>
      </w:r>
      <w:r w:rsidRPr="00DC66BC">
        <w:t>Review on the economics of biodiversity loss: scoping the science. European Commission, Cambridge, UK.</w:t>
      </w:r>
    </w:p>
    <w:p w:rsidR="00F81C41" w:rsidRPr="00DC66BC" w:rsidRDefault="00F81C41" w:rsidP="00F81C41">
      <w:pPr>
        <w:pStyle w:val="Biblio"/>
      </w:pPr>
      <w:r w:rsidRPr="00A962AE">
        <w:t xml:space="preserve">Barbier, E. B., Hacker, S. D., Kennedy, C., Koch, E. W., Stier, A. C., &amp; Silliman, B. R. (2010). </w:t>
      </w:r>
      <w:r w:rsidRPr="00DC66BC">
        <w:t xml:space="preserve">The value of estuarine and coastal ecosystem services. Ecological Monographs, 81(2), 169-193. doi: 10.1890/10-1510.1. </w:t>
      </w:r>
    </w:p>
    <w:p w:rsidR="00F81C41" w:rsidRPr="00DC66BC" w:rsidRDefault="00F81C41" w:rsidP="00F81C41">
      <w:pPr>
        <w:pStyle w:val="Biblio"/>
      </w:pPr>
      <w:r w:rsidRPr="00DC66BC">
        <w:t>Barbier, E.B. (2011a). Capitalizing on Nature: Ecosystems as Natural Assets. Cambridge University Press, Cambridge and New York, 321 pp.</w:t>
      </w:r>
    </w:p>
    <w:p w:rsidR="00F81C41" w:rsidRPr="00DC66BC" w:rsidRDefault="00F81C41" w:rsidP="00F81C41">
      <w:pPr>
        <w:pStyle w:val="Biblio"/>
      </w:pPr>
      <w:r w:rsidRPr="00DC66BC">
        <w:t>Barbier, E.B. (2011b.)Pricing Nature.  Annual Review of Resource Economics 3:337-353.</w:t>
      </w:r>
    </w:p>
    <w:p w:rsidR="00F81C41" w:rsidRPr="00DC66BC" w:rsidRDefault="00F81C41" w:rsidP="00F81C41">
      <w:pPr>
        <w:pStyle w:val="Biblio"/>
      </w:pPr>
      <w:r w:rsidRPr="00DC66BC">
        <w:t>Barbier, E. (2011c). Capitalizing on nature : ecosystems as natural assets. Cambridge, UK; New York: Cambridge University Press.</w:t>
      </w:r>
    </w:p>
    <w:p w:rsidR="00F81C41" w:rsidRDefault="00F81C41" w:rsidP="00F81C41">
      <w:pPr>
        <w:pStyle w:val="Biblio"/>
      </w:pPr>
      <w:r w:rsidRPr="006E77CB">
        <w:t>Caliński, T., &amp; Harabasz, J. (1974). A dendrite method for cluster analysis. Communications in Statistics-theory and Methods, 3(1), 1-27.</w:t>
      </w:r>
    </w:p>
    <w:p w:rsidR="00F81C41" w:rsidRPr="00DC66BC" w:rsidRDefault="00F81C41" w:rsidP="00F81C41">
      <w:pPr>
        <w:pStyle w:val="Biblio"/>
      </w:pPr>
      <w:r w:rsidRPr="00DC66BC">
        <w:t>Chapin FSI., Zavaleta ES, Eviner VT, Naylor RL, Vitousek PM, Reynolds HL, Hooper DU, Lavorel S, Sala, OE, Hobbie SE, Mack MC, Diaz S. (2000). Consequences of changing biodiversity. Nature 405: 234-242.</w:t>
      </w:r>
    </w:p>
    <w:p w:rsidR="00F81C41" w:rsidRPr="00DC66BC" w:rsidRDefault="00F81C41" w:rsidP="00F81C41">
      <w:pPr>
        <w:pStyle w:val="Biblio"/>
      </w:pPr>
      <w:r w:rsidRPr="00DC66BC">
        <w:t xml:space="preserve">Clay DC, Byiringiro FU, Kangasniemi  J, Reardon T, Sibomana B, Uwamariya L &amp; Tardif- Douglin D. (1996). Promoting Food Security in Rwanda through Sustainable Agricultural Productivity: Meeting the Challenges of Population Pressure, Land Degradation, and Poverty. Food Security International Development Policy Syntheses 11425. East Lansing: Michigan State University, Department of Agricultural, Food, and Resource Economics. </w:t>
      </w:r>
    </w:p>
    <w:p w:rsidR="00F81C41" w:rsidRPr="00DC66BC" w:rsidRDefault="00F81C41" w:rsidP="00F81C41">
      <w:pPr>
        <w:pStyle w:val="Biblio"/>
      </w:pPr>
      <w:r w:rsidRPr="00DC66BC">
        <w:t>Cleaver KM &amp; Schreiber GA. (1994). Reversing the Spiral: The Population, Agriculture, and Environment Nexus in Sub-Saharan Africa. Washington, DC: The World Bank.</w:t>
      </w:r>
    </w:p>
    <w:p w:rsidR="00F81C41" w:rsidRPr="00DC66BC" w:rsidRDefault="00F81C41" w:rsidP="00F81C41">
      <w:pPr>
        <w:pStyle w:val="Biblio"/>
      </w:pPr>
      <w:r w:rsidRPr="00DC66BC">
        <w:t xml:space="preserve">Daily, G. C., Söderqvist, T., Aniyar, S., Arrow, K., Dasgupta, P., Ehrlich, P. R., Folke, C. , Jansson, A., Jansson, B., Kautsky, N., Levin, S., Lubchenco, J., Mäler, K. G., Simpson, D. </w:t>
      </w:r>
      <w:r w:rsidRPr="00DC66BC">
        <w:lastRenderedPageBreak/>
        <w:t xml:space="preserve">Starrett, D., Tilman, D., Walker, B. (2000). The Value of Nature and the Nature of Value. Science, 289(5478), 395-396. doi: 10.1126/science.289.5478.395. </w:t>
      </w:r>
    </w:p>
    <w:p w:rsidR="00F81C41" w:rsidRPr="00DC66BC" w:rsidRDefault="00F81C41" w:rsidP="00F81C41">
      <w:pPr>
        <w:pStyle w:val="Biblio"/>
      </w:pPr>
      <w:r w:rsidRPr="00DC66BC">
        <w:t xml:space="preserve">Daily, G. C., Kareiva, P. M., Polasky, S., Ricketts, T. H., &amp; Tallis, H. (2011). Mainstreaming natural capital into decisions. Natural capital: theory and practice of mapping ecosystem services, 3-14. </w:t>
      </w:r>
    </w:p>
    <w:p w:rsidR="00F81C41" w:rsidRPr="00DC66BC" w:rsidRDefault="00F81C41" w:rsidP="00F81C41">
      <w:pPr>
        <w:pStyle w:val="Biblio"/>
      </w:pPr>
      <w:r w:rsidRPr="00DC66BC">
        <w:t xml:space="preserve">De Vaus, D. A. (2001). Research design in social research. SAGE. London; Thousand Oaks, Calif. </w:t>
      </w:r>
    </w:p>
    <w:p w:rsidR="00F81C41" w:rsidRPr="00DC66BC" w:rsidRDefault="00F81C41" w:rsidP="00F81C41">
      <w:pPr>
        <w:pStyle w:val="Biblio"/>
      </w:pPr>
      <w:r w:rsidRPr="00DC66BC">
        <w:t>Foley, J.A., DeFries, R., Asner, G.P., Barford, C., Bonan, G., Carpenter, S.R., Chapin, F.S., Coe, M.T., Daily, G.C., Gibbs, H.K., Helkowski, J.H., Holloway, T., Howard, E.A., Kucharik, C.J., Monfreda, C., Patz, J.A., Prentice, I.C., Ramankutty, N., Snyder, P.K. (2005). Global Consequences of Land Use. Science 309, 570-574.</w:t>
      </w:r>
    </w:p>
    <w:p w:rsidR="00F81C41" w:rsidRPr="00DC66BC" w:rsidRDefault="00F81C41" w:rsidP="00F81C41">
      <w:pPr>
        <w:pStyle w:val="Biblio"/>
      </w:pPr>
      <w:r w:rsidRPr="00DC66BC">
        <w:t xml:space="preserve">Lal, R., Safriel, U., &amp; Boer, B. (2012). Zero Net Land Degradation: A New Sustainable Development Goal for Rio+ 20. [A report prepared for the Secretariat of the United Nations Convention to Combat Desertification]. </w:t>
      </w:r>
    </w:p>
    <w:p w:rsidR="00F81C41" w:rsidRPr="00DC66BC" w:rsidRDefault="00F81C41" w:rsidP="00F81C41">
      <w:pPr>
        <w:pStyle w:val="Biblio"/>
      </w:pPr>
      <w:r w:rsidRPr="00DC66BC">
        <w:t>Lambin E. (2001). Predicting Land-Use Change. Agriculture, Ecosystems &amp; Environment 85(1-3):1-6.</w:t>
      </w:r>
    </w:p>
    <w:p w:rsidR="00F81C41" w:rsidRPr="00DC66BC" w:rsidRDefault="00F81C41" w:rsidP="00F81C41">
      <w:pPr>
        <w:pStyle w:val="Biblio"/>
      </w:pPr>
      <w:r w:rsidRPr="00DC66BC">
        <w:t xml:space="preserve">Lambin E.F. and H. Geist (eds). (2006). Land-Use and Land-Cover Change Local Processes and Global Impacts. Springer. </w:t>
      </w:r>
    </w:p>
    <w:p w:rsidR="00F81C41" w:rsidRPr="00DC66BC" w:rsidRDefault="00F81C41" w:rsidP="00F81C41">
      <w:pPr>
        <w:pStyle w:val="Biblio"/>
      </w:pPr>
      <w:r w:rsidRPr="00DC66BC">
        <w:t>Le, Q.B. (2012a) Indicators of Global Soils and Land Degradation. Slides of Oral Presentation at the First Global Soil Week, 18-22 November 2012, Berlin, Germany. The First Global Soil Week, Berlin.</w:t>
      </w:r>
    </w:p>
    <w:p w:rsidR="00F81C41" w:rsidRPr="00DC66BC" w:rsidRDefault="00F81C41" w:rsidP="00F81C41">
      <w:pPr>
        <w:pStyle w:val="Biblio"/>
      </w:pPr>
      <w:r w:rsidRPr="00DC66BC">
        <w:t>Le, Q.B., Tamene, L., Vlek, P.L.G. (2012b). Multi-pronged assessment of land degradation in West Africa to assess the importance of atmospheric fertilization in masking the processes involved. Global and Planetary Change 92–93, 71-81.</w:t>
      </w:r>
    </w:p>
    <w:p w:rsidR="00F81C41" w:rsidRPr="00DC66BC" w:rsidRDefault="00F81C41" w:rsidP="00F81C41">
      <w:pPr>
        <w:pStyle w:val="Biblio"/>
      </w:pPr>
      <w:r w:rsidRPr="00DC66BC">
        <w:t>MEA (Millenium Ecosystem Assessment). (2005). Dryland Systems. In Ecosystem and Well-Being: Current State and Trends, edited by R. Hassan, R. Scholes, and N. Ash, 623–662. Washington, DC: Island Press.</w:t>
      </w:r>
    </w:p>
    <w:p w:rsidR="00F81C41" w:rsidRPr="00DC66BC" w:rsidRDefault="00F81C41" w:rsidP="00F81C41">
      <w:pPr>
        <w:pStyle w:val="Biblio"/>
      </w:pPr>
      <w:r w:rsidRPr="00DC66BC">
        <w:t>Meyfroidt P., Rudel T.K., Lambin E. (2010) Forest transitions, trade, and the global displacement of land use. Proceedings of the National Academy of Sciences, 107(49), 20917–20922, www.pnas.org/cgi/doi/10.1073/pnas.1014773107.</w:t>
      </w:r>
    </w:p>
    <w:p w:rsidR="00F81C41" w:rsidRPr="00DC66BC" w:rsidRDefault="00F81C41" w:rsidP="00F81C41">
      <w:pPr>
        <w:pStyle w:val="Biblio"/>
      </w:pPr>
      <w:r w:rsidRPr="00DC66BC">
        <w:t>Milligan, G., &amp; Cooper, M. (1985). An examination of procedures for determining the number of clusters in a data set. Psychometrika, 50(2), 159-179. doi: 10.1007/bf02294245.</w:t>
      </w:r>
    </w:p>
    <w:p w:rsidR="00F81C41" w:rsidRPr="00DC66BC" w:rsidRDefault="00F81C41" w:rsidP="00F81C41">
      <w:pPr>
        <w:pStyle w:val="Biblio"/>
      </w:pPr>
      <w:r w:rsidRPr="00DC66BC">
        <w:t xml:space="preserve">Nachtergaele F, Petri M, Biancalani R, Van Lynden G, and Van Velthuizen H. (2010). Global Land Degradation Information System (GLADIS). Beta Version. An Information Database for Land Degradation Assessment at Global Level. Land Degradation Assessment in Drylands Technical Report, no. 17. FAO, Rome, Italy. </w:t>
      </w:r>
    </w:p>
    <w:p w:rsidR="00F81C41" w:rsidRPr="00DC66BC" w:rsidRDefault="00F81C41" w:rsidP="00F81C41">
      <w:pPr>
        <w:pStyle w:val="Biblio"/>
      </w:pPr>
      <w:r w:rsidRPr="00F45502">
        <w:rPr>
          <w:lang w:val="de-DE"/>
        </w:rPr>
        <w:t xml:space="preserve">Nkonya, E., Gerber N, Baumgartner P, von Braun J, De Pinto A, Graw V, Kato E, Kloos J, Walter T. (2011). </w:t>
      </w:r>
      <w:r w:rsidRPr="00DC66BC">
        <w:t>The Economics of Desertification, Land Degradation, and Drought - Toward an Integrated Global Assessment. ZEF-Discussion Papers on Development Policy No. 150, Center for Development Research (ZEF), Bonn, Germany.</w:t>
      </w:r>
    </w:p>
    <w:p w:rsidR="00F81C41" w:rsidRPr="00DC66BC" w:rsidRDefault="00F81C41" w:rsidP="00F81C41">
      <w:pPr>
        <w:pStyle w:val="Biblio"/>
      </w:pPr>
      <w:r w:rsidRPr="00DC66BC">
        <w:lastRenderedPageBreak/>
        <w:t>Reap, R., F. Roman, S. Duncan and B. Bras. (2008). A survey of unresolved problems in life cycle assessment. The International Journal of Life Cycle Assessment. 3(5): 374-388.</w:t>
      </w:r>
    </w:p>
    <w:p w:rsidR="00F81C41" w:rsidRPr="00DC66BC" w:rsidRDefault="00F81C41" w:rsidP="00F81C41">
      <w:pPr>
        <w:pStyle w:val="Biblio"/>
      </w:pPr>
      <w:r w:rsidRPr="00DC66BC">
        <w:t>Reay, D.S., Dentener, F., Smith, P., Grace, J., Feely, R., (2008). Global nitrogen deposition and carbon sinks. Nature Geoscience 1, 430 - 437.</w:t>
      </w:r>
    </w:p>
    <w:p w:rsidR="00F81C41" w:rsidRPr="00DC66BC" w:rsidRDefault="00F81C41" w:rsidP="00F81C41">
      <w:pPr>
        <w:pStyle w:val="Biblio"/>
      </w:pPr>
      <w:r w:rsidRPr="00DC66BC">
        <w:t>Rebitzer G., T. Ekvall, R. Frischknecht, D. Hunkeler, G. Norris, T. Rydberg, W.-P. Schmidt, S. Suh, B.P. Weidema, D.W. Pennington. (2004). Life cycle assessment Part 1: Framework, goal and scope definition, inventory analysis, and applications. Environment International 30:701– 720.</w:t>
      </w:r>
    </w:p>
    <w:p w:rsidR="00F81C41" w:rsidRPr="00DC66BC" w:rsidRDefault="00F81C41" w:rsidP="00F81C41">
      <w:pPr>
        <w:pStyle w:val="Biblio"/>
      </w:pPr>
      <w:r w:rsidRPr="00DC66BC">
        <w:t>Remoundou, K., Koundouri, P., Kontogianni, A., Nunes, P. A. L. D., &amp; Skourtos, M. (2009). Valuation of natural marine ecosystems: an economic perspective. Environmental Science &amp; Policy, 12(7), 1040-1051. doi: http://dx.doi.org/10.1016/j.envsci.2009.06.006.</w:t>
      </w:r>
    </w:p>
    <w:p w:rsidR="00F81C41" w:rsidRPr="00DC66BC" w:rsidRDefault="00F81C41" w:rsidP="00F81C41">
      <w:pPr>
        <w:pStyle w:val="Biblio"/>
      </w:pPr>
      <w:r w:rsidRPr="00DC66BC">
        <w:t>Rosegrant, M. W., Schleyer, R. G., &amp; Yadav, S. N. (1995). Water policy for efficient agricultural diversification: market-based approaches. Food Policy, 20(3), 203-223. doi: http://dx.doi.org/10.1016/0306-9192(95)00014-6.</w:t>
      </w:r>
    </w:p>
    <w:p w:rsidR="00F81C41" w:rsidRPr="00DC66BC" w:rsidRDefault="00F81C41" w:rsidP="00F81C41">
      <w:pPr>
        <w:pStyle w:val="Biblio"/>
      </w:pPr>
      <w:r w:rsidRPr="00DC66BC">
        <w:t>Sala OE, Chapin FSI, Armesto JJ, Berlow E, Bloomfield J, Dirzo R, Huber-Sanwald E, Huenneke LF, Jackson RB, Kinzig A, Leemans R. Lodge DM, Mooney HA, Oesterheld M, Poff NL, Sykes MT, Walker BH, Walker M, Wall D (2000). Global biodiversity scenarios for the year 2100. Science 287, 1770-1774.</w:t>
      </w:r>
    </w:p>
    <w:p w:rsidR="00F81C41" w:rsidRPr="00EE65D0" w:rsidRDefault="00F81C41" w:rsidP="00F81C41">
      <w:pPr>
        <w:pStyle w:val="Biblio"/>
        <w:rPr>
          <w:lang w:val="en-US"/>
        </w:rPr>
      </w:pPr>
      <w:r w:rsidRPr="00DC66BC">
        <w:t xml:space="preserve">Safriel UN (2007) The assessment of global trends in land degradation. In: M.V.K., S., Ndiang’ui, N. (Eds.), Climate and Land Degradation. pp. 1 - 38. </w:t>
      </w:r>
      <w:r w:rsidRPr="00EE65D0">
        <w:rPr>
          <w:lang w:val="en-US"/>
        </w:rPr>
        <w:t xml:space="preserve">Berlin. Springer Verlag. </w:t>
      </w:r>
    </w:p>
    <w:p w:rsidR="00F81C41" w:rsidRPr="00DC66BC" w:rsidRDefault="00F81C41" w:rsidP="00F81C41">
      <w:pPr>
        <w:pStyle w:val="Biblio"/>
      </w:pPr>
      <w:r w:rsidRPr="00DC66BC">
        <w:t xml:space="preserve">Scherr S (2000) Downward Spiral? Research Evidence on the Relationship between Poverty and Natural Resource Degradation. Food Policy 25 (4): 479–498.  </w:t>
      </w:r>
    </w:p>
    <w:p w:rsidR="00F81C41" w:rsidRPr="00DC66BC" w:rsidRDefault="00F81C41" w:rsidP="00F81C41">
      <w:pPr>
        <w:pStyle w:val="Biblio"/>
      </w:pPr>
      <w:r w:rsidRPr="00DC66BC">
        <w:t xml:space="preserve">TEEB (The Economics of Ecosystems and Biodiversity) (2010) Mainstreaming the Economics of Nature: A Synthesis of the Approach, Conclusions and Recommendations of TEEB. Malta. </w:t>
      </w:r>
    </w:p>
    <w:p w:rsidR="00F81C41" w:rsidRPr="00DC66BC" w:rsidRDefault="00F81C41" w:rsidP="00F81C41">
      <w:pPr>
        <w:pStyle w:val="Biblio"/>
      </w:pPr>
      <w:r w:rsidRPr="00DC66BC">
        <w:t>TerrAfrica. (2006). Assessment of the Nature and Extent of Barriers and Bottlenecks to Scaling Sustainable Land Management Investments throughout Sub-Saharan Africa. Unpublished TerrAfrica report.</w:t>
      </w:r>
    </w:p>
    <w:p w:rsidR="00F81C41" w:rsidRPr="00DC66BC" w:rsidRDefault="00F81C41" w:rsidP="00F81C41">
      <w:pPr>
        <w:pStyle w:val="Biblio"/>
      </w:pPr>
      <w:r w:rsidRPr="00DC66BC">
        <w:t>Toth K., Portele C., A. Illert, M. Lutz and V. Nunes de Lima. (2012). A conceptual model for developing interoperability specifications in spatial data infrastructures. JRC Reference Reports. Online at http://ec.europa.eu/dgs/jrc/index.cfm?id=2540.</w:t>
      </w:r>
    </w:p>
    <w:p w:rsidR="00F81C41" w:rsidRPr="00DC66BC" w:rsidRDefault="00F81C41" w:rsidP="00F81C41">
      <w:pPr>
        <w:pStyle w:val="Biblio"/>
      </w:pPr>
      <w:r w:rsidRPr="00DC66BC">
        <w:t xml:space="preserve">Tucker CJ, Pinzon JE and Brown ME (2004) Global Inventory Modeling and Mapping Studies. NA94apr15b.n11-VIg, 2.0, Global Land Cover Facility, University of Maryland, College Park, Maryland, USA. </w:t>
      </w:r>
    </w:p>
    <w:p w:rsidR="00F81C41" w:rsidRPr="00DC66BC" w:rsidRDefault="00F81C41" w:rsidP="00F81C41">
      <w:pPr>
        <w:pStyle w:val="Biblio"/>
      </w:pPr>
      <w:r w:rsidRPr="00DC66BC">
        <w:t>UNCCD (United Nations Convention to Combat Desertification). 1996. United Nations Convention to Combat Desertification in Countries Experiencing Serious Drought and/or Desertification.</w:t>
      </w:r>
      <w:r>
        <w:t xml:space="preserve"> Bonn. Germany.</w:t>
      </w:r>
    </w:p>
    <w:p w:rsidR="00F81C41" w:rsidRPr="00DC66BC" w:rsidRDefault="00F81C41" w:rsidP="00F81C41">
      <w:pPr>
        <w:pStyle w:val="Biblio"/>
      </w:pPr>
      <w:r w:rsidRPr="00DC66BC">
        <w:t>Vlek, P., G. Rodriguez-Kuhl and R. Sommer. (2004). Energy use and co2 production in tropical agriculture and means and strategies for Reduction or mitigation Environment, Development and Sustainability 6: 213–233.</w:t>
      </w:r>
    </w:p>
    <w:p w:rsidR="00F81C41" w:rsidRPr="00DC66BC" w:rsidRDefault="00F81C41" w:rsidP="00F81C41">
      <w:pPr>
        <w:pStyle w:val="Biblio"/>
      </w:pPr>
      <w:r w:rsidRPr="00DC66BC">
        <w:lastRenderedPageBreak/>
        <w:t>Vlek, P., Le, Q.B., Tamene, L. (2010). Assessment of land degradation, its possible causes and threat to food security in Sub-Saharan Africa. In: Lal, R., Stewart, B.A. (Eds.), Food Security and Soil Quality , pp. 57 - 86. CRC Press, Boca Raton, Florida.</w:t>
      </w:r>
    </w:p>
    <w:p w:rsidR="00F81C41" w:rsidRPr="00DC66BC" w:rsidRDefault="00F81C41" w:rsidP="00F81C41">
      <w:pPr>
        <w:pStyle w:val="Biblio"/>
      </w:pPr>
      <w:r w:rsidRPr="00DC66BC">
        <w:t>Vogt JV, Safriel UN, Von Maltitz G, Sokona Y, Zougmore R, Bastin G, Hill J (2011). Monitoring and assessment of land degradation and desertification: Towards new conceptual and integrated approaches. Land Degradation &amp; Development 22: 150-165.von Braun, J, Gerber N, Mirzabaev A, Nkonya E (2013) The Economics of Land Degradation. ZEF Working Paper 109, Bonn, Germany.</w:t>
      </w:r>
    </w:p>
    <w:p w:rsidR="00F81C41" w:rsidRPr="00DC66BC" w:rsidRDefault="00F81C41" w:rsidP="00F81C41">
      <w:pPr>
        <w:pStyle w:val="Biblio"/>
      </w:pPr>
      <w:r w:rsidRPr="00DC66BC">
        <w:t>von Braun, J., Gerber, N., Mirzabaev, A. and E. Nkonya, (2013) The economics of land degradation. (ZEF Working Papers 109). Bonn, Germany.</w:t>
      </w:r>
    </w:p>
    <w:p w:rsidR="00F81C41" w:rsidRPr="00DC66BC" w:rsidRDefault="00F81C41" w:rsidP="00F81C41">
      <w:pPr>
        <w:pStyle w:val="Biblio"/>
      </w:pPr>
      <w:r w:rsidRPr="00DC66BC">
        <w:t>Yin, R. K. (2003). Applications of case study research. Sage Publications, Thousand Oaks, California.</w:t>
      </w:r>
    </w:p>
    <w:p w:rsidR="00F81C41" w:rsidRPr="00DC66BC" w:rsidRDefault="00F81C41" w:rsidP="00F81C41">
      <w:pPr>
        <w:pStyle w:val="Biblio"/>
      </w:pPr>
      <w:r w:rsidRPr="00DC66BC">
        <w:t xml:space="preserve">Way SA (2006) Examining the Links between Poverty and Land Degradation: From Blaming the Poor toward Recognizing the Rights of the Poor. In Johnson P, Mayrand K, Paquin M (eds) Governing Global Desertification: Linking Environmental Degradation, Poverty, and Participation, Ashgate, Burlington, VT, pp 27–41.  </w:t>
      </w:r>
    </w:p>
    <w:p w:rsidR="00F81C41" w:rsidRPr="00DC66BC" w:rsidRDefault="00F81C41" w:rsidP="00F81C41">
      <w:pPr>
        <w:pStyle w:val="Biblio"/>
      </w:pPr>
      <w:r w:rsidRPr="00DC66BC">
        <w:t>Wassen MJ, Olde Venterink H, Lapshina ED, Tanneberger F (2005) Endangered plants persist under phosphorus limitation. Nature 437: 547-550.</w:t>
      </w:r>
    </w:p>
    <w:p w:rsidR="00A0789D" w:rsidRDefault="00F81C41" w:rsidP="00F81C41">
      <w:pPr>
        <w:pStyle w:val="Biblio"/>
      </w:pPr>
      <w:r w:rsidRPr="00DC66BC">
        <w:t>World Meteorological Organization (2012). WMO greenhouse gases bulletin: the state of greenhouse gases in the atmosphere using global observations through 2011. WMO Greenhouse Gas Bulletin, Switzerland.</w:t>
      </w:r>
      <w:bookmarkStart w:id="13" w:name="_GoBack"/>
      <w:bookmarkEnd w:id="13"/>
    </w:p>
    <w:sectPr w:rsidR="00A0789D">
      <w:pgSz w:w="12240" w:h="15840"/>
      <w:pgMar w:top="1417" w:right="1417" w:bottom="1134"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F7B" w:rsidRDefault="00C42F7B" w:rsidP="00F81C41">
      <w:pPr>
        <w:spacing w:after="0" w:line="240" w:lineRule="auto"/>
      </w:pPr>
      <w:r>
        <w:separator/>
      </w:r>
    </w:p>
  </w:endnote>
  <w:endnote w:type="continuationSeparator" w:id="0">
    <w:p w:rsidR="00C42F7B" w:rsidRDefault="00C42F7B" w:rsidP="00F81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99413"/>
      <w:docPartObj>
        <w:docPartGallery w:val="Page Numbers (Bottom of Page)"/>
        <w:docPartUnique/>
      </w:docPartObj>
    </w:sdtPr>
    <w:sdtContent>
      <w:p w:rsidR="00F81C41" w:rsidRDefault="00F81C41">
        <w:pPr>
          <w:pStyle w:val="Footer"/>
          <w:jc w:val="right"/>
        </w:pPr>
        <w:r w:rsidRPr="00F23FD1">
          <w:rPr>
            <w:rFonts w:asciiTheme="minorHAnsi" w:hAnsiTheme="minorHAnsi"/>
          </w:rPr>
          <w:fldChar w:fldCharType="begin"/>
        </w:r>
        <w:r w:rsidRPr="00F23FD1">
          <w:rPr>
            <w:rFonts w:asciiTheme="minorHAnsi" w:hAnsiTheme="minorHAnsi"/>
          </w:rPr>
          <w:instrText xml:space="preserve"> PAGE   \* MERGEFORMAT </w:instrText>
        </w:r>
        <w:r w:rsidRPr="00F23FD1">
          <w:rPr>
            <w:rFonts w:asciiTheme="minorHAnsi" w:hAnsiTheme="minorHAnsi"/>
          </w:rPr>
          <w:fldChar w:fldCharType="separate"/>
        </w:r>
        <w:r>
          <w:rPr>
            <w:rFonts w:asciiTheme="minorHAnsi" w:hAnsiTheme="minorHAnsi"/>
            <w:noProof/>
          </w:rPr>
          <w:t>1</w:t>
        </w:r>
        <w:r w:rsidRPr="00F23FD1">
          <w:rPr>
            <w:rFonts w:asciiTheme="minorHAnsi" w:hAnsiTheme="minorHAnsi"/>
          </w:rPr>
          <w:fldChar w:fldCharType="end"/>
        </w:r>
      </w:p>
    </w:sdtContent>
  </w:sdt>
  <w:p w:rsidR="00F81C41" w:rsidRDefault="00F81C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F7B" w:rsidRDefault="00C42F7B" w:rsidP="00F81C41">
      <w:pPr>
        <w:spacing w:after="0" w:line="240" w:lineRule="auto"/>
      </w:pPr>
      <w:r>
        <w:separator/>
      </w:r>
    </w:p>
  </w:footnote>
  <w:footnote w:type="continuationSeparator" w:id="0">
    <w:p w:rsidR="00C42F7B" w:rsidRDefault="00C42F7B" w:rsidP="00F81C41">
      <w:pPr>
        <w:spacing w:after="0" w:line="240" w:lineRule="auto"/>
      </w:pPr>
      <w:r>
        <w:continuationSeparator/>
      </w:r>
    </w:p>
  </w:footnote>
  <w:footnote w:id="1">
    <w:p w:rsidR="00F81C41" w:rsidRPr="006E77CB" w:rsidRDefault="00F81C41" w:rsidP="00F81C41">
      <w:pPr>
        <w:pStyle w:val="FootnoteText"/>
        <w:rPr>
          <w:rFonts w:ascii="Times New Roman" w:hAnsi="Times New Roman"/>
        </w:rPr>
      </w:pPr>
      <w:r w:rsidRPr="006E77CB">
        <w:rPr>
          <w:rStyle w:val="FootnoteReference"/>
          <w:rFonts w:ascii="Times New Roman" w:hAnsi="Times New Roman"/>
        </w:rPr>
        <w:footnoteRef/>
      </w:r>
      <w:r w:rsidRPr="006E77CB">
        <w:rPr>
          <w:rFonts w:ascii="Times New Roman" w:hAnsi="Times New Roman"/>
        </w:rPr>
        <w:t xml:space="preserve"> </w:t>
      </w:r>
      <w:r w:rsidRPr="006E77CB">
        <w:rPr>
          <w:rFonts w:ascii="Times New Roman" w:hAnsi="Times New Roman"/>
          <w:noProof/>
        </w:rPr>
        <w:t xml:space="preserve">Milligan and Cooper (1985) conclude, using a Monte Carlo simulation, that </w:t>
      </w:r>
      <w:r w:rsidRPr="006E77CB">
        <w:rPr>
          <w:rFonts w:ascii="Times New Roman" w:hAnsi="Times New Roman"/>
          <w:iCs/>
          <w:noProof/>
        </w:rPr>
        <w:t>Calinsky</w:t>
      </w:r>
      <w:r w:rsidRPr="006E77CB">
        <w:rPr>
          <w:rFonts w:ascii="Times New Roman" w:hAnsi="Times New Roman"/>
          <w:noProof/>
        </w:rPr>
        <w:t xml:space="preserve">-Harabasz stopping rule provides the best results among the 30 stopping rules they have compared.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5B00FE"/>
    <w:multiLevelType w:val="hybridMultilevel"/>
    <w:tmpl w:val="6FDA9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C41"/>
    <w:rsid w:val="0046142B"/>
    <w:rsid w:val="004E41A3"/>
    <w:rsid w:val="007526D9"/>
    <w:rsid w:val="00C42F7B"/>
    <w:rsid w:val="00F81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C41"/>
    <w:rPr>
      <w:rFonts w:ascii="Calibri" w:eastAsia="Calibri" w:hAnsi="Calibri" w:cs="Times New Roman"/>
    </w:rPr>
  </w:style>
  <w:style w:type="paragraph" w:styleId="Heading2">
    <w:name w:val="heading 2"/>
    <w:basedOn w:val="Normal"/>
    <w:next w:val="Normal"/>
    <w:link w:val="Heading2Char"/>
    <w:uiPriority w:val="9"/>
    <w:unhideWhenUsed/>
    <w:qFormat/>
    <w:rsid w:val="00F81C4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1C4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1C4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1C41"/>
    <w:rPr>
      <w:rFonts w:asciiTheme="majorHAnsi" w:eastAsiaTheme="majorEastAsia" w:hAnsiTheme="majorHAnsi" w:cstheme="majorBidi"/>
      <w:b/>
      <w:bCs/>
      <w:color w:val="4F81BD" w:themeColor="accent1"/>
    </w:rPr>
  </w:style>
  <w:style w:type="paragraph" w:styleId="Footer">
    <w:name w:val="footer"/>
    <w:basedOn w:val="Normal"/>
    <w:link w:val="FooterChar"/>
    <w:uiPriority w:val="99"/>
    <w:rsid w:val="00F81C41"/>
    <w:pPr>
      <w:tabs>
        <w:tab w:val="center" w:pos="4680"/>
        <w:tab w:val="right" w:pos="9360"/>
      </w:tabs>
    </w:pPr>
  </w:style>
  <w:style w:type="character" w:customStyle="1" w:styleId="FooterChar">
    <w:name w:val="Footer Char"/>
    <w:basedOn w:val="DefaultParagraphFont"/>
    <w:link w:val="Footer"/>
    <w:uiPriority w:val="99"/>
    <w:rsid w:val="00F81C41"/>
    <w:rPr>
      <w:rFonts w:ascii="Calibri" w:eastAsia="Calibri" w:hAnsi="Calibri" w:cs="Times New Roman"/>
    </w:rPr>
  </w:style>
  <w:style w:type="paragraph" w:styleId="FootnoteText">
    <w:name w:val="footnote text"/>
    <w:aliases w:val="Footnote Text Char1 Char,Footnote Text Char Char Char1,Footnote Text Char1 Char Char Char1,Footnote Text Char1 Char1 Char,Footnote Text Char Char Char Char,Footnote Text Char1 Char Char Char Char,fn,Char,Fußnote,Footnote,DSE note,Geneva 9"/>
    <w:basedOn w:val="Normal"/>
    <w:link w:val="FootnoteTextChar"/>
    <w:uiPriority w:val="99"/>
    <w:unhideWhenUsed/>
    <w:rsid w:val="00F81C41"/>
    <w:pPr>
      <w:spacing w:after="0" w:line="240" w:lineRule="auto"/>
    </w:pPr>
    <w:rPr>
      <w:sz w:val="20"/>
      <w:szCs w:val="20"/>
    </w:rPr>
  </w:style>
  <w:style w:type="character" w:customStyle="1" w:styleId="FootnoteTextChar">
    <w:name w:val="Footnote Text Char"/>
    <w:aliases w:val="Footnote Text Char1 Char Char,Footnote Text Char Char Char1 Char,Footnote Text Char1 Char Char Char1 Char,Footnote Text Char1 Char1 Char Char,Footnote Text Char Char Char Char Char,Footnote Text Char1 Char Char Char Char Char,fn Char"/>
    <w:basedOn w:val="DefaultParagraphFont"/>
    <w:link w:val="FootnoteText"/>
    <w:uiPriority w:val="99"/>
    <w:rsid w:val="00F81C41"/>
    <w:rPr>
      <w:rFonts w:ascii="Calibri" w:eastAsia="Calibri" w:hAnsi="Calibri" w:cs="Times New Roman"/>
      <w:sz w:val="20"/>
      <w:szCs w:val="20"/>
    </w:rPr>
  </w:style>
  <w:style w:type="character" w:styleId="FootnoteReference">
    <w:name w:val="footnote reference"/>
    <w:aliases w:val="16 Point,Superscript 6 Point"/>
    <w:basedOn w:val="DefaultParagraphFont"/>
    <w:uiPriority w:val="99"/>
    <w:unhideWhenUsed/>
    <w:rsid w:val="00F81C41"/>
    <w:rPr>
      <w:vertAlign w:val="superscript"/>
    </w:rPr>
  </w:style>
  <w:style w:type="paragraph" w:customStyle="1" w:styleId="Biblio">
    <w:name w:val="Biblio"/>
    <w:basedOn w:val="Normal"/>
    <w:qFormat/>
    <w:rsid w:val="00F81C41"/>
    <w:pPr>
      <w:tabs>
        <w:tab w:val="left" w:pos="288"/>
      </w:tabs>
      <w:suppressAutoHyphens/>
      <w:spacing w:after="120" w:line="240" w:lineRule="auto"/>
      <w:ind w:left="400" w:hanging="400"/>
      <w:jc w:val="both"/>
    </w:pPr>
    <w:rPr>
      <w:rFonts w:ascii="Times New Roman" w:eastAsia="Times New Roman" w:hAnsi="Times New Roman"/>
      <w:sz w:val="24"/>
      <w:szCs w:val="20"/>
      <w:lang w:val="en-GB"/>
    </w:rPr>
  </w:style>
  <w:style w:type="paragraph" w:customStyle="1" w:styleId="TableTitle">
    <w:name w:val="Table Title"/>
    <w:basedOn w:val="Normal"/>
    <w:qFormat/>
    <w:rsid w:val="00F81C41"/>
    <w:pPr>
      <w:keepNext/>
      <w:tabs>
        <w:tab w:val="left" w:pos="1080"/>
      </w:tabs>
      <w:spacing w:before="240" w:after="120" w:line="240" w:lineRule="auto"/>
    </w:pPr>
    <w:rPr>
      <w:rFonts w:ascii="Times New Roman" w:eastAsia="Times New Roman" w:hAnsi="Times New Roman"/>
      <w:b/>
      <w:szCs w:val="24"/>
    </w:rPr>
  </w:style>
  <w:style w:type="paragraph" w:customStyle="1" w:styleId="Heading1WPa">
    <w:name w:val="Heading 1WP a"/>
    <w:basedOn w:val="Normal"/>
    <w:qFormat/>
    <w:rsid w:val="00F81C41"/>
    <w:pPr>
      <w:keepNext/>
      <w:pageBreakBefore/>
      <w:spacing w:after="360" w:line="240" w:lineRule="auto"/>
      <w:contextualSpacing/>
      <w:outlineLvl w:val="0"/>
    </w:pPr>
    <w:rPr>
      <w:rFonts w:asciiTheme="majorHAnsi" w:eastAsia="Times New Roman" w:hAnsiTheme="majorHAnsi" w:cs="Arial"/>
      <w:b/>
      <w:color w:val="000000"/>
      <w:kern w:val="32"/>
      <w:sz w:val="32"/>
      <w:szCs w:val="32"/>
      <w:lang w:val="de-DE" w:eastAsia="de-DE"/>
    </w:rPr>
  </w:style>
  <w:style w:type="paragraph" w:customStyle="1" w:styleId="Source">
    <w:name w:val="Source"/>
    <w:basedOn w:val="Normal"/>
    <w:link w:val="SourceChar"/>
    <w:qFormat/>
    <w:rsid w:val="00F81C41"/>
    <w:pPr>
      <w:spacing w:after="0" w:line="240" w:lineRule="auto"/>
      <w:contextualSpacing/>
      <w:jc w:val="both"/>
    </w:pPr>
    <w:rPr>
      <w:rFonts w:ascii="Times New Roman" w:eastAsiaTheme="minorEastAsia" w:hAnsi="Times New Roman"/>
      <w:sz w:val="20"/>
      <w:szCs w:val="20"/>
      <w:lang w:val="en-IN" w:eastAsia="en-IN"/>
    </w:rPr>
  </w:style>
  <w:style w:type="character" w:customStyle="1" w:styleId="SourceChar">
    <w:name w:val="Source Char"/>
    <w:basedOn w:val="DefaultParagraphFont"/>
    <w:link w:val="Source"/>
    <w:rsid w:val="00F81C41"/>
    <w:rPr>
      <w:rFonts w:ascii="Times New Roman" w:eastAsiaTheme="minorEastAsia" w:hAnsi="Times New Roman" w:cs="Times New Roman"/>
      <w:sz w:val="20"/>
      <w:szCs w:val="20"/>
      <w:lang w:val="en-IN" w:eastAsia="en-IN"/>
    </w:rPr>
  </w:style>
  <w:style w:type="paragraph" w:styleId="ListParagraph">
    <w:name w:val="List Paragraph"/>
    <w:basedOn w:val="Normal"/>
    <w:link w:val="ListParagraphChar"/>
    <w:uiPriority w:val="34"/>
    <w:qFormat/>
    <w:rsid w:val="00F81C41"/>
    <w:pPr>
      <w:ind w:left="720"/>
      <w:contextualSpacing/>
    </w:pPr>
  </w:style>
  <w:style w:type="character" w:customStyle="1" w:styleId="ListParagraphChar">
    <w:name w:val="List Paragraph Char"/>
    <w:basedOn w:val="DefaultParagraphFont"/>
    <w:link w:val="ListParagraph"/>
    <w:uiPriority w:val="34"/>
    <w:rsid w:val="00F81C41"/>
    <w:rPr>
      <w:rFonts w:ascii="Calibri" w:eastAsia="Calibri" w:hAnsi="Calibri" w:cs="Times New Roman"/>
    </w:rPr>
  </w:style>
  <w:style w:type="paragraph" w:styleId="BalloonText">
    <w:name w:val="Balloon Text"/>
    <w:basedOn w:val="Normal"/>
    <w:link w:val="BalloonTextChar"/>
    <w:uiPriority w:val="99"/>
    <w:semiHidden/>
    <w:unhideWhenUsed/>
    <w:rsid w:val="00F81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C4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C41"/>
    <w:rPr>
      <w:rFonts w:ascii="Calibri" w:eastAsia="Calibri" w:hAnsi="Calibri" w:cs="Times New Roman"/>
    </w:rPr>
  </w:style>
  <w:style w:type="paragraph" w:styleId="Heading2">
    <w:name w:val="heading 2"/>
    <w:basedOn w:val="Normal"/>
    <w:next w:val="Normal"/>
    <w:link w:val="Heading2Char"/>
    <w:uiPriority w:val="9"/>
    <w:unhideWhenUsed/>
    <w:qFormat/>
    <w:rsid w:val="00F81C4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1C4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1C4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1C41"/>
    <w:rPr>
      <w:rFonts w:asciiTheme="majorHAnsi" w:eastAsiaTheme="majorEastAsia" w:hAnsiTheme="majorHAnsi" w:cstheme="majorBidi"/>
      <w:b/>
      <w:bCs/>
      <w:color w:val="4F81BD" w:themeColor="accent1"/>
    </w:rPr>
  </w:style>
  <w:style w:type="paragraph" w:styleId="Footer">
    <w:name w:val="footer"/>
    <w:basedOn w:val="Normal"/>
    <w:link w:val="FooterChar"/>
    <w:uiPriority w:val="99"/>
    <w:rsid w:val="00F81C41"/>
    <w:pPr>
      <w:tabs>
        <w:tab w:val="center" w:pos="4680"/>
        <w:tab w:val="right" w:pos="9360"/>
      </w:tabs>
    </w:pPr>
  </w:style>
  <w:style w:type="character" w:customStyle="1" w:styleId="FooterChar">
    <w:name w:val="Footer Char"/>
    <w:basedOn w:val="DefaultParagraphFont"/>
    <w:link w:val="Footer"/>
    <w:uiPriority w:val="99"/>
    <w:rsid w:val="00F81C41"/>
    <w:rPr>
      <w:rFonts w:ascii="Calibri" w:eastAsia="Calibri" w:hAnsi="Calibri" w:cs="Times New Roman"/>
    </w:rPr>
  </w:style>
  <w:style w:type="paragraph" w:styleId="FootnoteText">
    <w:name w:val="footnote text"/>
    <w:aliases w:val="Footnote Text Char1 Char,Footnote Text Char Char Char1,Footnote Text Char1 Char Char Char1,Footnote Text Char1 Char1 Char,Footnote Text Char Char Char Char,Footnote Text Char1 Char Char Char Char,fn,Char,Fußnote,Footnote,DSE note,Geneva 9"/>
    <w:basedOn w:val="Normal"/>
    <w:link w:val="FootnoteTextChar"/>
    <w:uiPriority w:val="99"/>
    <w:unhideWhenUsed/>
    <w:rsid w:val="00F81C41"/>
    <w:pPr>
      <w:spacing w:after="0" w:line="240" w:lineRule="auto"/>
    </w:pPr>
    <w:rPr>
      <w:sz w:val="20"/>
      <w:szCs w:val="20"/>
    </w:rPr>
  </w:style>
  <w:style w:type="character" w:customStyle="1" w:styleId="FootnoteTextChar">
    <w:name w:val="Footnote Text Char"/>
    <w:aliases w:val="Footnote Text Char1 Char Char,Footnote Text Char Char Char1 Char,Footnote Text Char1 Char Char Char1 Char,Footnote Text Char1 Char1 Char Char,Footnote Text Char Char Char Char Char,Footnote Text Char1 Char Char Char Char Char,fn Char"/>
    <w:basedOn w:val="DefaultParagraphFont"/>
    <w:link w:val="FootnoteText"/>
    <w:uiPriority w:val="99"/>
    <w:rsid w:val="00F81C41"/>
    <w:rPr>
      <w:rFonts w:ascii="Calibri" w:eastAsia="Calibri" w:hAnsi="Calibri" w:cs="Times New Roman"/>
      <w:sz w:val="20"/>
      <w:szCs w:val="20"/>
    </w:rPr>
  </w:style>
  <w:style w:type="character" w:styleId="FootnoteReference">
    <w:name w:val="footnote reference"/>
    <w:aliases w:val="16 Point,Superscript 6 Point"/>
    <w:basedOn w:val="DefaultParagraphFont"/>
    <w:uiPriority w:val="99"/>
    <w:unhideWhenUsed/>
    <w:rsid w:val="00F81C41"/>
    <w:rPr>
      <w:vertAlign w:val="superscript"/>
    </w:rPr>
  </w:style>
  <w:style w:type="paragraph" w:customStyle="1" w:styleId="Biblio">
    <w:name w:val="Biblio"/>
    <w:basedOn w:val="Normal"/>
    <w:qFormat/>
    <w:rsid w:val="00F81C41"/>
    <w:pPr>
      <w:tabs>
        <w:tab w:val="left" w:pos="288"/>
      </w:tabs>
      <w:suppressAutoHyphens/>
      <w:spacing w:after="120" w:line="240" w:lineRule="auto"/>
      <w:ind w:left="400" w:hanging="400"/>
      <w:jc w:val="both"/>
    </w:pPr>
    <w:rPr>
      <w:rFonts w:ascii="Times New Roman" w:eastAsia="Times New Roman" w:hAnsi="Times New Roman"/>
      <w:sz w:val="24"/>
      <w:szCs w:val="20"/>
      <w:lang w:val="en-GB"/>
    </w:rPr>
  </w:style>
  <w:style w:type="paragraph" w:customStyle="1" w:styleId="TableTitle">
    <w:name w:val="Table Title"/>
    <w:basedOn w:val="Normal"/>
    <w:qFormat/>
    <w:rsid w:val="00F81C41"/>
    <w:pPr>
      <w:keepNext/>
      <w:tabs>
        <w:tab w:val="left" w:pos="1080"/>
      </w:tabs>
      <w:spacing w:before="240" w:after="120" w:line="240" w:lineRule="auto"/>
    </w:pPr>
    <w:rPr>
      <w:rFonts w:ascii="Times New Roman" w:eastAsia="Times New Roman" w:hAnsi="Times New Roman"/>
      <w:b/>
      <w:szCs w:val="24"/>
    </w:rPr>
  </w:style>
  <w:style w:type="paragraph" w:customStyle="1" w:styleId="Heading1WPa">
    <w:name w:val="Heading 1WP a"/>
    <w:basedOn w:val="Normal"/>
    <w:qFormat/>
    <w:rsid w:val="00F81C41"/>
    <w:pPr>
      <w:keepNext/>
      <w:pageBreakBefore/>
      <w:spacing w:after="360" w:line="240" w:lineRule="auto"/>
      <w:contextualSpacing/>
      <w:outlineLvl w:val="0"/>
    </w:pPr>
    <w:rPr>
      <w:rFonts w:asciiTheme="majorHAnsi" w:eastAsia="Times New Roman" w:hAnsiTheme="majorHAnsi" w:cs="Arial"/>
      <w:b/>
      <w:color w:val="000000"/>
      <w:kern w:val="32"/>
      <w:sz w:val="32"/>
      <w:szCs w:val="32"/>
      <w:lang w:val="de-DE" w:eastAsia="de-DE"/>
    </w:rPr>
  </w:style>
  <w:style w:type="paragraph" w:customStyle="1" w:styleId="Source">
    <w:name w:val="Source"/>
    <w:basedOn w:val="Normal"/>
    <w:link w:val="SourceChar"/>
    <w:qFormat/>
    <w:rsid w:val="00F81C41"/>
    <w:pPr>
      <w:spacing w:after="0" w:line="240" w:lineRule="auto"/>
      <w:contextualSpacing/>
      <w:jc w:val="both"/>
    </w:pPr>
    <w:rPr>
      <w:rFonts w:ascii="Times New Roman" w:eastAsiaTheme="minorEastAsia" w:hAnsi="Times New Roman"/>
      <w:sz w:val="20"/>
      <w:szCs w:val="20"/>
      <w:lang w:val="en-IN" w:eastAsia="en-IN"/>
    </w:rPr>
  </w:style>
  <w:style w:type="character" w:customStyle="1" w:styleId="SourceChar">
    <w:name w:val="Source Char"/>
    <w:basedOn w:val="DefaultParagraphFont"/>
    <w:link w:val="Source"/>
    <w:rsid w:val="00F81C41"/>
    <w:rPr>
      <w:rFonts w:ascii="Times New Roman" w:eastAsiaTheme="minorEastAsia" w:hAnsi="Times New Roman" w:cs="Times New Roman"/>
      <w:sz w:val="20"/>
      <w:szCs w:val="20"/>
      <w:lang w:val="en-IN" w:eastAsia="en-IN"/>
    </w:rPr>
  </w:style>
  <w:style w:type="paragraph" w:styleId="ListParagraph">
    <w:name w:val="List Paragraph"/>
    <w:basedOn w:val="Normal"/>
    <w:link w:val="ListParagraphChar"/>
    <w:uiPriority w:val="34"/>
    <w:qFormat/>
    <w:rsid w:val="00F81C41"/>
    <w:pPr>
      <w:ind w:left="720"/>
      <w:contextualSpacing/>
    </w:pPr>
  </w:style>
  <w:style w:type="character" w:customStyle="1" w:styleId="ListParagraphChar">
    <w:name w:val="List Paragraph Char"/>
    <w:basedOn w:val="DefaultParagraphFont"/>
    <w:link w:val="ListParagraph"/>
    <w:uiPriority w:val="34"/>
    <w:rsid w:val="00F81C41"/>
    <w:rPr>
      <w:rFonts w:ascii="Calibri" w:eastAsia="Calibri" w:hAnsi="Calibri" w:cs="Times New Roman"/>
    </w:rPr>
  </w:style>
  <w:style w:type="paragraph" w:styleId="BalloonText">
    <w:name w:val="Balloon Text"/>
    <w:basedOn w:val="Normal"/>
    <w:link w:val="BalloonTextChar"/>
    <w:uiPriority w:val="99"/>
    <w:semiHidden/>
    <w:unhideWhenUsed/>
    <w:rsid w:val="00F81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C4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7826</Words>
  <Characters>44612</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Alisher Mirzabaev</dc:creator>
  <cp:lastModifiedBy>Alisher Mirzabaev</cp:lastModifiedBy>
  <cp:revision>1</cp:revision>
  <dcterms:created xsi:type="dcterms:W3CDTF">2015-06-16T16:07:00Z</dcterms:created>
  <dcterms:modified xsi:type="dcterms:W3CDTF">2015-06-16T16:07:00Z</dcterms:modified>
</cp:coreProperties>
</file>