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F58" w:rsidRDefault="00FA5F58" w:rsidP="008A3370">
      <w:pPr>
        <w:rPr>
          <w:b/>
          <w:i/>
          <w:lang w:val="kk-KZ"/>
        </w:rPr>
      </w:pPr>
      <w:r w:rsidRPr="00AD043B">
        <w:rPr>
          <w:b/>
          <w:i/>
          <w:lang w:val="en-US"/>
        </w:rPr>
        <w:t>SWAT</w:t>
      </w:r>
      <w:r>
        <w:rPr>
          <w:b/>
          <w:i/>
        </w:rPr>
        <w:t xml:space="preserve"> </w:t>
      </w:r>
      <w:r>
        <w:rPr>
          <w:b/>
          <w:i/>
          <w:lang w:val="kk-KZ"/>
        </w:rPr>
        <w:t>және</w:t>
      </w:r>
      <w:r w:rsidRPr="00AD043B">
        <w:rPr>
          <w:b/>
          <w:i/>
        </w:rPr>
        <w:t xml:space="preserve"> </w:t>
      </w:r>
      <w:r w:rsidRPr="00AD043B">
        <w:rPr>
          <w:b/>
          <w:i/>
          <w:lang w:val="en-US"/>
        </w:rPr>
        <w:t>RIOS</w:t>
      </w:r>
      <w:r w:rsidRPr="00AD043B">
        <w:rPr>
          <w:b/>
          <w:i/>
        </w:rPr>
        <w:t xml:space="preserve"> </w:t>
      </w:r>
      <w:r>
        <w:rPr>
          <w:b/>
          <w:i/>
          <w:lang w:val="kk-KZ"/>
        </w:rPr>
        <w:t>үлгілері нәтижелерінің негізінде әзірленген аналитикалық жазбахат</w:t>
      </w:r>
    </w:p>
    <w:p w:rsidR="008A3370" w:rsidRPr="009539DF" w:rsidRDefault="008A3370" w:rsidP="008A3370">
      <w:pPr>
        <w:ind w:left="-567"/>
        <w:rPr>
          <w:b/>
          <w:noProof/>
          <w:lang w:val="kk-KZ" w:eastAsia="ru-RU"/>
        </w:rPr>
      </w:pPr>
      <w:r w:rsidRPr="00B87E9D">
        <w:rPr>
          <w:b/>
          <w:noProof/>
          <w:lang w:eastAsia="ru-RU"/>
        </w:rPr>
        <w:drawing>
          <wp:inline distT="0" distB="0" distL="0" distR="0">
            <wp:extent cx="1704975" cy="466725"/>
            <wp:effectExtent l="19050" t="0" r="9525" b="0"/>
            <wp:docPr id="1" name="Рисунок 7" descr="C:\Users\ainozemtseva.CARECECO.000\Desktop\ICARDA-NEW-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C:\Users\ainozemtseva.CARECECO.000\Desktop\ICARDA-NEW-LOGO-1.jpg"/>
                    <pic:cNvPicPr>
                      <a:picLocks noChangeAspect="1" noChangeArrowheads="1"/>
                    </pic:cNvPicPr>
                  </pic:nvPicPr>
                  <pic:blipFill>
                    <a:blip r:embed="rId4" cstate="print"/>
                    <a:srcRect/>
                    <a:stretch>
                      <a:fillRect/>
                    </a:stretch>
                  </pic:blipFill>
                  <pic:spPr bwMode="auto">
                    <a:xfrm>
                      <a:off x="0" y="0"/>
                      <a:ext cx="1704975" cy="466725"/>
                    </a:xfrm>
                    <a:prstGeom prst="rect">
                      <a:avLst/>
                    </a:prstGeom>
                    <a:noFill/>
                    <a:ln w="9525">
                      <a:noFill/>
                      <a:miter lim="800000"/>
                      <a:headEnd/>
                      <a:tailEnd/>
                    </a:ln>
                  </pic:spPr>
                </pic:pic>
              </a:graphicData>
            </a:graphic>
          </wp:inline>
        </w:drawing>
      </w:r>
      <w:r w:rsidRPr="009539DF">
        <w:rPr>
          <w:b/>
          <w:noProof/>
          <w:lang w:val="kk-KZ" w:eastAsia="ru-RU"/>
        </w:rPr>
        <w:t xml:space="preserve">                                                               </w:t>
      </w:r>
      <w:r w:rsidRPr="009539DF">
        <w:rPr>
          <w:b/>
          <w:noProof/>
          <w:lang w:val="kk-KZ" w:eastAsia="ru-RU"/>
        </w:rPr>
        <w:tab/>
        <w:t xml:space="preserve">                                                       </w:t>
      </w:r>
      <w:r w:rsidRPr="00B87E9D">
        <w:rPr>
          <w:b/>
          <w:noProof/>
          <w:lang w:eastAsia="ru-RU"/>
        </w:rPr>
        <w:drawing>
          <wp:inline distT="0" distB="0" distL="0" distR="0">
            <wp:extent cx="457200" cy="409575"/>
            <wp:effectExtent l="19050" t="0" r="0" b="0"/>
            <wp:docPr id="2" name="Рисунок 8" descr="Logo_Carec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Logo_Carec_3"/>
                    <pic:cNvPicPr>
                      <a:picLocks noChangeAspect="1" noChangeArrowheads="1"/>
                    </pic:cNvPicPr>
                  </pic:nvPicPr>
                  <pic:blipFill>
                    <a:blip r:embed="rId5" cstate="print"/>
                    <a:srcRect/>
                    <a:stretch>
                      <a:fillRect/>
                    </a:stretch>
                  </pic:blipFill>
                  <pic:spPr bwMode="auto">
                    <a:xfrm>
                      <a:off x="0" y="0"/>
                      <a:ext cx="457200" cy="409575"/>
                    </a:xfrm>
                    <a:prstGeom prst="rect">
                      <a:avLst/>
                    </a:prstGeom>
                    <a:noFill/>
                    <a:ln w="9525">
                      <a:noFill/>
                      <a:miter lim="800000"/>
                      <a:headEnd/>
                      <a:tailEnd/>
                    </a:ln>
                  </pic:spPr>
                </pic:pic>
              </a:graphicData>
            </a:graphic>
          </wp:inline>
        </w:drawing>
      </w:r>
      <w:r w:rsidRPr="009539DF">
        <w:rPr>
          <w:b/>
          <w:noProof/>
          <w:lang w:val="kk-KZ" w:eastAsia="ru-RU"/>
        </w:rPr>
        <w:tab/>
        <w:t xml:space="preserve"> </w:t>
      </w:r>
    </w:p>
    <w:p w:rsidR="00FA5F58" w:rsidRDefault="00FA5F58" w:rsidP="008A3370">
      <w:pPr>
        <w:spacing w:after="0"/>
        <w:jc w:val="center"/>
        <w:rPr>
          <w:b/>
          <w:noProof/>
          <w:lang w:val="kk-KZ" w:eastAsia="ru-RU"/>
        </w:rPr>
      </w:pPr>
      <w:r>
        <w:rPr>
          <w:b/>
          <w:noProof/>
          <w:lang w:val="kk-KZ" w:eastAsia="ru-RU"/>
        </w:rPr>
        <w:t>Шешімдерді қабылдауға жауапты тұлғалар үшін қысқаша сипаттама</w:t>
      </w:r>
    </w:p>
    <w:p w:rsidR="00FA5F58" w:rsidRDefault="00FA5F58" w:rsidP="008A3370">
      <w:pPr>
        <w:spacing w:after="0"/>
        <w:jc w:val="center"/>
        <w:rPr>
          <w:b/>
          <w:noProof/>
          <w:lang w:val="kk-KZ" w:eastAsia="ru-RU"/>
        </w:rPr>
      </w:pPr>
      <w:r>
        <w:rPr>
          <w:b/>
          <w:noProof/>
          <w:lang w:val="kk-KZ" w:eastAsia="ru-RU"/>
        </w:rPr>
        <w:t>(аналитикалық жазбахат)</w:t>
      </w:r>
    </w:p>
    <w:p w:rsidR="008A3370" w:rsidRPr="00FA5F58" w:rsidRDefault="00FA5F58" w:rsidP="00FA5F58">
      <w:pPr>
        <w:spacing w:after="0"/>
        <w:jc w:val="center"/>
        <w:rPr>
          <w:lang w:val="kk-KZ"/>
        </w:rPr>
      </w:pPr>
      <w:r>
        <w:rPr>
          <w:lang w:val="kk-KZ"/>
        </w:rPr>
        <w:t>«Ауыл шаруашылығындағы су пайдалану тиімділігін арттыру үшін экожү</w:t>
      </w:r>
      <w:r w:rsidR="00CD6320">
        <w:rPr>
          <w:lang w:val="kk-KZ"/>
        </w:rPr>
        <w:t xml:space="preserve">йелік қызметтерді бағалау» </w:t>
      </w:r>
      <w:r w:rsidR="00CD6320">
        <w:rPr>
          <w:lang w:val="en-US"/>
        </w:rPr>
        <w:t>CAREC</w:t>
      </w:r>
      <w:r>
        <w:rPr>
          <w:lang w:val="kk-KZ"/>
        </w:rPr>
        <w:t>/</w:t>
      </w:r>
      <w:r w:rsidRPr="00FA5F58">
        <w:rPr>
          <w:lang w:val="kk-KZ"/>
        </w:rPr>
        <w:t xml:space="preserve"> </w:t>
      </w:r>
      <w:r w:rsidR="00F75681" w:rsidRPr="00F75681">
        <w:rPr>
          <w:lang w:val="kk-KZ"/>
        </w:rPr>
        <w:t xml:space="preserve">ICARDA </w:t>
      </w:r>
      <w:r>
        <w:rPr>
          <w:lang w:val="kk-KZ"/>
        </w:rPr>
        <w:t>жобасының аясында Арыс-Түркістан арнасын зерттеу нәтижелерінің негізінде</w:t>
      </w:r>
    </w:p>
    <w:p w:rsidR="008A3370" w:rsidRPr="00FA5F58" w:rsidRDefault="00FA5F58" w:rsidP="008A3370">
      <w:pPr>
        <w:spacing w:after="0"/>
        <w:jc w:val="both"/>
        <w:rPr>
          <w:b/>
          <w:lang w:val="kk-KZ"/>
        </w:rPr>
      </w:pPr>
      <w:r>
        <w:rPr>
          <w:b/>
          <w:lang w:val="kk-KZ"/>
        </w:rPr>
        <w:t>Қысқаша ақпарат</w:t>
      </w:r>
      <w:bookmarkStart w:id="0" w:name="_GoBack"/>
      <w:bookmarkEnd w:id="0"/>
    </w:p>
    <w:p w:rsidR="008A3370" w:rsidRPr="00675ECF" w:rsidRDefault="00FA5F58" w:rsidP="00675ECF">
      <w:pPr>
        <w:jc w:val="both"/>
        <w:rPr>
          <w:lang w:val="kk-KZ"/>
        </w:rPr>
      </w:pPr>
      <w:r>
        <w:rPr>
          <w:lang w:val="kk-KZ"/>
        </w:rPr>
        <w:t xml:space="preserve">Бөген, Ескі Икан және Қарашық ауылдары кіретін Бөген су қоймасы ауданының жергілікті халқы негізінен мақта, жемістер және көкөністер өндірісімен ұсынылған суармалы егіншілікпен айналысады. Одан басқа, аймақта негізінен үй шаруашылығы аясында ірі және ұсақ қара малды асыраумен ұсынылған мал шаруашылығы да дамыған. Қазіргі уақытта аймақта ауыл шаруашылық дақылдары өндірісінің жалпы ауқымының төмендеуі байқалады, оның ішінде мақтаның да, оның негізгі себептері Сырдария </w:t>
      </w:r>
      <w:r w:rsidR="00675ECF">
        <w:rPr>
          <w:lang w:val="kk-KZ"/>
        </w:rPr>
        <w:t xml:space="preserve">өзенінен және Бөген су қоймасынан келетін су көлемінің төмендеуі, топырақтың құнарлылығына кері әсер ететін су тасқыны және сортаңдау болып табылады. Соңғысы бір жағынан топырақты су басуын тудыратын ескі немесе ақаулы жер асты арналар жүйесінен орын алады. Сонымен қатар же ресурстары пестицидтермен, алаңдардағы тыңайтқыштардың қалдықтарымен ластанған, бұл да аталған жер үлестерінің өнімділігіне және өнім сапасына кері әсер етеді. Мұндай жағдайларда аймақтың тұрақты дамуына алып келуі мүмкін ауыл шаруашылығы және су пайдалану үшін жаңа баламаларды анықтау үшін аталған аумақта су және жер ресурстарын пайдалану үдерісін қайта қарау қажет. </w:t>
      </w:r>
    </w:p>
    <w:p w:rsidR="008A3370" w:rsidRPr="00675ECF" w:rsidRDefault="00675ECF" w:rsidP="008A3370">
      <w:pPr>
        <w:spacing w:after="0"/>
        <w:jc w:val="both"/>
        <w:rPr>
          <w:b/>
          <w:lang w:val="kk-KZ"/>
        </w:rPr>
      </w:pPr>
      <w:r>
        <w:rPr>
          <w:b/>
          <w:lang w:val="kk-KZ"/>
        </w:rPr>
        <w:t>Зерттеу мақсаты</w:t>
      </w:r>
    </w:p>
    <w:p w:rsidR="00675ECF" w:rsidRPr="00675ECF" w:rsidRDefault="00675ECF" w:rsidP="008900C1">
      <w:pPr>
        <w:spacing w:after="0"/>
        <w:jc w:val="both"/>
        <w:rPr>
          <w:lang w:val="kk-KZ"/>
        </w:rPr>
      </w:pPr>
      <w:r>
        <w:rPr>
          <w:lang w:val="kk-KZ"/>
        </w:rPr>
        <w:t xml:space="preserve">Бұл зерттеудің мақсаты  - суару үшін судың аз көлемін қажет ететін ауыл шаруашылық дақылдарының түрлерін ауыстырумен суарудың баламалы амалдарын орнату үшін ауыл шаруашылығын жүргізудің баламалы әдістерін анықтау. Келесі баламалы әдістер ұсынылды: </w:t>
      </w:r>
      <w:r w:rsidRPr="00675ECF">
        <w:rPr>
          <w:lang w:val="kk-KZ"/>
        </w:rPr>
        <w:t>I.</w:t>
      </w:r>
      <w:r>
        <w:rPr>
          <w:lang w:val="kk-KZ"/>
        </w:rPr>
        <w:t xml:space="preserve"> Суарудың ең тиімді әдісі ретінде жаңбырлатқыш және тамшылық суару; </w:t>
      </w:r>
      <w:r w:rsidRPr="00675ECF">
        <w:rPr>
          <w:lang w:val="kk-KZ"/>
        </w:rPr>
        <w:t>II.</w:t>
      </w:r>
      <w:r>
        <w:rPr>
          <w:lang w:val="kk-KZ"/>
        </w:rPr>
        <w:t xml:space="preserve"> Қолданылатын тыңайтқыштардың көлемін азайту; </w:t>
      </w:r>
      <w:r w:rsidRPr="00675ECF">
        <w:rPr>
          <w:lang w:val="kk-KZ"/>
        </w:rPr>
        <w:t>III.</w:t>
      </w:r>
      <w:r>
        <w:rPr>
          <w:lang w:val="kk-KZ"/>
        </w:rPr>
        <w:t xml:space="preserve"> Судың аз көлемін қажет ететін мақтаны дақылдарға ауыстыру (жоңышқа, жүзім және анар).</w:t>
      </w:r>
    </w:p>
    <w:p w:rsidR="008A3370" w:rsidRPr="009539DF" w:rsidRDefault="008A3370" w:rsidP="008A3370">
      <w:pPr>
        <w:spacing w:after="0"/>
        <w:jc w:val="both"/>
        <w:rPr>
          <w:b/>
          <w:highlight w:val="cyan"/>
          <w:lang w:val="kk-KZ"/>
        </w:rPr>
      </w:pPr>
    </w:p>
    <w:p w:rsidR="008A3370" w:rsidRPr="00675ECF" w:rsidRDefault="00675ECF" w:rsidP="008A3370">
      <w:pPr>
        <w:spacing w:after="0"/>
        <w:jc w:val="both"/>
        <w:rPr>
          <w:b/>
          <w:lang w:val="kk-KZ"/>
        </w:rPr>
      </w:pPr>
      <w:r>
        <w:rPr>
          <w:b/>
          <w:lang w:val="kk-KZ"/>
        </w:rPr>
        <w:t xml:space="preserve">Зерттеу нәтижелері </w:t>
      </w:r>
    </w:p>
    <w:p w:rsidR="008A3370" w:rsidRPr="00675ECF" w:rsidRDefault="009E4B29" w:rsidP="008A3370">
      <w:pPr>
        <w:spacing w:after="0"/>
        <w:jc w:val="both"/>
        <w:rPr>
          <w:i/>
          <w:lang w:val="kk-KZ"/>
        </w:rPr>
      </w:pPr>
      <w:r w:rsidRPr="00675ECF">
        <w:rPr>
          <w:i/>
          <w:lang w:val="kk-KZ"/>
        </w:rPr>
        <w:t>RIOS</w:t>
      </w:r>
      <w:r w:rsidR="00675ECF">
        <w:rPr>
          <w:i/>
          <w:lang w:val="kk-KZ"/>
        </w:rPr>
        <w:t xml:space="preserve"> үлгісі бойынша</w:t>
      </w:r>
      <w:r w:rsidRPr="00675ECF">
        <w:rPr>
          <w:i/>
          <w:lang w:val="kk-KZ"/>
        </w:rPr>
        <w:t xml:space="preserve"> (</w:t>
      </w:r>
      <w:r w:rsidR="00675ECF">
        <w:rPr>
          <w:i/>
          <w:lang w:val="kk-KZ"/>
        </w:rPr>
        <w:t>инвестициялық жобалардың тиімділігін бағалайтын үлгі</w:t>
      </w:r>
      <w:r w:rsidR="00AD043B" w:rsidRPr="00675ECF">
        <w:rPr>
          <w:i/>
          <w:lang w:val="kk-KZ"/>
        </w:rPr>
        <w:t xml:space="preserve">). </w:t>
      </w:r>
    </w:p>
    <w:p w:rsidR="00F75681" w:rsidRPr="00F75681" w:rsidRDefault="00F75681" w:rsidP="00B87E9D">
      <w:pPr>
        <w:spacing w:after="0"/>
        <w:jc w:val="both"/>
        <w:rPr>
          <w:lang w:val="kk-KZ"/>
        </w:rPr>
      </w:pPr>
      <w:r>
        <w:rPr>
          <w:lang w:val="kk-KZ"/>
        </w:rPr>
        <w:t>Зерттеу Бөген су қоймасының ауданында орналасқан үш ауылда жүргізілген сауалнама нәтижелеріне сүйенді. Фермерлердің 60</w:t>
      </w:r>
      <w:r w:rsidRPr="00F75681">
        <w:rPr>
          <w:lang w:val="kk-KZ"/>
        </w:rPr>
        <w:t>%</w:t>
      </w:r>
      <w:r>
        <w:rPr>
          <w:lang w:val="kk-KZ"/>
        </w:rPr>
        <w:t xml:space="preserve"> мақта өсіруден баламалы дақылдарды өсіруге және ауыл шаруашылығы дақылдарын өсірудің баламалы әдістеріне, </w:t>
      </w:r>
      <w:r w:rsidR="00DE0DB5">
        <w:rPr>
          <w:lang w:val="kk-KZ"/>
        </w:rPr>
        <w:t xml:space="preserve">мысалы, тамшылы суару арқылы анар, жүзім және жоңышқа сияқты дақылдарға көшуге келісетіндігі орнатылды. Кейбір сұхбаткерлер сонымен қатар тамшылы суару технологиясын пайдаланып мақта өсіру тәжірибесін жалғастыру ниетін білдірді, бұл мақта өндірісінде пайдаланылатын су көлемін қысқартады. </w:t>
      </w:r>
    </w:p>
    <w:p w:rsidR="009C026F" w:rsidRPr="00546E33" w:rsidRDefault="00DE0DB5" w:rsidP="009C026F">
      <w:pPr>
        <w:spacing w:after="0"/>
        <w:jc w:val="both"/>
        <w:rPr>
          <w:lang w:val="kk-KZ"/>
        </w:rPr>
      </w:pPr>
      <w:r>
        <w:rPr>
          <w:lang w:val="kk-KZ"/>
        </w:rPr>
        <w:t xml:space="preserve">Аталған аймақтың аумағында қажетті инвестициялардың жалпы көлемі </w:t>
      </w:r>
      <w:r w:rsidRPr="00DE0DB5">
        <w:rPr>
          <w:lang w:val="kk-KZ"/>
        </w:rPr>
        <w:t>$</w:t>
      </w:r>
      <w:r>
        <w:rPr>
          <w:lang w:val="kk-KZ"/>
        </w:rPr>
        <w:t xml:space="preserve"> 100 млн  тамшылы суару әдісімен мақта өсіру, жаңбырлатып суару әдісі арқылы жоңышқа өндірісі және тамшылы суару әдісімен суарылатын бақ құру сияқты ауыл шаруашылығының әдістерін енгізу ұсынылады. Ұсынылған әдістерге сәйкес, аталған әдістерді жүзеге асыруға бағытталған инвестициялар көлеміне байланысты аймақтың дамуының үш сценарийі әзірленді. (1 кесте)</w:t>
      </w:r>
      <w:r w:rsidR="009C026F" w:rsidRPr="009C026F">
        <w:rPr>
          <w:b/>
          <w:lang w:val="kk-KZ"/>
        </w:rPr>
        <w:t xml:space="preserve"> А </w:t>
      </w:r>
      <w:r w:rsidR="009C026F" w:rsidRPr="00546E33">
        <w:rPr>
          <w:b/>
          <w:lang w:val="kk-KZ"/>
        </w:rPr>
        <w:t>сценариі</w:t>
      </w:r>
      <w:r w:rsidR="009C026F" w:rsidRPr="009C026F">
        <w:rPr>
          <w:lang w:val="kk-KZ"/>
        </w:rPr>
        <w:t xml:space="preserve">: </w:t>
      </w:r>
      <w:r w:rsidR="009C026F" w:rsidRPr="00546E33">
        <w:rPr>
          <w:lang w:val="kk-KZ"/>
        </w:rPr>
        <w:t xml:space="preserve">Инвестицияның </w:t>
      </w:r>
      <w:r w:rsidR="009C026F" w:rsidRPr="009C026F">
        <w:rPr>
          <w:lang w:val="kk-KZ"/>
        </w:rPr>
        <w:t>50</w:t>
      </w:r>
      <w:r w:rsidR="009C026F" w:rsidRPr="00546E33">
        <w:rPr>
          <w:lang w:val="kk-KZ"/>
        </w:rPr>
        <w:t xml:space="preserve"> </w:t>
      </w:r>
      <w:r w:rsidR="009C026F" w:rsidRPr="009C026F">
        <w:rPr>
          <w:lang w:val="kk-KZ"/>
        </w:rPr>
        <w:t>%</w:t>
      </w:r>
      <w:r w:rsidR="009C026F" w:rsidRPr="00546E33">
        <w:rPr>
          <w:b/>
          <w:lang w:val="kk-KZ"/>
        </w:rPr>
        <w:t xml:space="preserve"> </w:t>
      </w:r>
      <w:r w:rsidR="009C026F" w:rsidRPr="00546E33">
        <w:rPr>
          <w:lang w:val="kk-KZ"/>
        </w:rPr>
        <w:t xml:space="preserve">тамшылап – суарылатын бақтарды дамытуға бағыттаған кезде, жылына </w:t>
      </w:r>
      <w:r w:rsidR="009C026F" w:rsidRPr="00546E33">
        <w:rPr>
          <w:lang w:val="kk-KZ"/>
        </w:rPr>
        <w:lastRenderedPageBreak/>
        <w:t>судың жалпы үнемділігі 199.9 миллио</w:t>
      </w:r>
      <w:r w:rsidR="009539DF">
        <w:rPr>
          <w:lang w:val="kk-KZ"/>
        </w:rPr>
        <w:t>н текше метрді құрайды, бұл Бөге</w:t>
      </w:r>
      <w:r w:rsidR="009C026F" w:rsidRPr="00546E33">
        <w:rPr>
          <w:lang w:val="kk-KZ"/>
        </w:rPr>
        <w:t>н су қоймасынан алынатын судың көлемін шамамен</w:t>
      </w:r>
      <w:r w:rsidR="009C026F" w:rsidRPr="009C026F">
        <w:rPr>
          <w:lang w:val="kk-KZ"/>
        </w:rPr>
        <w:t xml:space="preserve"> 16%</w:t>
      </w:r>
      <w:r w:rsidR="009C026F" w:rsidRPr="00546E33">
        <w:rPr>
          <w:lang w:val="kk-KZ"/>
        </w:rPr>
        <w:t>-ға</w:t>
      </w:r>
      <w:r w:rsidR="009C026F" w:rsidRPr="00546E33">
        <w:rPr>
          <w:b/>
          <w:lang w:val="kk-KZ"/>
        </w:rPr>
        <w:t xml:space="preserve"> </w:t>
      </w:r>
      <w:r w:rsidR="009C026F" w:rsidRPr="00546E33">
        <w:rPr>
          <w:lang w:val="kk-KZ"/>
        </w:rPr>
        <w:t xml:space="preserve">азайтады. Сонымен қатар, игеруге жатқызылатын жердің аумағы 37.4 мың гектарды құрайды. </w:t>
      </w:r>
      <w:r w:rsidR="009C026F" w:rsidRPr="00546E33">
        <w:rPr>
          <w:b/>
          <w:lang w:val="kk-KZ"/>
        </w:rPr>
        <w:t>Б сценариі</w:t>
      </w:r>
      <w:r w:rsidR="009C026F" w:rsidRPr="00546E33">
        <w:rPr>
          <w:lang w:val="kk-KZ"/>
        </w:rPr>
        <w:t xml:space="preserve">, тамшылап – суарылатын бақтарды құруға жалпы бюджеттен 70% инвестициялау судың 229 200 000 текше метрінің жылдық үнемделуіне әкеледі, ол </w:t>
      </w:r>
      <w:r w:rsidR="009539DF">
        <w:rPr>
          <w:lang w:val="kk-KZ"/>
        </w:rPr>
        <w:t>Бөге</w:t>
      </w:r>
      <w:r w:rsidR="009539DF" w:rsidRPr="00546E33">
        <w:rPr>
          <w:lang w:val="kk-KZ"/>
        </w:rPr>
        <w:t xml:space="preserve">н </w:t>
      </w:r>
      <w:r w:rsidR="009C026F" w:rsidRPr="00546E33">
        <w:rPr>
          <w:lang w:val="kk-KZ"/>
        </w:rPr>
        <w:t xml:space="preserve">су қоймасынан алынатын судың көлемін 18% төмендетеді. Ауыл шаруашылық дақылдарының барлық үш түрін игеру үшін қажетті жердің аумағы шамамен 38.5 мың гектарды құрайды. </w:t>
      </w:r>
      <w:r w:rsidR="009C026F" w:rsidRPr="00546E33">
        <w:rPr>
          <w:b/>
          <w:lang w:val="kk-KZ"/>
        </w:rPr>
        <w:t>В сценариіне сай</w:t>
      </w:r>
      <w:r w:rsidR="009C026F" w:rsidRPr="00546E33">
        <w:rPr>
          <w:lang w:val="kk-KZ"/>
        </w:rPr>
        <w:t>, тамшылап – суарылатын бақтарды құруға  30% инвестициялаған кезде судың жылдық үнемделуі 181.0 миллион текше метрді құрайды, бұл су қоймасынан алынатын судың көлемін 15% азайтады. Дақылдардың осы түрлері игерілетін жердің аумағы 36.5 мың гектарды құрайды.</w:t>
      </w:r>
    </w:p>
    <w:p w:rsidR="009C026F" w:rsidRPr="00546E33" w:rsidRDefault="009C026F" w:rsidP="009C026F">
      <w:pPr>
        <w:spacing w:after="0"/>
        <w:jc w:val="both"/>
        <w:rPr>
          <w:b/>
          <w:lang w:val="kk-KZ"/>
        </w:rPr>
      </w:pPr>
      <w:r w:rsidRPr="009C026F">
        <w:rPr>
          <w:b/>
          <w:lang w:val="kk-KZ"/>
        </w:rPr>
        <w:t xml:space="preserve">1 </w:t>
      </w:r>
      <w:r w:rsidRPr="00546E33">
        <w:rPr>
          <w:b/>
          <w:lang w:val="kk-KZ"/>
        </w:rPr>
        <w:t>кесте</w:t>
      </w:r>
      <w:r w:rsidRPr="009C026F">
        <w:rPr>
          <w:b/>
          <w:lang w:val="kk-KZ"/>
        </w:rPr>
        <w:t xml:space="preserve">. </w:t>
      </w:r>
      <w:r w:rsidRPr="00546E33">
        <w:rPr>
          <w:b/>
          <w:lang w:val="kk-KZ"/>
        </w:rPr>
        <w:t>Үлгімен ұсынылған өңірді дамытудың сценариі.</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5"/>
        <w:gridCol w:w="822"/>
        <w:gridCol w:w="879"/>
        <w:gridCol w:w="1048"/>
        <w:gridCol w:w="810"/>
        <w:gridCol w:w="984"/>
        <w:gridCol w:w="1081"/>
        <w:gridCol w:w="810"/>
        <w:gridCol w:w="984"/>
        <w:gridCol w:w="1081"/>
      </w:tblGrid>
      <w:tr w:rsidR="009C026F" w:rsidRPr="00546E33" w:rsidTr="00303500">
        <w:tc>
          <w:tcPr>
            <w:tcW w:w="1305" w:type="dxa"/>
            <w:vMerge w:val="restart"/>
          </w:tcPr>
          <w:p w:rsidR="009C026F" w:rsidRPr="00546E33" w:rsidRDefault="009C026F" w:rsidP="00303500">
            <w:pPr>
              <w:spacing w:after="0" w:line="240" w:lineRule="auto"/>
              <w:jc w:val="both"/>
              <w:rPr>
                <w:b/>
                <w:highlight w:val="cyan"/>
                <w:lang w:val="kk-KZ"/>
              </w:rPr>
            </w:pPr>
            <w:r w:rsidRPr="00546E33">
              <w:rPr>
                <w:b/>
                <w:highlight w:val="cyan"/>
                <w:lang w:val="kk-KZ"/>
              </w:rPr>
              <w:t>Әдістері</w:t>
            </w:r>
          </w:p>
        </w:tc>
        <w:tc>
          <w:tcPr>
            <w:tcW w:w="2749" w:type="dxa"/>
            <w:gridSpan w:val="3"/>
            <w:shd w:val="clear" w:color="auto" w:fill="FBD4B4"/>
          </w:tcPr>
          <w:p w:rsidR="009C026F" w:rsidRPr="00546E33" w:rsidRDefault="009C026F" w:rsidP="00303500">
            <w:pPr>
              <w:spacing w:after="0" w:line="240" w:lineRule="auto"/>
            </w:pPr>
            <w:r w:rsidRPr="00546E33">
              <w:rPr>
                <w:b/>
              </w:rPr>
              <w:t xml:space="preserve">А </w:t>
            </w:r>
            <w:r w:rsidRPr="00546E33">
              <w:rPr>
                <w:b/>
                <w:lang w:val="kk-KZ"/>
              </w:rPr>
              <w:t>сценариі</w:t>
            </w:r>
            <w:r w:rsidRPr="00546E33">
              <w:rPr>
                <w:b/>
              </w:rPr>
              <w:t xml:space="preserve">:                              </w:t>
            </w:r>
            <w:r w:rsidRPr="00546E33">
              <w:t>($100 млн)</w:t>
            </w:r>
          </w:p>
          <w:p w:rsidR="009C026F" w:rsidRPr="00546E33" w:rsidRDefault="009C026F" w:rsidP="00303500">
            <w:pPr>
              <w:spacing w:after="0" w:line="240" w:lineRule="auto"/>
              <w:jc w:val="both"/>
              <w:rPr>
                <w:b/>
                <w:highlight w:val="cyan"/>
              </w:rPr>
            </w:pPr>
          </w:p>
        </w:tc>
        <w:tc>
          <w:tcPr>
            <w:tcW w:w="2875" w:type="dxa"/>
            <w:gridSpan w:val="3"/>
            <w:shd w:val="clear" w:color="auto" w:fill="FBD4B4"/>
          </w:tcPr>
          <w:p w:rsidR="009C026F" w:rsidRPr="00546E33" w:rsidRDefault="009C026F" w:rsidP="00303500">
            <w:pPr>
              <w:spacing w:after="0" w:line="240" w:lineRule="auto"/>
            </w:pPr>
            <w:r w:rsidRPr="00546E33">
              <w:rPr>
                <w:b/>
              </w:rPr>
              <w:t xml:space="preserve">Б </w:t>
            </w:r>
            <w:r w:rsidRPr="00546E33">
              <w:rPr>
                <w:b/>
                <w:lang w:val="kk-KZ"/>
              </w:rPr>
              <w:t>сценариі</w:t>
            </w:r>
            <w:r w:rsidRPr="00546E33">
              <w:rPr>
                <w:b/>
              </w:rPr>
              <w:t>:</w:t>
            </w:r>
            <w:r w:rsidRPr="00546E33">
              <w:t xml:space="preserve"> </w:t>
            </w:r>
          </w:p>
          <w:p w:rsidR="009C026F" w:rsidRPr="00546E33" w:rsidRDefault="009C026F" w:rsidP="00303500">
            <w:pPr>
              <w:spacing w:after="0" w:line="240" w:lineRule="auto"/>
              <w:rPr>
                <w:b/>
              </w:rPr>
            </w:pPr>
            <w:r w:rsidRPr="00546E33">
              <w:t>($100 млн)</w:t>
            </w:r>
          </w:p>
        </w:tc>
        <w:tc>
          <w:tcPr>
            <w:tcW w:w="2875" w:type="dxa"/>
            <w:gridSpan w:val="3"/>
            <w:shd w:val="clear" w:color="auto" w:fill="FBD4B4"/>
          </w:tcPr>
          <w:p w:rsidR="009C026F" w:rsidRPr="00546E33" w:rsidRDefault="009C026F" w:rsidP="00303500">
            <w:pPr>
              <w:spacing w:after="0" w:line="240" w:lineRule="auto"/>
            </w:pPr>
            <w:r w:rsidRPr="00546E33">
              <w:rPr>
                <w:b/>
              </w:rPr>
              <w:t xml:space="preserve">В </w:t>
            </w:r>
            <w:r w:rsidRPr="00546E33">
              <w:rPr>
                <w:b/>
                <w:lang w:val="kk-KZ"/>
              </w:rPr>
              <w:t>сценариі</w:t>
            </w:r>
            <w:r w:rsidRPr="00546E33">
              <w:rPr>
                <w:b/>
              </w:rPr>
              <w:t>:</w:t>
            </w:r>
            <w:r w:rsidRPr="00546E33">
              <w:t xml:space="preserve"> </w:t>
            </w:r>
          </w:p>
          <w:p w:rsidR="009C026F" w:rsidRPr="00546E33" w:rsidRDefault="009C026F" w:rsidP="00303500">
            <w:pPr>
              <w:spacing w:after="0" w:line="240" w:lineRule="auto"/>
              <w:rPr>
                <w:b/>
              </w:rPr>
            </w:pPr>
            <w:r w:rsidRPr="00546E33">
              <w:t>($100 млн)</w:t>
            </w:r>
          </w:p>
        </w:tc>
      </w:tr>
      <w:tr w:rsidR="009C026F" w:rsidRPr="00CD6320" w:rsidTr="00303500">
        <w:tc>
          <w:tcPr>
            <w:tcW w:w="1305" w:type="dxa"/>
            <w:vMerge/>
          </w:tcPr>
          <w:p w:rsidR="009C026F" w:rsidRPr="00546E33" w:rsidRDefault="009C026F" w:rsidP="00303500">
            <w:pPr>
              <w:spacing w:after="0" w:line="240" w:lineRule="auto"/>
              <w:jc w:val="both"/>
              <w:rPr>
                <w:b/>
                <w:highlight w:val="cyan"/>
              </w:rPr>
            </w:pPr>
          </w:p>
        </w:tc>
        <w:tc>
          <w:tcPr>
            <w:tcW w:w="822" w:type="dxa"/>
          </w:tcPr>
          <w:p w:rsidR="009C026F" w:rsidRPr="00546E33" w:rsidRDefault="009C026F" w:rsidP="00303500">
            <w:pPr>
              <w:spacing w:after="0" w:line="240" w:lineRule="auto"/>
              <w:jc w:val="both"/>
              <w:rPr>
                <w:b/>
                <w:highlight w:val="cyan"/>
                <w:lang w:val="en-US"/>
              </w:rPr>
            </w:pPr>
            <w:r w:rsidRPr="00546E33">
              <w:rPr>
                <w:lang w:val="kk-KZ"/>
              </w:rPr>
              <w:t>Жоспарланған бюджет</w:t>
            </w:r>
            <w:r w:rsidRPr="00546E33">
              <w:rPr>
                <w:lang w:val="en-US"/>
              </w:rPr>
              <w:t xml:space="preserve"> </w:t>
            </w:r>
            <w:r w:rsidRPr="00546E33">
              <w:rPr>
                <w:b/>
                <w:lang w:val="en-US"/>
              </w:rPr>
              <w:t>(%)</w:t>
            </w:r>
          </w:p>
        </w:tc>
        <w:tc>
          <w:tcPr>
            <w:tcW w:w="879" w:type="dxa"/>
          </w:tcPr>
          <w:p w:rsidR="009C026F" w:rsidRPr="00546E33" w:rsidRDefault="009C026F" w:rsidP="00303500">
            <w:pPr>
              <w:spacing w:after="0" w:line="240" w:lineRule="auto"/>
              <w:jc w:val="both"/>
              <w:rPr>
                <w:lang w:val="kk-KZ"/>
              </w:rPr>
            </w:pPr>
            <w:r w:rsidRPr="00546E33">
              <w:rPr>
                <w:lang w:val="kk-KZ"/>
              </w:rPr>
              <w:t>Игерілген жерлер</w:t>
            </w:r>
          </w:p>
          <w:p w:rsidR="009C026F" w:rsidRPr="00546E33" w:rsidRDefault="009C026F" w:rsidP="00303500">
            <w:pPr>
              <w:spacing w:after="0" w:line="240" w:lineRule="auto"/>
              <w:jc w:val="both"/>
              <w:rPr>
                <w:b/>
                <w:highlight w:val="cyan"/>
                <w:lang w:val="en-US"/>
              </w:rPr>
            </w:pPr>
            <w:r w:rsidRPr="00546E33">
              <w:rPr>
                <w:b/>
                <w:lang w:val="en-US"/>
              </w:rPr>
              <w:t>(</w:t>
            </w:r>
            <w:r w:rsidRPr="00546E33">
              <w:rPr>
                <w:b/>
                <w:lang w:val="kk-KZ"/>
              </w:rPr>
              <w:t>мың гектар</w:t>
            </w:r>
            <w:r w:rsidRPr="00546E33">
              <w:rPr>
                <w:b/>
                <w:lang w:val="en-US"/>
              </w:rPr>
              <w:t>)</w:t>
            </w:r>
          </w:p>
        </w:tc>
        <w:tc>
          <w:tcPr>
            <w:tcW w:w="1048" w:type="dxa"/>
          </w:tcPr>
          <w:p w:rsidR="009C026F" w:rsidRPr="00546E33" w:rsidRDefault="009C026F" w:rsidP="00303500">
            <w:pPr>
              <w:spacing w:after="0" w:line="240" w:lineRule="auto"/>
              <w:jc w:val="both"/>
              <w:rPr>
                <w:b/>
                <w:highlight w:val="cyan"/>
                <w:lang w:val="en-US"/>
              </w:rPr>
            </w:pPr>
            <w:r w:rsidRPr="00546E33">
              <w:rPr>
                <w:lang w:val="kk-KZ"/>
              </w:rPr>
              <w:t>Суды үнемдеу</w:t>
            </w:r>
            <w:r w:rsidRPr="00546E33">
              <w:rPr>
                <w:b/>
                <w:lang w:val="en-US"/>
              </w:rPr>
              <w:t xml:space="preserve"> (</w:t>
            </w:r>
            <w:r w:rsidRPr="00546E33">
              <w:rPr>
                <w:b/>
              </w:rPr>
              <w:t>млн</w:t>
            </w:r>
            <w:r w:rsidRPr="00546E33">
              <w:rPr>
                <w:b/>
                <w:lang w:val="en-US"/>
              </w:rPr>
              <w:t>.</w:t>
            </w:r>
            <w:r w:rsidRPr="00546E33">
              <w:rPr>
                <w:b/>
                <w:lang w:val="kk-KZ"/>
              </w:rPr>
              <w:t>текше м.</w:t>
            </w:r>
            <w:r w:rsidRPr="00546E33">
              <w:rPr>
                <w:b/>
                <w:lang w:val="en-US"/>
              </w:rPr>
              <w:t>/</w:t>
            </w:r>
            <w:r w:rsidRPr="00546E33">
              <w:rPr>
                <w:b/>
                <w:lang w:val="kk-KZ"/>
              </w:rPr>
              <w:t>жыл</w:t>
            </w:r>
            <w:r w:rsidRPr="00546E33">
              <w:rPr>
                <w:b/>
                <w:lang w:val="en-US"/>
              </w:rPr>
              <w:t>)</w:t>
            </w:r>
          </w:p>
        </w:tc>
        <w:tc>
          <w:tcPr>
            <w:tcW w:w="810" w:type="dxa"/>
          </w:tcPr>
          <w:p w:rsidR="009C026F" w:rsidRPr="00546E33" w:rsidRDefault="009C026F" w:rsidP="00303500">
            <w:pPr>
              <w:spacing w:after="0" w:line="240" w:lineRule="auto"/>
              <w:jc w:val="both"/>
              <w:rPr>
                <w:highlight w:val="cyan"/>
              </w:rPr>
            </w:pPr>
            <w:r w:rsidRPr="00546E33">
              <w:rPr>
                <w:lang w:val="kk-KZ"/>
              </w:rPr>
              <w:t>Жоспарланған бюджет</w:t>
            </w:r>
            <w:r w:rsidRPr="00546E33">
              <w:rPr>
                <w:b/>
              </w:rPr>
              <w:t xml:space="preserve"> ( %)</w:t>
            </w:r>
          </w:p>
        </w:tc>
        <w:tc>
          <w:tcPr>
            <w:tcW w:w="984" w:type="dxa"/>
          </w:tcPr>
          <w:p w:rsidR="009C026F" w:rsidRPr="00546E33" w:rsidRDefault="009C026F" w:rsidP="00303500">
            <w:pPr>
              <w:spacing w:after="0" w:line="240" w:lineRule="auto"/>
              <w:jc w:val="both"/>
              <w:rPr>
                <w:lang w:val="kk-KZ"/>
              </w:rPr>
            </w:pPr>
            <w:r w:rsidRPr="00546E33">
              <w:rPr>
                <w:lang w:val="kk-KZ"/>
              </w:rPr>
              <w:t>Игерілген жерлер</w:t>
            </w:r>
          </w:p>
          <w:p w:rsidR="009C026F" w:rsidRPr="00546E33" w:rsidRDefault="009C026F" w:rsidP="00303500">
            <w:pPr>
              <w:spacing w:after="0" w:line="240" w:lineRule="auto"/>
              <w:jc w:val="both"/>
              <w:rPr>
                <w:b/>
                <w:highlight w:val="cyan"/>
              </w:rPr>
            </w:pPr>
            <w:r w:rsidRPr="00546E33">
              <w:rPr>
                <w:b/>
                <w:lang w:val="en-US"/>
              </w:rPr>
              <w:t>(</w:t>
            </w:r>
            <w:r w:rsidRPr="00546E33">
              <w:rPr>
                <w:b/>
                <w:lang w:val="kk-KZ"/>
              </w:rPr>
              <w:t>мың гектар</w:t>
            </w:r>
            <w:r w:rsidRPr="00546E33">
              <w:rPr>
                <w:b/>
                <w:lang w:val="en-US"/>
              </w:rPr>
              <w:t>)</w:t>
            </w:r>
          </w:p>
        </w:tc>
        <w:tc>
          <w:tcPr>
            <w:tcW w:w="1081" w:type="dxa"/>
          </w:tcPr>
          <w:p w:rsidR="009C026F" w:rsidRPr="00546E33" w:rsidRDefault="009C026F" w:rsidP="00303500">
            <w:pPr>
              <w:spacing w:after="0" w:line="240" w:lineRule="auto"/>
              <w:jc w:val="both"/>
              <w:rPr>
                <w:b/>
                <w:highlight w:val="cyan"/>
              </w:rPr>
            </w:pPr>
            <w:r w:rsidRPr="00546E33">
              <w:rPr>
                <w:lang w:val="kk-KZ"/>
              </w:rPr>
              <w:t>Суды үнемдеу</w:t>
            </w:r>
            <w:r w:rsidRPr="00546E33">
              <w:rPr>
                <w:b/>
              </w:rPr>
              <w:t xml:space="preserve"> (млн.</w:t>
            </w:r>
            <w:r w:rsidRPr="00546E33">
              <w:rPr>
                <w:b/>
                <w:lang w:val="kk-KZ"/>
              </w:rPr>
              <w:t>текше м.</w:t>
            </w:r>
            <w:r w:rsidRPr="00546E33">
              <w:rPr>
                <w:b/>
              </w:rPr>
              <w:t>/</w:t>
            </w:r>
            <w:r w:rsidRPr="00546E33">
              <w:rPr>
                <w:b/>
                <w:lang w:val="kk-KZ"/>
              </w:rPr>
              <w:t>жыл</w:t>
            </w:r>
            <w:r w:rsidRPr="00546E33">
              <w:rPr>
                <w:b/>
              </w:rPr>
              <w:t>)</w:t>
            </w:r>
          </w:p>
        </w:tc>
        <w:tc>
          <w:tcPr>
            <w:tcW w:w="810" w:type="dxa"/>
          </w:tcPr>
          <w:p w:rsidR="009C026F" w:rsidRPr="00546E33" w:rsidRDefault="009C026F" w:rsidP="00303500">
            <w:pPr>
              <w:spacing w:after="0" w:line="240" w:lineRule="auto"/>
              <w:jc w:val="both"/>
              <w:rPr>
                <w:b/>
                <w:highlight w:val="cyan"/>
                <w:lang w:val="en-US"/>
              </w:rPr>
            </w:pPr>
            <w:r w:rsidRPr="00546E33">
              <w:rPr>
                <w:lang w:val="kk-KZ"/>
              </w:rPr>
              <w:t>Жоспарланған бюджет</w:t>
            </w:r>
            <w:r w:rsidRPr="00546E33">
              <w:rPr>
                <w:lang w:val="en-US"/>
              </w:rPr>
              <w:t xml:space="preserve"> </w:t>
            </w:r>
            <w:r w:rsidRPr="00546E33">
              <w:rPr>
                <w:b/>
                <w:lang w:val="en-US"/>
              </w:rPr>
              <w:t>(%)</w:t>
            </w:r>
          </w:p>
        </w:tc>
        <w:tc>
          <w:tcPr>
            <w:tcW w:w="984" w:type="dxa"/>
          </w:tcPr>
          <w:p w:rsidR="009C026F" w:rsidRPr="00546E33" w:rsidRDefault="009C026F" w:rsidP="00303500">
            <w:pPr>
              <w:spacing w:after="0" w:line="240" w:lineRule="auto"/>
              <w:jc w:val="both"/>
              <w:rPr>
                <w:lang w:val="kk-KZ"/>
              </w:rPr>
            </w:pPr>
            <w:r w:rsidRPr="00546E33">
              <w:rPr>
                <w:lang w:val="kk-KZ"/>
              </w:rPr>
              <w:t>Игерілген жерлер</w:t>
            </w:r>
          </w:p>
          <w:p w:rsidR="009C026F" w:rsidRPr="00546E33" w:rsidRDefault="009C026F" w:rsidP="00303500">
            <w:pPr>
              <w:spacing w:after="0" w:line="240" w:lineRule="auto"/>
              <w:jc w:val="both"/>
              <w:rPr>
                <w:b/>
                <w:highlight w:val="cyan"/>
                <w:lang w:val="en-US"/>
              </w:rPr>
            </w:pPr>
            <w:r w:rsidRPr="00546E33">
              <w:rPr>
                <w:b/>
                <w:lang w:val="en-US"/>
              </w:rPr>
              <w:t>(</w:t>
            </w:r>
            <w:r w:rsidRPr="00546E33">
              <w:rPr>
                <w:b/>
                <w:lang w:val="kk-KZ"/>
              </w:rPr>
              <w:t>мың гектар</w:t>
            </w:r>
            <w:r w:rsidRPr="00546E33">
              <w:rPr>
                <w:b/>
                <w:lang w:val="en-US"/>
              </w:rPr>
              <w:t>)</w:t>
            </w:r>
          </w:p>
        </w:tc>
        <w:tc>
          <w:tcPr>
            <w:tcW w:w="1081" w:type="dxa"/>
          </w:tcPr>
          <w:p w:rsidR="009C026F" w:rsidRPr="00546E33" w:rsidRDefault="009C026F" w:rsidP="00303500">
            <w:pPr>
              <w:spacing w:after="0" w:line="240" w:lineRule="auto"/>
              <w:jc w:val="both"/>
              <w:rPr>
                <w:b/>
                <w:highlight w:val="cyan"/>
                <w:lang w:val="en-US"/>
              </w:rPr>
            </w:pPr>
            <w:r w:rsidRPr="00546E33">
              <w:rPr>
                <w:lang w:val="kk-KZ"/>
              </w:rPr>
              <w:t>Суды үнемдеу</w:t>
            </w:r>
            <w:r w:rsidRPr="00546E33">
              <w:rPr>
                <w:b/>
                <w:lang w:val="en-US"/>
              </w:rPr>
              <w:t xml:space="preserve"> (</w:t>
            </w:r>
            <w:r w:rsidRPr="00546E33">
              <w:rPr>
                <w:b/>
              </w:rPr>
              <w:t>млн</w:t>
            </w:r>
            <w:r w:rsidRPr="00546E33">
              <w:rPr>
                <w:b/>
                <w:lang w:val="en-US"/>
              </w:rPr>
              <w:t>.</w:t>
            </w:r>
            <w:r w:rsidRPr="00546E33">
              <w:rPr>
                <w:b/>
                <w:lang w:val="kk-KZ"/>
              </w:rPr>
              <w:t>текше м.</w:t>
            </w:r>
            <w:r w:rsidRPr="00546E33">
              <w:rPr>
                <w:b/>
                <w:lang w:val="en-US"/>
              </w:rPr>
              <w:t>/</w:t>
            </w:r>
            <w:r w:rsidRPr="00546E33">
              <w:rPr>
                <w:b/>
                <w:lang w:val="kk-KZ"/>
              </w:rPr>
              <w:t>жыл</w:t>
            </w:r>
            <w:r w:rsidRPr="00546E33">
              <w:rPr>
                <w:b/>
                <w:lang w:val="en-US"/>
              </w:rPr>
              <w:t>)</w:t>
            </w:r>
          </w:p>
        </w:tc>
      </w:tr>
      <w:tr w:rsidR="009C026F" w:rsidRPr="00546E33" w:rsidTr="00303500">
        <w:tc>
          <w:tcPr>
            <w:tcW w:w="1305" w:type="dxa"/>
          </w:tcPr>
          <w:p w:rsidR="009C026F" w:rsidRPr="00546E33" w:rsidRDefault="009C026F" w:rsidP="00303500">
            <w:pPr>
              <w:spacing w:after="0" w:line="240" w:lineRule="auto"/>
              <w:jc w:val="both"/>
              <w:rPr>
                <w:b/>
                <w:lang w:val="kk-KZ"/>
              </w:rPr>
            </w:pPr>
            <w:r w:rsidRPr="00546E33">
              <w:rPr>
                <w:lang w:val="kk-KZ"/>
              </w:rPr>
              <w:t>Тамшылап суарылатын мақта</w:t>
            </w:r>
          </w:p>
        </w:tc>
        <w:tc>
          <w:tcPr>
            <w:tcW w:w="822" w:type="dxa"/>
          </w:tcPr>
          <w:p w:rsidR="009C026F" w:rsidRPr="00546E33" w:rsidRDefault="009C026F" w:rsidP="00303500">
            <w:pPr>
              <w:spacing w:after="0" w:line="240" w:lineRule="auto"/>
              <w:jc w:val="both"/>
              <w:rPr>
                <w:lang w:val="en-US"/>
              </w:rPr>
            </w:pPr>
            <w:r w:rsidRPr="00546E33">
              <w:rPr>
                <w:lang w:val="en-US"/>
              </w:rPr>
              <w:t>30%</w:t>
            </w:r>
          </w:p>
        </w:tc>
        <w:tc>
          <w:tcPr>
            <w:tcW w:w="879" w:type="dxa"/>
          </w:tcPr>
          <w:p w:rsidR="009C026F" w:rsidRPr="00546E33" w:rsidRDefault="009C026F" w:rsidP="00303500">
            <w:pPr>
              <w:spacing w:after="0" w:line="240" w:lineRule="auto"/>
              <w:jc w:val="both"/>
              <w:rPr>
                <w:lang w:val="en-US"/>
              </w:rPr>
            </w:pPr>
            <w:r w:rsidRPr="00546E33">
              <w:rPr>
                <w:lang w:val="en-US"/>
              </w:rPr>
              <w:t>10,7</w:t>
            </w:r>
          </w:p>
        </w:tc>
        <w:tc>
          <w:tcPr>
            <w:tcW w:w="1048" w:type="dxa"/>
          </w:tcPr>
          <w:p w:rsidR="009C026F" w:rsidRPr="00546E33" w:rsidRDefault="009C026F" w:rsidP="00303500">
            <w:pPr>
              <w:spacing w:after="0" w:line="240" w:lineRule="auto"/>
              <w:rPr>
                <w:lang w:val="en-US"/>
              </w:rPr>
            </w:pPr>
            <w:r w:rsidRPr="00546E33">
              <w:rPr>
                <w:lang w:val="en-US"/>
              </w:rPr>
              <w:t>51,9</w:t>
            </w:r>
          </w:p>
        </w:tc>
        <w:tc>
          <w:tcPr>
            <w:tcW w:w="810" w:type="dxa"/>
          </w:tcPr>
          <w:p w:rsidR="009C026F" w:rsidRPr="00546E33" w:rsidRDefault="009C026F" w:rsidP="00303500">
            <w:pPr>
              <w:spacing w:after="0" w:line="240" w:lineRule="auto"/>
              <w:jc w:val="both"/>
              <w:rPr>
                <w:lang w:val="en-US"/>
              </w:rPr>
            </w:pPr>
            <w:r w:rsidRPr="00546E33">
              <w:rPr>
                <w:lang w:val="en-US"/>
              </w:rPr>
              <w:t>20%</w:t>
            </w:r>
          </w:p>
        </w:tc>
        <w:tc>
          <w:tcPr>
            <w:tcW w:w="984" w:type="dxa"/>
          </w:tcPr>
          <w:p w:rsidR="009C026F" w:rsidRPr="00546E33" w:rsidRDefault="009C026F" w:rsidP="00303500">
            <w:pPr>
              <w:spacing w:after="0" w:line="240" w:lineRule="auto"/>
              <w:rPr>
                <w:lang w:val="en-US"/>
              </w:rPr>
            </w:pPr>
            <w:r w:rsidRPr="00546E33">
              <w:rPr>
                <w:lang w:val="en-US"/>
              </w:rPr>
              <w:t>7,1</w:t>
            </w:r>
          </w:p>
        </w:tc>
        <w:tc>
          <w:tcPr>
            <w:tcW w:w="1081" w:type="dxa"/>
          </w:tcPr>
          <w:p w:rsidR="009C026F" w:rsidRPr="00546E33" w:rsidRDefault="009C026F" w:rsidP="00303500">
            <w:pPr>
              <w:spacing w:after="0" w:line="240" w:lineRule="auto"/>
              <w:rPr>
                <w:lang w:val="en-US"/>
              </w:rPr>
            </w:pPr>
            <w:r w:rsidRPr="00546E33">
              <w:rPr>
                <w:lang w:val="en-US"/>
              </w:rPr>
              <w:t>34,6</w:t>
            </w:r>
          </w:p>
        </w:tc>
        <w:tc>
          <w:tcPr>
            <w:tcW w:w="810" w:type="dxa"/>
          </w:tcPr>
          <w:p w:rsidR="009C026F" w:rsidRPr="00546E33" w:rsidRDefault="009C026F" w:rsidP="00303500">
            <w:pPr>
              <w:spacing w:after="0" w:line="240" w:lineRule="auto"/>
              <w:jc w:val="both"/>
              <w:rPr>
                <w:lang w:val="en-US"/>
              </w:rPr>
            </w:pPr>
            <w:r w:rsidRPr="00546E33">
              <w:rPr>
                <w:lang w:val="en-US"/>
              </w:rPr>
              <w:t>50%</w:t>
            </w:r>
          </w:p>
        </w:tc>
        <w:tc>
          <w:tcPr>
            <w:tcW w:w="984" w:type="dxa"/>
          </w:tcPr>
          <w:p w:rsidR="009C026F" w:rsidRPr="00546E33" w:rsidRDefault="009C026F" w:rsidP="00303500">
            <w:pPr>
              <w:spacing w:after="0" w:line="240" w:lineRule="auto"/>
              <w:rPr>
                <w:lang w:val="en-US"/>
              </w:rPr>
            </w:pPr>
            <w:r w:rsidRPr="00546E33">
              <w:rPr>
                <w:lang w:val="en-US"/>
              </w:rPr>
              <w:t>17,9</w:t>
            </w:r>
          </w:p>
        </w:tc>
        <w:tc>
          <w:tcPr>
            <w:tcW w:w="1081" w:type="dxa"/>
          </w:tcPr>
          <w:p w:rsidR="009C026F" w:rsidRPr="00546E33" w:rsidRDefault="009C026F" w:rsidP="00303500">
            <w:pPr>
              <w:spacing w:after="0" w:line="240" w:lineRule="auto"/>
              <w:rPr>
                <w:lang w:val="en-US"/>
              </w:rPr>
            </w:pPr>
            <w:r w:rsidRPr="00546E33">
              <w:rPr>
                <w:lang w:val="en-US"/>
              </w:rPr>
              <w:t>86,6</w:t>
            </w:r>
          </w:p>
        </w:tc>
      </w:tr>
      <w:tr w:rsidR="009C026F" w:rsidRPr="00546E33" w:rsidTr="00303500">
        <w:tc>
          <w:tcPr>
            <w:tcW w:w="1305" w:type="dxa"/>
          </w:tcPr>
          <w:p w:rsidR="009C026F" w:rsidRPr="00546E33" w:rsidRDefault="009C026F" w:rsidP="00303500">
            <w:pPr>
              <w:spacing w:after="0" w:line="240" w:lineRule="auto"/>
              <w:jc w:val="both"/>
              <w:rPr>
                <w:b/>
                <w:lang w:val="kk-KZ"/>
              </w:rPr>
            </w:pPr>
            <w:r w:rsidRPr="00546E33">
              <w:rPr>
                <w:lang w:val="kk-KZ"/>
              </w:rPr>
              <w:t>Жаңбырмен суарылатын жоңышқа</w:t>
            </w:r>
          </w:p>
        </w:tc>
        <w:tc>
          <w:tcPr>
            <w:tcW w:w="822" w:type="dxa"/>
          </w:tcPr>
          <w:p w:rsidR="009C026F" w:rsidRPr="00546E33" w:rsidRDefault="009C026F" w:rsidP="00303500">
            <w:pPr>
              <w:spacing w:after="0" w:line="240" w:lineRule="auto"/>
              <w:jc w:val="both"/>
              <w:rPr>
                <w:lang w:val="en-US"/>
              </w:rPr>
            </w:pPr>
            <w:r w:rsidRPr="00546E33">
              <w:rPr>
                <w:lang w:val="en-US"/>
              </w:rPr>
              <w:t>20%</w:t>
            </w:r>
          </w:p>
        </w:tc>
        <w:tc>
          <w:tcPr>
            <w:tcW w:w="879" w:type="dxa"/>
          </w:tcPr>
          <w:p w:rsidR="009C026F" w:rsidRPr="00546E33" w:rsidRDefault="009C026F" w:rsidP="00303500">
            <w:pPr>
              <w:spacing w:after="0" w:line="240" w:lineRule="auto"/>
              <w:rPr>
                <w:lang w:val="en-US"/>
              </w:rPr>
            </w:pPr>
            <w:r w:rsidRPr="00546E33">
              <w:rPr>
                <w:lang w:val="en-US"/>
              </w:rPr>
              <w:t>6,7</w:t>
            </w:r>
          </w:p>
        </w:tc>
        <w:tc>
          <w:tcPr>
            <w:tcW w:w="1048" w:type="dxa"/>
          </w:tcPr>
          <w:p w:rsidR="009C026F" w:rsidRPr="00546E33" w:rsidRDefault="009C026F" w:rsidP="00303500">
            <w:pPr>
              <w:spacing w:after="0" w:line="240" w:lineRule="auto"/>
              <w:rPr>
                <w:lang w:val="en-US"/>
              </w:rPr>
            </w:pPr>
            <w:r w:rsidRPr="00546E33">
              <w:rPr>
                <w:lang w:val="en-US"/>
              </w:rPr>
              <w:t>14,0</w:t>
            </w:r>
          </w:p>
        </w:tc>
        <w:tc>
          <w:tcPr>
            <w:tcW w:w="810" w:type="dxa"/>
          </w:tcPr>
          <w:p w:rsidR="009C026F" w:rsidRPr="00546E33" w:rsidRDefault="009C026F" w:rsidP="00303500">
            <w:pPr>
              <w:spacing w:after="0" w:line="240" w:lineRule="auto"/>
              <w:jc w:val="both"/>
              <w:rPr>
                <w:lang w:val="en-US"/>
              </w:rPr>
            </w:pPr>
            <w:r w:rsidRPr="00546E33">
              <w:rPr>
                <w:lang w:val="en-US"/>
              </w:rPr>
              <w:t>10%</w:t>
            </w:r>
          </w:p>
        </w:tc>
        <w:tc>
          <w:tcPr>
            <w:tcW w:w="984" w:type="dxa"/>
          </w:tcPr>
          <w:p w:rsidR="009C026F" w:rsidRPr="00546E33" w:rsidRDefault="009C026F" w:rsidP="00303500">
            <w:pPr>
              <w:spacing w:after="0" w:line="240" w:lineRule="auto"/>
              <w:rPr>
                <w:lang w:val="en-US"/>
              </w:rPr>
            </w:pPr>
            <w:r w:rsidRPr="00546E33">
              <w:rPr>
                <w:lang w:val="en-US"/>
              </w:rPr>
              <w:t>3,3</w:t>
            </w:r>
          </w:p>
        </w:tc>
        <w:tc>
          <w:tcPr>
            <w:tcW w:w="1081" w:type="dxa"/>
          </w:tcPr>
          <w:p w:rsidR="009C026F" w:rsidRPr="00546E33" w:rsidRDefault="009C026F" w:rsidP="00303500">
            <w:pPr>
              <w:spacing w:after="0" w:line="240" w:lineRule="auto"/>
              <w:rPr>
                <w:lang w:val="en-US"/>
              </w:rPr>
            </w:pPr>
            <w:r w:rsidRPr="00546E33">
              <w:rPr>
                <w:lang w:val="en-US"/>
              </w:rPr>
              <w:t>7,0</w:t>
            </w:r>
          </w:p>
        </w:tc>
        <w:tc>
          <w:tcPr>
            <w:tcW w:w="810" w:type="dxa"/>
          </w:tcPr>
          <w:p w:rsidR="009C026F" w:rsidRPr="00546E33" w:rsidRDefault="009C026F" w:rsidP="00303500">
            <w:pPr>
              <w:spacing w:after="0" w:line="240" w:lineRule="auto"/>
              <w:jc w:val="both"/>
              <w:rPr>
                <w:lang w:val="en-US"/>
              </w:rPr>
            </w:pPr>
            <w:r w:rsidRPr="00546E33">
              <w:rPr>
                <w:lang w:val="en-US"/>
              </w:rPr>
              <w:t>20%</w:t>
            </w:r>
          </w:p>
        </w:tc>
        <w:tc>
          <w:tcPr>
            <w:tcW w:w="984" w:type="dxa"/>
          </w:tcPr>
          <w:p w:rsidR="009C026F" w:rsidRPr="00546E33" w:rsidRDefault="009C026F" w:rsidP="00303500">
            <w:pPr>
              <w:spacing w:after="0" w:line="240" w:lineRule="auto"/>
              <w:rPr>
                <w:lang w:val="en-US"/>
              </w:rPr>
            </w:pPr>
            <w:r w:rsidRPr="00546E33">
              <w:rPr>
                <w:lang w:val="en-US"/>
              </w:rPr>
              <w:t>6,7</w:t>
            </w:r>
          </w:p>
        </w:tc>
        <w:tc>
          <w:tcPr>
            <w:tcW w:w="1081" w:type="dxa"/>
          </w:tcPr>
          <w:p w:rsidR="009C026F" w:rsidRPr="00546E33" w:rsidRDefault="009C026F" w:rsidP="00303500">
            <w:pPr>
              <w:spacing w:after="0" w:line="240" w:lineRule="auto"/>
              <w:rPr>
                <w:lang w:val="en-US"/>
              </w:rPr>
            </w:pPr>
            <w:r w:rsidRPr="00546E33">
              <w:rPr>
                <w:lang w:val="en-US"/>
              </w:rPr>
              <w:t xml:space="preserve">14,0 </w:t>
            </w:r>
          </w:p>
        </w:tc>
      </w:tr>
      <w:tr w:rsidR="009C026F" w:rsidRPr="00546E33" w:rsidTr="00303500">
        <w:tc>
          <w:tcPr>
            <w:tcW w:w="1305" w:type="dxa"/>
          </w:tcPr>
          <w:p w:rsidR="009C026F" w:rsidRPr="00546E33" w:rsidRDefault="009C026F" w:rsidP="00303500">
            <w:pPr>
              <w:spacing w:after="0" w:line="240" w:lineRule="auto"/>
              <w:jc w:val="both"/>
              <w:rPr>
                <w:b/>
                <w:lang w:val="kk-KZ"/>
              </w:rPr>
            </w:pPr>
            <w:r w:rsidRPr="00546E33">
              <w:rPr>
                <w:lang w:val="kk-KZ"/>
              </w:rPr>
              <w:t>Тамшылап суарылатын бақтар</w:t>
            </w:r>
          </w:p>
        </w:tc>
        <w:tc>
          <w:tcPr>
            <w:tcW w:w="822" w:type="dxa"/>
          </w:tcPr>
          <w:p w:rsidR="009C026F" w:rsidRPr="00546E33" w:rsidRDefault="009C026F" w:rsidP="00303500">
            <w:pPr>
              <w:spacing w:after="0" w:line="240" w:lineRule="auto"/>
              <w:jc w:val="both"/>
              <w:rPr>
                <w:lang w:val="en-US"/>
              </w:rPr>
            </w:pPr>
            <w:r w:rsidRPr="00546E33">
              <w:rPr>
                <w:lang w:val="en-US"/>
              </w:rPr>
              <w:t>50%</w:t>
            </w:r>
          </w:p>
        </w:tc>
        <w:tc>
          <w:tcPr>
            <w:tcW w:w="879" w:type="dxa"/>
          </w:tcPr>
          <w:p w:rsidR="009C026F" w:rsidRPr="00546E33" w:rsidRDefault="009C026F" w:rsidP="00303500">
            <w:pPr>
              <w:spacing w:after="0" w:line="240" w:lineRule="auto"/>
              <w:rPr>
                <w:lang w:val="en-US"/>
              </w:rPr>
            </w:pPr>
            <w:r w:rsidRPr="00546E33">
              <w:rPr>
                <w:lang w:val="en-US"/>
              </w:rPr>
              <w:t xml:space="preserve">20, </w:t>
            </w:r>
          </w:p>
        </w:tc>
        <w:tc>
          <w:tcPr>
            <w:tcW w:w="1048" w:type="dxa"/>
          </w:tcPr>
          <w:p w:rsidR="009C026F" w:rsidRPr="00546E33" w:rsidRDefault="009C026F" w:rsidP="00303500">
            <w:pPr>
              <w:spacing w:after="0" w:line="240" w:lineRule="auto"/>
              <w:rPr>
                <w:lang w:val="en-US"/>
              </w:rPr>
            </w:pPr>
            <w:r w:rsidRPr="00546E33">
              <w:rPr>
                <w:lang w:val="en-US"/>
              </w:rPr>
              <w:t>134,0</w:t>
            </w:r>
          </w:p>
        </w:tc>
        <w:tc>
          <w:tcPr>
            <w:tcW w:w="810" w:type="dxa"/>
          </w:tcPr>
          <w:p w:rsidR="009C026F" w:rsidRPr="00546E33" w:rsidRDefault="009C026F" w:rsidP="00303500">
            <w:pPr>
              <w:spacing w:after="0" w:line="240" w:lineRule="auto"/>
              <w:jc w:val="both"/>
              <w:rPr>
                <w:lang w:val="en-US"/>
              </w:rPr>
            </w:pPr>
            <w:r w:rsidRPr="00546E33">
              <w:rPr>
                <w:lang w:val="en-US"/>
              </w:rPr>
              <w:t>70%</w:t>
            </w:r>
          </w:p>
        </w:tc>
        <w:tc>
          <w:tcPr>
            <w:tcW w:w="984" w:type="dxa"/>
          </w:tcPr>
          <w:p w:rsidR="009C026F" w:rsidRPr="00546E33" w:rsidRDefault="009C026F" w:rsidP="00303500">
            <w:pPr>
              <w:spacing w:after="0" w:line="240" w:lineRule="auto"/>
              <w:rPr>
                <w:lang w:val="en-US"/>
              </w:rPr>
            </w:pPr>
            <w:r w:rsidRPr="00546E33">
              <w:rPr>
                <w:lang w:val="en-US"/>
              </w:rPr>
              <w:t xml:space="preserve">28,0 </w:t>
            </w:r>
          </w:p>
        </w:tc>
        <w:tc>
          <w:tcPr>
            <w:tcW w:w="1081" w:type="dxa"/>
          </w:tcPr>
          <w:p w:rsidR="009C026F" w:rsidRPr="00546E33" w:rsidRDefault="009C026F" w:rsidP="00303500">
            <w:pPr>
              <w:spacing w:after="0" w:line="240" w:lineRule="auto"/>
              <w:rPr>
                <w:lang w:val="en-US"/>
              </w:rPr>
            </w:pPr>
            <w:r w:rsidRPr="00546E33">
              <w:rPr>
                <w:lang w:val="en-US"/>
              </w:rPr>
              <w:t>187,6</w:t>
            </w:r>
          </w:p>
        </w:tc>
        <w:tc>
          <w:tcPr>
            <w:tcW w:w="810" w:type="dxa"/>
          </w:tcPr>
          <w:p w:rsidR="009C026F" w:rsidRPr="00546E33" w:rsidRDefault="009C026F" w:rsidP="00303500">
            <w:pPr>
              <w:spacing w:after="0" w:line="240" w:lineRule="auto"/>
              <w:jc w:val="both"/>
              <w:rPr>
                <w:lang w:val="en-US"/>
              </w:rPr>
            </w:pPr>
            <w:r w:rsidRPr="00546E33">
              <w:rPr>
                <w:lang w:val="en-US"/>
              </w:rPr>
              <w:t>30%</w:t>
            </w:r>
          </w:p>
        </w:tc>
        <w:tc>
          <w:tcPr>
            <w:tcW w:w="984" w:type="dxa"/>
          </w:tcPr>
          <w:p w:rsidR="009C026F" w:rsidRPr="00546E33" w:rsidRDefault="009C026F" w:rsidP="00303500">
            <w:pPr>
              <w:spacing w:after="0" w:line="240" w:lineRule="auto"/>
              <w:rPr>
                <w:lang w:val="en-US"/>
              </w:rPr>
            </w:pPr>
            <w:r w:rsidRPr="00546E33">
              <w:rPr>
                <w:lang w:val="en-US"/>
              </w:rPr>
              <w:t>12,0</w:t>
            </w:r>
          </w:p>
        </w:tc>
        <w:tc>
          <w:tcPr>
            <w:tcW w:w="1081" w:type="dxa"/>
          </w:tcPr>
          <w:p w:rsidR="009C026F" w:rsidRPr="00546E33" w:rsidRDefault="009C026F" w:rsidP="00303500">
            <w:pPr>
              <w:spacing w:after="0" w:line="240" w:lineRule="auto"/>
              <w:rPr>
                <w:lang w:val="en-US"/>
              </w:rPr>
            </w:pPr>
            <w:r w:rsidRPr="00546E33">
              <w:rPr>
                <w:lang w:val="en-US"/>
              </w:rPr>
              <w:t>80,4</w:t>
            </w:r>
          </w:p>
        </w:tc>
      </w:tr>
      <w:tr w:rsidR="009C026F" w:rsidRPr="00546E33" w:rsidTr="00303500">
        <w:tc>
          <w:tcPr>
            <w:tcW w:w="1305" w:type="dxa"/>
          </w:tcPr>
          <w:p w:rsidR="009C026F" w:rsidRPr="00546E33" w:rsidRDefault="009C026F" w:rsidP="00303500">
            <w:pPr>
              <w:spacing w:after="0" w:line="240" w:lineRule="auto"/>
              <w:jc w:val="both"/>
              <w:rPr>
                <w:b/>
                <w:lang w:val="kk-KZ"/>
              </w:rPr>
            </w:pPr>
            <w:r w:rsidRPr="00546E33">
              <w:rPr>
                <w:b/>
                <w:lang w:val="kk-KZ"/>
              </w:rPr>
              <w:t>Қорытынды</w:t>
            </w:r>
          </w:p>
        </w:tc>
        <w:tc>
          <w:tcPr>
            <w:tcW w:w="822" w:type="dxa"/>
          </w:tcPr>
          <w:p w:rsidR="009C026F" w:rsidRPr="00546E33" w:rsidRDefault="009C026F" w:rsidP="00303500">
            <w:pPr>
              <w:spacing w:after="0" w:line="240" w:lineRule="auto"/>
              <w:jc w:val="both"/>
              <w:rPr>
                <w:lang w:val="en-US"/>
              </w:rPr>
            </w:pPr>
            <w:r w:rsidRPr="00546E33">
              <w:rPr>
                <w:lang w:val="en-US"/>
              </w:rPr>
              <w:t>100%</w:t>
            </w:r>
          </w:p>
        </w:tc>
        <w:tc>
          <w:tcPr>
            <w:tcW w:w="879" w:type="dxa"/>
          </w:tcPr>
          <w:p w:rsidR="009C026F" w:rsidRPr="00546E33" w:rsidRDefault="009C026F" w:rsidP="00303500">
            <w:pPr>
              <w:spacing w:after="0" w:line="240" w:lineRule="auto"/>
              <w:rPr>
                <w:lang w:val="en-US"/>
              </w:rPr>
            </w:pPr>
            <w:r w:rsidRPr="00546E33">
              <w:rPr>
                <w:lang w:val="en-US"/>
              </w:rPr>
              <w:t>37,4</w:t>
            </w:r>
          </w:p>
        </w:tc>
        <w:tc>
          <w:tcPr>
            <w:tcW w:w="1048" w:type="dxa"/>
          </w:tcPr>
          <w:p w:rsidR="009C026F" w:rsidRPr="00546E33" w:rsidRDefault="009C026F" w:rsidP="00303500">
            <w:pPr>
              <w:spacing w:after="0" w:line="240" w:lineRule="auto"/>
              <w:rPr>
                <w:b/>
                <w:lang w:val="en-US"/>
              </w:rPr>
            </w:pPr>
            <w:r w:rsidRPr="00546E33">
              <w:rPr>
                <w:b/>
                <w:lang w:val="en-US"/>
              </w:rPr>
              <w:t>199,9</w:t>
            </w:r>
          </w:p>
        </w:tc>
        <w:tc>
          <w:tcPr>
            <w:tcW w:w="810" w:type="dxa"/>
          </w:tcPr>
          <w:p w:rsidR="009C026F" w:rsidRPr="00546E33" w:rsidRDefault="009C026F" w:rsidP="00303500">
            <w:pPr>
              <w:spacing w:after="0" w:line="240" w:lineRule="auto"/>
              <w:jc w:val="both"/>
              <w:rPr>
                <w:b/>
                <w:lang w:val="en-US"/>
              </w:rPr>
            </w:pPr>
            <w:r w:rsidRPr="00546E33">
              <w:rPr>
                <w:lang w:val="en-US"/>
              </w:rPr>
              <w:t>100%</w:t>
            </w:r>
          </w:p>
        </w:tc>
        <w:tc>
          <w:tcPr>
            <w:tcW w:w="984" w:type="dxa"/>
          </w:tcPr>
          <w:p w:rsidR="009C026F" w:rsidRPr="00546E33" w:rsidRDefault="009C026F" w:rsidP="00303500">
            <w:pPr>
              <w:spacing w:after="0" w:line="240" w:lineRule="auto"/>
              <w:rPr>
                <w:lang w:val="en-US"/>
              </w:rPr>
            </w:pPr>
            <w:r w:rsidRPr="00546E33">
              <w:rPr>
                <w:lang w:val="en-US"/>
              </w:rPr>
              <w:t>38,5</w:t>
            </w:r>
          </w:p>
        </w:tc>
        <w:tc>
          <w:tcPr>
            <w:tcW w:w="1081" w:type="dxa"/>
          </w:tcPr>
          <w:p w:rsidR="009C026F" w:rsidRPr="00546E33" w:rsidRDefault="009C026F" w:rsidP="00303500">
            <w:pPr>
              <w:spacing w:after="0" w:line="240" w:lineRule="auto"/>
              <w:rPr>
                <w:b/>
                <w:lang w:val="en-US"/>
              </w:rPr>
            </w:pPr>
            <w:r w:rsidRPr="00546E33">
              <w:rPr>
                <w:b/>
                <w:lang w:val="en-US"/>
              </w:rPr>
              <w:t>229,2</w:t>
            </w:r>
          </w:p>
        </w:tc>
        <w:tc>
          <w:tcPr>
            <w:tcW w:w="810" w:type="dxa"/>
          </w:tcPr>
          <w:p w:rsidR="009C026F" w:rsidRPr="00546E33" w:rsidRDefault="009C026F" w:rsidP="00303500">
            <w:pPr>
              <w:spacing w:after="0" w:line="240" w:lineRule="auto"/>
              <w:jc w:val="both"/>
              <w:rPr>
                <w:b/>
                <w:lang w:val="en-US"/>
              </w:rPr>
            </w:pPr>
            <w:r w:rsidRPr="00546E33">
              <w:rPr>
                <w:lang w:val="en-US"/>
              </w:rPr>
              <w:t>100%</w:t>
            </w:r>
          </w:p>
        </w:tc>
        <w:tc>
          <w:tcPr>
            <w:tcW w:w="984" w:type="dxa"/>
          </w:tcPr>
          <w:p w:rsidR="009C026F" w:rsidRPr="00546E33" w:rsidRDefault="009C026F" w:rsidP="00303500">
            <w:pPr>
              <w:spacing w:after="0" w:line="240" w:lineRule="auto"/>
              <w:rPr>
                <w:lang w:val="en-US"/>
              </w:rPr>
            </w:pPr>
            <w:r w:rsidRPr="00546E33">
              <w:rPr>
                <w:lang w:val="en-US"/>
              </w:rPr>
              <w:t>36,5</w:t>
            </w:r>
          </w:p>
          <w:p w:rsidR="009C026F" w:rsidRPr="00546E33" w:rsidRDefault="009C026F" w:rsidP="00303500">
            <w:pPr>
              <w:spacing w:after="0" w:line="240" w:lineRule="auto"/>
              <w:rPr>
                <w:b/>
                <w:lang w:val="en-US"/>
              </w:rPr>
            </w:pPr>
          </w:p>
        </w:tc>
        <w:tc>
          <w:tcPr>
            <w:tcW w:w="1081" w:type="dxa"/>
          </w:tcPr>
          <w:p w:rsidR="009C026F" w:rsidRPr="00546E33" w:rsidRDefault="009C026F" w:rsidP="00303500">
            <w:pPr>
              <w:spacing w:after="0" w:line="240" w:lineRule="auto"/>
              <w:rPr>
                <w:b/>
                <w:lang w:val="en-US"/>
              </w:rPr>
            </w:pPr>
            <w:r w:rsidRPr="00546E33">
              <w:rPr>
                <w:b/>
                <w:lang w:val="en-US"/>
              </w:rPr>
              <w:t>181,0</w:t>
            </w:r>
          </w:p>
          <w:p w:rsidR="009C026F" w:rsidRPr="00546E33" w:rsidRDefault="009C026F" w:rsidP="00303500">
            <w:pPr>
              <w:spacing w:after="0" w:line="240" w:lineRule="auto"/>
              <w:rPr>
                <w:b/>
                <w:lang w:val="en-US"/>
              </w:rPr>
            </w:pPr>
          </w:p>
        </w:tc>
      </w:tr>
    </w:tbl>
    <w:p w:rsidR="009C026F" w:rsidRPr="00546E33" w:rsidRDefault="009C026F" w:rsidP="009C026F">
      <w:pPr>
        <w:spacing w:after="0"/>
        <w:jc w:val="both"/>
        <w:rPr>
          <w:rFonts w:cs="Calibri"/>
          <w:lang w:val="kk-KZ"/>
        </w:rPr>
      </w:pPr>
      <w:r w:rsidRPr="00546E33">
        <w:rPr>
          <w:rFonts w:cs="Calibri"/>
          <w:lang w:val="kk-KZ"/>
        </w:rPr>
        <w:t xml:space="preserve">Жалпы, сценарилерден көрінгендей, судың үнемделуінің ең көп көлемі тамшылап – суарылатын бақтарға суарумен өсірілетін мақтаға жарамды жерлерді қайта құрған жағдайда қол жеткізілетін болады. Тексерілетін жерлердің жалпы аумағы 128 000 гектарды құрайтындығын атап өту керек. </w:t>
      </w:r>
    </w:p>
    <w:p w:rsidR="009C026F" w:rsidRPr="00546E33" w:rsidRDefault="009C026F" w:rsidP="009C026F">
      <w:pPr>
        <w:spacing w:after="0"/>
        <w:jc w:val="both"/>
        <w:rPr>
          <w:rFonts w:cs="Calibri"/>
          <w:i/>
          <w:lang w:val="kk-KZ"/>
        </w:rPr>
      </w:pPr>
      <w:r w:rsidRPr="00546E33">
        <w:rPr>
          <w:rFonts w:cs="Calibri"/>
          <w:lang w:val="kk-KZ"/>
        </w:rPr>
        <w:t>SWAT-үлгісі бойынша  (</w:t>
      </w:r>
      <w:r w:rsidRPr="00546E33">
        <w:rPr>
          <w:rFonts w:cs="Calibri"/>
          <w:i/>
          <w:lang w:val="kk-KZ"/>
        </w:rPr>
        <w:t>топырақ пен су ресурстарын бағалауға арналған құрал)</w:t>
      </w:r>
      <w:r w:rsidRPr="00546E33">
        <w:rPr>
          <w:rFonts w:cs="Calibri"/>
          <w:lang w:val="kk-KZ"/>
        </w:rPr>
        <w:t>:</w:t>
      </w:r>
    </w:p>
    <w:p w:rsidR="009C026F" w:rsidRPr="00546E33" w:rsidRDefault="009C026F" w:rsidP="009C026F">
      <w:pPr>
        <w:spacing w:after="0"/>
        <w:jc w:val="both"/>
        <w:rPr>
          <w:rFonts w:asciiTheme="minorHAnsi" w:eastAsia="Times New Roman" w:hAnsiTheme="minorHAnsi"/>
          <w:lang w:val="kk-KZ" w:eastAsia="ru-RU"/>
        </w:rPr>
      </w:pPr>
      <w:r w:rsidRPr="00546E33">
        <w:rPr>
          <w:rFonts w:asciiTheme="minorHAnsi" w:eastAsia="Times New Roman" w:hAnsiTheme="minorHAnsi"/>
          <w:lang w:val="kk-KZ" w:eastAsia="ru-RU"/>
        </w:rPr>
        <w:t xml:space="preserve">Сонымен қатар, қажетті шығындар </w:t>
      </w:r>
      <w:r w:rsidRPr="00546E33">
        <w:rPr>
          <w:rFonts w:cs="Calibri"/>
          <w:lang w:val="kk-KZ"/>
        </w:rPr>
        <w:t xml:space="preserve">RIOS үлгісі бойынша болжанатын шығындарды шамамен </w:t>
      </w:r>
      <w:r w:rsidRPr="00546E33">
        <w:rPr>
          <w:rFonts w:asciiTheme="minorHAnsi" w:eastAsia="Times New Roman" w:hAnsiTheme="minorHAnsi"/>
          <w:lang w:val="kk-KZ" w:eastAsia="ru-RU"/>
        </w:rPr>
        <w:t>$ 14 млн арттырады (ресурстарды инвестициялауды оңтайландыру жүйесі). Баламалы сценариді қолданған кезде көлемі 355 млн текше метр болатын судың үнемділігіне қол жеткізуге болады. Сонымен қатар, ауыл шаруашылық егістерінен қайтарымды арындардың көлемі негізгі сценариймен салыстырғанда 0,5 % төмендейді. Судың сапасы жақсарады, себебі егістерден фосфор мен нитратты азоттың жоғаоуы сәйкесінше 0.8% және 4.6% төмендейді. Тамшылап суарылатын мақталарға арналған тыңайтқыштардың көлемі 78 кг/га, тамшылап – суарылатын жүзімге арналғандары – 13 кг/га құрайды, жоңышқаны өсіруге арналған тыңайьқыштар пайдаланылмайды.</w:t>
      </w:r>
    </w:p>
    <w:p w:rsidR="009C026F" w:rsidRPr="00546E33" w:rsidRDefault="009C026F" w:rsidP="009C026F">
      <w:pPr>
        <w:spacing w:after="0"/>
        <w:jc w:val="both"/>
        <w:rPr>
          <w:rFonts w:asciiTheme="minorHAnsi" w:eastAsia="Times New Roman" w:hAnsiTheme="minorHAnsi"/>
          <w:lang w:val="kk-KZ" w:eastAsia="ru-RU"/>
        </w:rPr>
      </w:pPr>
      <w:r w:rsidRPr="00546E33">
        <w:rPr>
          <w:rFonts w:asciiTheme="minorHAnsi" w:eastAsia="Times New Roman" w:hAnsiTheme="minorHAnsi"/>
          <w:lang w:val="kk-KZ" w:eastAsia="ru-RU"/>
        </w:rPr>
        <w:t xml:space="preserve">Осы үлгіде екі сценарий  салыстырылды: негізгі сценарий, яғни, суару әдісімен суарылатын мақтаны және баламалы сценарий, тамшылап суарылатын мақтаны (21,109 га), жоңышқаны (13,598 га) және жүзімді (5,740 га) өсіруге арналған жерлерді қайта құра отырып өңдеу. Салыстыру </w:t>
      </w:r>
      <w:r w:rsidRPr="00546E33">
        <w:rPr>
          <w:rFonts w:asciiTheme="minorHAnsi" w:eastAsia="Times New Roman" w:hAnsiTheme="minorHAnsi"/>
          <w:lang w:val="kk-KZ" w:eastAsia="ru-RU"/>
        </w:rPr>
        <w:lastRenderedPageBreak/>
        <w:t>үшін, негізгі сценарий бойынша, суландыра отырып суару арқылы өсірілетін мақтаға арналған азотты тыңайтқыштардың көлемі 190 кг/га құрайды.</w:t>
      </w:r>
    </w:p>
    <w:p w:rsidR="00DE0DB5" w:rsidRDefault="00DE0DB5" w:rsidP="009C026F">
      <w:pPr>
        <w:spacing w:after="0"/>
        <w:jc w:val="both"/>
        <w:rPr>
          <w:rFonts w:asciiTheme="minorHAnsi" w:eastAsia="Times New Roman" w:hAnsiTheme="minorHAnsi"/>
          <w:lang w:val="kk-KZ" w:eastAsia="ru-RU"/>
        </w:rPr>
      </w:pPr>
      <w:r>
        <w:rPr>
          <w:rFonts w:asciiTheme="minorHAnsi" w:eastAsia="Times New Roman" w:hAnsiTheme="minorHAnsi"/>
          <w:lang w:val="kk-KZ" w:eastAsia="ru-RU"/>
        </w:rPr>
        <w:t>Демек, зерттелетін аумақ климаттық өзгерістермен және ауа райы шарттарымен өрши түскен су тапшылығынан зардап шегуде. Мұндай жағдай аймақтың алдағы дамуы үшін ең тиімді сценарийлерді қолдануды талап етеді. Судың үлкен көлемін қажет ететін бұрынғы суармалы егіншілік тәжірибесінен суды көбірек үнемдейтін дақылдар мен технологияларға көшу үшін бірқатар баламалы әдістер қарастырылды. Аталған баламаларды енгізудің артықшылықтары көрсетілді. Бөген су қоймасынан суландыру қажеттілігі  үшін алынатын судың жылдық үнемділігі  15-18</w:t>
      </w:r>
      <w:r w:rsidRPr="00DE0DB5">
        <w:rPr>
          <w:rFonts w:asciiTheme="minorHAnsi" w:eastAsia="Times New Roman" w:hAnsiTheme="minorHAnsi"/>
          <w:lang w:val="kk-KZ" w:eastAsia="ru-RU"/>
        </w:rPr>
        <w:t>%</w:t>
      </w:r>
      <w:r>
        <w:rPr>
          <w:rFonts w:asciiTheme="minorHAnsi" w:eastAsia="Times New Roman" w:hAnsiTheme="minorHAnsi"/>
          <w:lang w:val="kk-KZ" w:eastAsia="ru-RU"/>
        </w:rPr>
        <w:t xml:space="preserve">-ға сәйкес келуі мүмкін. Қолданылатын тыңайтқыштардың және алаңдардан қайтарылма сулардың көлемінің едәуір төмендеуі байқалды, бұл өз кезегінде топырақ пен су ресурстарының сапасын жақсартады. </w:t>
      </w:r>
    </w:p>
    <w:p w:rsidR="00EB26AA" w:rsidRPr="009539DF" w:rsidRDefault="00EB26AA">
      <w:pPr>
        <w:rPr>
          <w:lang w:val="kk-KZ"/>
        </w:rPr>
      </w:pPr>
    </w:p>
    <w:sectPr w:rsidR="00EB26AA" w:rsidRPr="009539DF" w:rsidSect="00EB26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8A3370"/>
    <w:rsid w:val="00031752"/>
    <w:rsid w:val="00101A7E"/>
    <w:rsid w:val="002410B2"/>
    <w:rsid w:val="002B45BA"/>
    <w:rsid w:val="004323BF"/>
    <w:rsid w:val="005D725C"/>
    <w:rsid w:val="00675ECF"/>
    <w:rsid w:val="00766262"/>
    <w:rsid w:val="007C6DDA"/>
    <w:rsid w:val="008900C1"/>
    <w:rsid w:val="008A3370"/>
    <w:rsid w:val="00902366"/>
    <w:rsid w:val="009539DF"/>
    <w:rsid w:val="009C026F"/>
    <w:rsid w:val="009E4B29"/>
    <w:rsid w:val="00AD043B"/>
    <w:rsid w:val="00B87E9D"/>
    <w:rsid w:val="00CD6320"/>
    <w:rsid w:val="00DE0DB5"/>
    <w:rsid w:val="00EB26AA"/>
    <w:rsid w:val="00EB59E3"/>
    <w:rsid w:val="00F75681"/>
    <w:rsid w:val="00FA5F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37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8A3370"/>
    <w:rPr>
      <w:sz w:val="16"/>
      <w:szCs w:val="16"/>
    </w:rPr>
  </w:style>
  <w:style w:type="paragraph" w:styleId="a4">
    <w:name w:val="annotation text"/>
    <w:basedOn w:val="a"/>
    <w:link w:val="a5"/>
    <w:uiPriority w:val="99"/>
    <w:semiHidden/>
    <w:unhideWhenUsed/>
    <w:rsid w:val="008A3370"/>
    <w:rPr>
      <w:sz w:val="20"/>
      <w:szCs w:val="20"/>
    </w:rPr>
  </w:style>
  <w:style w:type="character" w:customStyle="1" w:styleId="a5">
    <w:name w:val="Текст примечания Знак"/>
    <w:basedOn w:val="a0"/>
    <w:link w:val="a4"/>
    <w:uiPriority w:val="99"/>
    <w:semiHidden/>
    <w:rsid w:val="008A3370"/>
    <w:rPr>
      <w:rFonts w:ascii="Calibri" w:eastAsia="Calibri" w:hAnsi="Calibri" w:cs="Times New Roman"/>
      <w:sz w:val="20"/>
      <w:szCs w:val="20"/>
    </w:rPr>
  </w:style>
  <w:style w:type="paragraph" w:styleId="a6">
    <w:name w:val="Balloon Text"/>
    <w:basedOn w:val="a"/>
    <w:link w:val="a7"/>
    <w:uiPriority w:val="99"/>
    <w:semiHidden/>
    <w:unhideWhenUsed/>
    <w:rsid w:val="008A337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A337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37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8A3370"/>
    <w:rPr>
      <w:sz w:val="16"/>
      <w:szCs w:val="16"/>
    </w:rPr>
  </w:style>
  <w:style w:type="paragraph" w:styleId="a4">
    <w:name w:val="annotation text"/>
    <w:basedOn w:val="a"/>
    <w:link w:val="a5"/>
    <w:uiPriority w:val="99"/>
    <w:semiHidden/>
    <w:unhideWhenUsed/>
    <w:rsid w:val="008A3370"/>
    <w:rPr>
      <w:sz w:val="20"/>
      <w:szCs w:val="20"/>
    </w:rPr>
  </w:style>
  <w:style w:type="character" w:customStyle="1" w:styleId="a5">
    <w:name w:val="Текст примечания Знак"/>
    <w:basedOn w:val="a0"/>
    <w:link w:val="a4"/>
    <w:uiPriority w:val="99"/>
    <w:semiHidden/>
    <w:rsid w:val="008A3370"/>
    <w:rPr>
      <w:rFonts w:ascii="Calibri" w:eastAsia="Calibri" w:hAnsi="Calibri" w:cs="Times New Roman"/>
      <w:sz w:val="20"/>
      <w:szCs w:val="20"/>
    </w:rPr>
  </w:style>
  <w:style w:type="paragraph" w:styleId="a6">
    <w:name w:val="Balloon Text"/>
    <w:basedOn w:val="a"/>
    <w:link w:val="a7"/>
    <w:uiPriority w:val="99"/>
    <w:semiHidden/>
    <w:unhideWhenUsed/>
    <w:rsid w:val="008A337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A3370"/>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1027</Words>
  <Characters>5858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bzhumagazina</dc:creator>
  <cp:lastModifiedBy>bzhumagazina</cp:lastModifiedBy>
  <cp:revision>2</cp:revision>
  <dcterms:created xsi:type="dcterms:W3CDTF">2016-01-19T10:14:00Z</dcterms:created>
  <dcterms:modified xsi:type="dcterms:W3CDTF">2016-01-19T10:14:00Z</dcterms:modified>
</cp:coreProperties>
</file>