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A63AF" w14:textId="77777777" w:rsidR="00E60353" w:rsidRPr="00D70820" w:rsidRDefault="00E60353" w:rsidP="00E60353">
      <w:pPr>
        <w:rPr>
          <w:lang w:val="en-US"/>
        </w:rPr>
      </w:pPr>
    </w:p>
    <w:p w14:paraId="247F3965" w14:textId="77777777" w:rsidR="00E60353" w:rsidRDefault="00E60353" w:rsidP="00E60353">
      <w:pPr>
        <w:rPr>
          <w:lang w:val="en-US"/>
        </w:rPr>
      </w:pPr>
    </w:p>
    <w:p w14:paraId="3FC9A53E" w14:textId="77777777" w:rsidR="00E60353" w:rsidRPr="00D70820" w:rsidRDefault="00E60353" w:rsidP="00E60353">
      <w:pPr>
        <w:rPr>
          <w:lang w:val="en-US"/>
        </w:rPr>
      </w:pPr>
    </w:p>
    <w:p w14:paraId="35D5154A" w14:textId="28B189DC" w:rsidR="00E60353" w:rsidRDefault="008D1A55" w:rsidP="00E60353">
      <w:pPr>
        <w:pStyle w:val="IntenseQuote"/>
        <w:rPr>
          <w:b/>
          <w:i w:val="0"/>
          <w:sz w:val="44"/>
          <w:lang w:val="en-US"/>
        </w:rPr>
      </w:pPr>
      <w:r w:rsidRPr="008D1A55">
        <w:rPr>
          <w:b/>
          <w:i w:val="0"/>
          <w:sz w:val="44"/>
          <w:lang w:val="en-US"/>
        </w:rPr>
        <w:t>Agricultural and Syrian refugees in Jordan: current situation and opportunities ahead</w:t>
      </w:r>
    </w:p>
    <w:p w14:paraId="4A9E8296" w14:textId="43162741" w:rsidR="00E60353" w:rsidRDefault="00D75C16" w:rsidP="00E60353">
      <w:pPr>
        <w:pStyle w:val="IntenseQuote"/>
        <w:rPr>
          <w:lang w:val="en-US"/>
        </w:rPr>
      </w:pPr>
      <w:r>
        <w:rPr>
          <w:sz w:val="40"/>
          <w:szCs w:val="40"/>
          <w:lang w:val="en-US"/>
        </w:rPr>
        <w:t>Methodology</w:t>
      </w:r>
      <w:r w:rsidR="00E60353">
        <w:rPr>
          <w:lang w:val="en-US"/>
        </w:rPr>
        <w:br w:type="page"/>
      </w:r>
    </w:p>
    <w:p w14:paraId="52913BD3" w14:textId="27BFC78C" w:rsidR="002A55E7" w:rsidRPr="00326527" w:rsidRDefault="00157790" w:rsidP="00326527">
      <w:pPr>
        <w:spacing w:before="100" w:beforeAutospacing="1" w:after="0"/>
        <w:rPr>
          <w:rFonts w:ascii="Times New Roman" w:eastAsia="Times New Roman" w:hAnsi="Times New Roman" w:cs="Times New Roman"/>
          <w:szCs w:val="24"/>
          <w:lang w:val="en-US"/>
        </w:rPr>
      </w:pPr>
      <w:r w:rsidRPr="00326527">
        <w:rPr>
          <w:rFonts w:ascii="Times New Roman" w:eastAsia="Times New Roman" w:hAnsi="Times New Roman" w:cs="Times New Roman"/>
          <w:i/>
          <w:szCs w:val="24"/>
          <w:lang w:val="en-US"/>
        </w:rPr>
        <w:lastRenderedPageBreak/>
        <w:t xml:space="preserve">The commissioned study seeks to create baselines of beneficiaries in selected locations and to identify target households residing outside camps and living on </w:t>
      </w:r>
      <w:r>
        <w:rPr>
          <w:rFonts w:ascii="Times New Roman" w:eastAsia="Times New Roman" w:hAnsi="Times New Roman" w:cs="Times New Roman"/>
          <w:i/>
          <w:szCs w:val="24"/>
          <w:lang w:val="en-US"/>
        </w:rPr>
        <w:t>households</w:t>
      </w:r>
      <w:r w:rsidRPr="00326527">
        <w:rPr>
          <w:rFonts w:ascii="Times New Roman" w:eastAsia="Times New Roman" w:hAnsi="Times New Roman" w:cs="Times New Roman"/>
          <w:i/>
          <w:szCs w:val="24"/>
          <w:lang w:val="en-US"/>
        </w:rPr>
        <w:t>, while ensuring that the livelihoods and socio-economic profile of these populations are understood</w:t>
      </w:r>
      <w:r>
        <w:rPr>
          <w:rFonts w:ascii="Times New Roman" w:eastAsia="Times New Roman" w:hAnsi="Times New Roman" w:cs="Times New Roman"/>
          <w:szCs w:val="24"/>
          <w:lang w:val="en-US"/>
        </w:rPr>
        <w:t>.</w:t>
      </w:r>
    </w:p>
    <w:p w14:paraId="28B0EF5C" w14:textId="77777777" w:rsidR="002A55E7" w:rsidRDefault="002A55E7" w:rsidP="00E60353">
      <w:pPr>
        <w:pStyle w:val="TOC1"/>
        <w:spacing w:after="0"/>
        <w:rPr>
          <w:lang w:val="en-US"/>
        </w:rPr>
      </w:pPr>
    </w:p>
    <w:p w14:paraId="5A625341" w14:textId="77777777" w:rsidR="00E60353" w:rsidRPr="00890181" w:rsidRDefault="00E60353" w:rsidP="00E60353">
      <w:pPr>
        <w:pStyle w:val="TOC1"/>
        <w:spacing w:after="0"/>
        <w:rPr>
          <w:lang w:val="en-US"/>
        </w:rPr>
      </w:pPr>
      <w:r w:rsidRPr="00890181">
        <w:rPr>
          <w:lang w:val="en-US"/>
        </w:rPr>
        <w:t>AUTHORS</w:t>
      </w:r>
    </w:p>
    <w:p w14:paraId="0920C533" w14:textId="77777777" w:rsidR="00E60353" w:rsidRPr="00890181" w:rsidRDefault="00E60353" w:rsidP="00E60353">
      <w:pPr>
        <w:spacing w:after="0"/>
        <w:rPr>
          <w:lang w:val="en-US"/>
        </w:rPr>
      </w:pPr>
      <w:proofErr w:type="spellStart"/>
      <w:r w:rsidRPr="00890181">
        <w:rPr>
          <w:lang w:val="en-US"/>
        </w:rPr>
        <w:t>Boundia</w:t>
      </w:r>
      <w:proofErr w:type="spellEnd"/>
      <w:r w:rsidRPr="00890181">
        <w:rPr>
          <w:lang w:val="en-US"/>
        </w:rPr>
        <w:t xml:space="preserve"> Alexandre Thiombiano (</w:t>
      </w:r>
      <w:r>
        <w:rPr>
          <w:rStyle w:val="FootnoteReference"/>
        </w:rPr>
        <w:footnoteReference w:id="1"/>
      </w:r>
      <w:r w:rsidRPr="00890181">
        <w:rPr>
          <w:lang w:val="en-US"/>
        </w:rPr>
        <w:t xml:space="preserve">); </w:t>
      </w:r>
    </w:p>
    <w:p w14:paraId="4939EE2C" w14:textId="77777777" w:rsidR="00E60353" w:rsidRPr="00890181" w:rsidRDefault="00E60353" w:rsidP="00E60353">
      <w:pPr>
        <w:pStyle w:val="TOC1"/>
        <w:spacing w:after="0"/>
        <w:rPr>
          <w:lang w:val="en-US"/>
        </w:rPr>
      </w:pPr>
    </w:p>
    <w:p w14:paraId="4E72F41C" w14:textId="77777777" w:rsidR="00E60353" w:rsidRPr="00890181" w:rsidRDefault="00E60353" w:rsidP="00E60353">
      <w:pPr>
        <w:pStyle w:val="TOC1"/>
        <w:spacing w:after="0"/>
        <w:rPr>
          <w:lang w:val="en-US"/>
        </w:rPr>
      </w:pPr>
      <w:r w:rsidRPr="00890181">
        <w:rPr>
          <w:lang w:val="en-US"/>
        </w:rPr>
        <w:t>CONTRIBUTORS</w:t>
      </w:r>
    </w:p>
    <w:p w14:paraId="2B0BC61E" w14:textId="1A18B15C" w:rsidR="00E60353" w:rsidRPr="008066BD" w:rsidRDefault="00E60353" w:rsidP="00E60353">
      <w:pPr>
        <w:pStyle w:val="TOC1"/>
        <w:spacing w:after="0"/>
        <w:rPr>
          <w:lang w:val="en-US"/>
        </w:rPr>
      </w:pPr>
      <w:proofErr w:type="spellStart"/>
      <w:r w:rsidRPr="008066BD">
        <w:rPr>
          <w:lang w:val="en-US"/>
        </w:rPr>
        <w:t>Quang</w:t>
      </w:r>
      <w:proofErr w:type="spellEnd"/>
      <w:r w:rsidRPr="008066BD">
        <w:rPr>
          <w:lang w:val="en-US"/>
        </w:rPr>
        <w:t xml:space="preserve"> </w:t>
      </w:r>
      <w:proofErr w:type="spellStart"/>
      <w:r w:rsidRPr="008066BD">
        <w:rPr>
          <w:lang w:val="en-US"/>
        </w:rPr>
        <w:t>Bao</w:t>
      </w:r>
      <w:proofErr w:type="spellEnd"/>
      <w:r w:rsidRPr="008066BD">
        <w:rPr>
          <w:lang w:val="en-US"/>
        </w:rPr>
        <w:t xml:space="preserve"> Le  (</w:t>
      </w:r>
      <w:r w:rsidR="00461062">
        <w:rPr>
          <w:rStyle w:val="FootnoteReference"/>
          <w:lang w:val="fr-FR"/>
        </w:rPr>
        <w:footnoteReference w:id="2"/>
      </w:r>
      <w:r w:rsidRPr="008066BD">
        <w:rPr>
          <w:lang w:val="en-US"/>
        </w:rPr>
        <w:t xml:space="preserve">); Enrico </w:t>
      </w:r>
      <w:proofErr w:type="spellStart"/>
      <w:r w:rsidRPr="008066BD">
        <w:rPr>
          <w:lang w:val="en-US"/>
        </w:rPr>
        <w:t>Bonaiuti</w:t>
      </w:r>
      <w:proofErr w:type="spellEnd"/>
      <w:r w:rsidRPr="008066BD">
        <w:rPr>
          <w:lang w:val="en-US"/>
        </w:rPr>
        <w:t xml:space="preserve"> (</w:t>
      </w:r>
      <w:r w:rsidR="00461062" w:rsidRPr="008066BD">
        <w:rPr>
          <w:vertAlign w:val="superscript"/>
          <w:lang w:val="en-US"/>
        </w:rPr>
        <w:t>2</w:t>
      </w:r>
      <w:r w:rsidRPr="008066BD">
        <w:rPr>
          <w:lang w:val="en-US"/>
        </w:rPr>
        <w:t>);</w:t>
      </w:r>
      <w:r w:rsidR="00D92178" w:rsidRPr="008066BD">
        <w:rPr>
          <w:lang w:val="en-US"/>
        </w:rPr>
        <w:t xml:space="preserve"> Denis </w:t>
      </w:r>
      <w:proofErr w:type="spellStart"/>
      <w:r w:rsidR="00633D2A" w:rsidRPr="008066BD">
        <w:rPr>
          <w:lang w:val="en-US"/>
        </w:rPr>
        <w:t>Ouédraogo</w:t>
      </w:r>
      <w:proofErr w:type="spellEnd"/>
      <w:r w:rsidR="00461062" w:rsidRPr="008066BD">
        <w:rPr>
          <w:lang w:val="en-US"/>
        </w:rPr>
        <w:t xml:space="preserve"> (</w:t>
      </w:r>
      <w:r w:rsidR="00494B5B">
        <w:rPr>
          <w:rStyle w:val="FootnoteReference"/>
          <w:lang w:val="fr-FR"/>
        </w:rPr>
        <w:footnoteReference w:id="3"/>
      </w:r>
      <w:r w:rsidR="00461062" w:rsidRPr="008066BD">
        <w:rPr>
          <w:lang w:val="en-US"/>
        </w:rPr>
        <w:t>)</w:t>
      </w:r>
    </w:p>
    <w:p w14:paraId="7DBC2E9B" w14:textId="77777777" w:rsidR="00E60353" w:rsidRPr="008066BD" w:rsidRDefault="00E60353" w:rsidP="00326527">
      <w:pPr>
        <w:spacing w:after="0"/>
        <w:rPr>
          <w:lang w:val="en-US"/>
        </w:rPr>
      </w:pPr>
    </w:p>
    <w:p w14:paraId="3754FBFA" w14:textId="77777777" w:rsidR="00E60353" w:rsidRPr="00890181" w:rsidRDefault="00E60353" w:rsidP="00E60353">
      <w:pPr>
        <w:pStyle w:val="TOC1"/>
        <w:spacing w:after="0"/>
        <w:rPr>
          <w:lang w:val="en-US"/>
        </w:rPr>
      </w:pPr>
      <w:r w:rsidRPr="00890181">
        <w:rPr>
          <w:lang w:val="en-US"/>
        </w:rPr>
        <w:t xml:space="preserve">SUGGESTED CITATION </w:t>
      </w:r>
    </w:p>
    <w:p w14:paraId="52536F79" w14:textId="01C543EA" w:rsidR="00E60353" w:rsidRPr="007B6891" w:rsidRDefault="00E60353" w:rsidP="00E60353">
      <w:pPr>
        <w:spacing w:after="0"/>
        <w:rPr>
          <w:lang w:val="en-US"/>
        </w:rPr>
      </w:pPr>
      <w:proofErr w:type="spellStart"/>
      <w:r w:rsidRPr="00890181">
        <w:rPr>
          <w:lang w:val="en-US"/>
        </w:rPr>
        <w:t>Boundia</w:t>
      </w:r>
      <w:proofErr w:type="spellEnd"/>
      <w:r w:rsidRPr="00890181">
        <w:rPr>
          <w:lang w:val="en-US"/>
        </w:rPr>
        <w:t xml:space="preserve"> Alexandre Thiombiano, </w:t>
      </w:r>
      <w:proofErr w:type="spellStart"/>
      <w:r w:rsidRPr="00890181">
        <w:rPr>
          <w:lang w:val="en-US"/>
        </w:rPr>
        <w:t>Quang</w:t>
      </w:r>
      <w:proofErr w:type="spellEnd"/>
      <w:r w:rsidRPr="00890181">
        <w:rPr>
          <w:lang w:val="en-US"/>
        </w:rPr>
        <w:t xml:space="preserve"> </w:t>
      </w:r>
      <w:proofErr w:type="spellStart"/>
      <w:r w:rsidRPr="00890181">
        <w:rPr>
          <w:lang w:val="en-US"/>
        </w:rPr>
        <w:t>Bao</w:t>
      </w:r>
      <w:proofErr w:type="spellEnd"/>
      <w:r w:rsidRPr="00890181">
        <w:rPr>
          <w:lang w:val="en-US"/>
        </w:rPr>
        <w:t xml:space="preserve"> Le, Enrico </w:t>
      </w:r>
      <w:proofErr w:type="spellStart"/>
      <w:r w:rsidRPr="00890181">
        <w:rPr>
          <w:lang w:val="en-US"/>
        </w:rPr>
        <w:t>Bonaiuti</w:t>
      </w:r>
      <w:proofErr w:type="spellEnd"/>
      <w:r w:rsidR="00D92178">
        <w:rPr>
          <w:lang w:val="en-US"/>
        </w:rPr>
        <w:t xml:space="preserve">, </w:t>
      </w:r>
      <w:r w:rsidR="00D92178" w:rsidRPr="00466DE4">
        <w:rPr>
          <w:lang w:val="en-US"/>
        </w:rPr>
        <w:t xml:space="preserve">Denis </w:t>
      </w:r>
      <w:proofErr w:type="spellStart"/>
      <w:r w:rsidR="00D92178" w:rsidRPr="00466DE4">
        <w:rPr>
          <w:lang w:val="en-US"/>
        </w:rPr>
        <w:t>Ou</w:t>
      </w:r>
      <w:r w:rsidR="002A55E7" w:rsidRPr="00466DE4">
        <w:rPr>
          <w:lang w:val="en-US"/>
        </w:rPr>
        <w:t>é</w:t>
      </w:r>
      <w:r w:rsidR="00D92178" w:rsidRPr="00466DE4">
        <w:rPr>
          <w:lang w:val="en-US"/>
        </w:rPr>
        <w:t>draogo</w:t>
      </w:r>
      <w:proofErr w:type="spellEnd"/>
      <w:r w:rsidRPr="00890181">
        <w:rPr>
          <w:lang w:val="en-US"/>
        </w:rPr>
        <w:t xml:space="preserve"> (20/02/2017). </w:t>
      </w:r>
      <w:r w:rsidR="0048578A" w:rsidRPr="00BF399E">
        <w:rPr>
          <w:lang w:val="en-US"/>
        </w:rPr>
        <w:t>Agricultural and Syrian refugees in Jordan: current situation and opportunities ahead</w:t>
      </w:r>
      <w:r w:rsidR="0048578A" w:rsidRPr="00E60353" w:rsidDel="0048578A">
        <w:rPr>
          <w:lang w:val="en-US"/>
        </w:rPr>
        <w:t xml:space="preserve"> </w:t>
      </w:r>
      <w:r w:rsidR="00227D97">
        <w:rPr>
          <w:lang w:val="en-US"/>
        </w:rPr>
        <w:t>–</w:t>
      </w:r>
      <w:r>
        <w:rPr>
          <w:lang w:val="en-US"/>
        </w:rPr>
        <w:t xml:space="preserve"> </w:t>
      </w:r>
      <w:r w:rsidR="00E23560">
        <w:rPr>
          <w:lang w:val="en-US"/>
        </w:rPr>
        <w:t>Methodology</w:t>
      </w:r>
      <w:r w:rsidR="00890181">
        <w:rPr>
          <w:lang w:val="en-US"/>
        </w:rPr>
        <w:t xml:space="preserve">. </w:t>
      </w:r>
      <w:proofErr w:type="gramStart"/>
      <w:r w:rsidR="00890181">
        <w:rPr>
          <w:lang w:val="en-US"/>
        </w:rPr>
        <w:t>UNHCR.</w:t>
      </w:r>
      <w:proofErr w:type="gramEnd"/>
      <w:r w:rsidR="00890181">
        <w:rPr>
          <w:lang w:val="en-US"/>
        </w:rPr>
        <w:t xml:space="preserve"> Amman</w:t>
      </w:r>
      <w:r w:rsidR="0048578A">
        <w:rPr>
          <w:lang w:val="en-US"/>
        </w:rPr>
        <w:t>, Jordan</w:t>
      </w:r>
      <w:r w:rsidR="00890181">
        <w:rPr>
          <w:lang w:val="en-US"/>
        </w:rPr>
        <w:t xml:space="preserve">. </w:t>
      </w:r>
      <w:r w:rsidR="00E23560">
        <w:rPr>
          <w:lang w:val="en-US"/>
        </w:rPr>
        <w:t>1</w:t>
      </w:r>
      <w:r w:rsidR="005620F4">
        <w:rPr>
          <w:lang w:val="en-US"/>
        </w:rPr>
        <w:t>9</w:t>
      </w:r>
      <w:r>
        <w:rPr>
          <w:lang w:val="en-US"/>
        </w:rPr>
        <w:t>pp</w:t>
      </w:r>
    </w:p>
    <w:p w14:paraId="65E86400" w14:textId="77777777" w:rsidR="00E60353" w:rsidRDefault="00E60353" w:rsidP="00E60353">
      <w:pPr>
        <w:spacing w:after="0"/>
        <w:rPr>
          <w:rFonts w:cs="Calibri"/>
          <w:b/>
          <w:lang w:val="en-US" w:eastAsia="ja-JP"/>
        </w:rPr>
      </w:pPr>
    </w:p>
    <w:p w14:paraId="1F51352F" w14:textId="77777777" w:rsidR="00E60353" w:rsidRPr="007B6891" w:rsidRDefault="00E60353" w:rsidP="00E60353">
      <w:pPr>
        <w:spacing w:after="0"/>
        <w:rPr>
          <w:rFonts w:cs="Calibri"/>
          <w:b/>
          <w:lang w:val="en-US" w:eastAsia="ja-JP"/>
        </w:rPr>
      </w:pPr>
      <w:r w:rsidRPr="007B6891">
        <w:rPr>
          <w:rFonts w:cs="Calibri"/>
          <w:b/>
          <w:lang w:val="en-US" w:eastAsia="ja-JP"/>
        </w:rPr>
        <w:t xml:space="preserve">DISCLAIMER </w:t>
      </w:r>
    </w:p>
    <w:p w14:paraId="0972161B" w14:textId="77777777" w:rsidR="00E60353" w:rsidRPr="00065965" w:rsidRDefault="00E60353" w:rsidP="00E60353">
      <w:pPr>
        <w:pStyle w:val="NormalWeb"/>
        <w:spacing w:before="0" w:beforeAutospacing="0" w:after="0" w:afterAutospacing="0"/>
        <w:rPr>
          <w:rFonts w:ascii="Franklin Gothic Book" w:hAnsi="Franklin Gothic Book" w:cs="Calibri"/>
          <w:sz w:val="22"/>
          <w:szCs w:val="22"/>
          <w:lang w:val="en-GB" w:eastAsia="ja-JP"/>
        </w:rPr>
      </w:pPr>
    </w:p>
    <w:p w14:paraId="78C6CEF7" w14:textId="77777777" w:rsidR="00E60353" w:rsidRPr="007B6891" w:rsidRDefault="00E60353" w:rsidP="00E60353">
      <w:pPr>
        <w:rPr>
          <w:rFonts w:cs="Calibri"/>
          <w:color w:val="0000FF"/>
          <w:u w:val="single"/>
          <w:lang w:val="en-US" w:eastAsia="ja-JP"/>
        </w:rPr>
      </w:pPr>
      <w:r w:rsidRPr="00065965">
        <w:rPr>
          <w:noProof/>
          <w:lang w:eastAsia="en-GB"/>
        </w:rPr>
        <w:drawing>
          <wp:anchor distT="0" distB="0" distL="114300" distR="114300" simplePos="0" relativeHeight="251659264" behindDoc="0" locked="0" layoutInCell="1" allowOverlap="1" wp14:anchorId="08077972" wp14:editId="21CAC469">
            <wp:simplePos x="0" y="0"/>
            <wp:positionH relativeFrom="column">
              <wp:posOffset>0</wp:posOffset>
            </wp:positionH>
            <wp:positionV relativeFrom="paragraph">
              <wp:posOffset>0</wp:posOffset>
            </wp:positionV>
            <wp:extent cx="1148080" cy="404495"/>
            <wp:effectExtent l="0" t="0" r="0" b="0"/>
            <wp:wrapSquare wrapText="bothSides"/>
            <wp:docPr id="20" name="Picture 20" descr="http://i.creativecommons.org/l/by/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creativecommons.org/l/by/3.0/88x3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8080" cy="404495"/>
                    </a:xfrm>
                    <a:prstGeom prst="rect">
                      <a:avLst/>
                    </a:prstGeom>
                    <a:noFill/>
                  </pic:spPr>
                </pic:pic>
              </a:graphicData>
            </a:graphic>
          </wp:anchor>
        </w:drawing>
      </w:r>
      <w:r w:rsidRPr="007B6891">
        <w:rPr>
          <w:rFonts w:cs="Calibri"/>
          <w:lang w:val="en-US" w:eastAsia="ja-JP"/>
        </w:rPr>
        <w:t xml:space="preserve">This document is licensed for use under the Creative Commons Attribution 3.0 </w:t>
      </w:r>
      <w:proofErr w:type="spellStart"/>
      <w:r w:rsidRPr="007B6891">
        <w:rPr>
          <w:rFonts w:cs="Calibri"/>
          <w:lang w:val="en-US" w:eastAsia="ja-JP"/>
        </w:rPr>
        <w:t>Unported</w:t>
      </w:r>
      <w:proofErr w:type="spellEnd"/>
      <w:r w:rsidRPr="007B6891">
        <w:rPr>
          <w:rFonts w:cs="Calibri"/>
          <w:lang w:val="en-US" w:eastAsia="ja-JP"/>
        </w:rPr>
        <w:t xml:space="preserve"> </w:t>
      </w:r>
      <w:proofErr w:type="spellStart"/>
      <w:r w:rsidRPr="007B6891">
        <w:rPr>
          <w:rFonts w:cs="Calibri"/>
          <w:lang w:val="en-US" w:eastAsia="ja-JP"/>
        </w:rPr>
        <w:t>Licence</w:t>
      </w:r>
      <w:proofErr w:type="spellEnd"/>
      <w:r w:rsidRPr="007B6891">
        <w:rPr>
          <w:rFonts w:cs="Calibri"/>
          <w:lang w:val="en-US" w:eastAsia="ja-JP"/>
        </w:rPr>
        <w:t xml:space="preserve">. To view this </w:t>
      </w:r>
      <w:proofErr w:type="spellStart"/>
      <w:r w:rsidRPr="007B6891">
        <w:rPr>
          <w:rFonts w:cs="Calibri"/>
          <w:lang w:val="en-US" w:eastAsia="ja-JP"/>
        </w:rPr>
        <w:t>licence</w:t>
      </w:r>
      <w:proofErr w:type="spellEnd"/>
      <w:r w:rsidRPr="007B6891">
        <w:rPr>
          <w:rFonts w:cs="Calibri"/>
          <w:lang w:val="en-US" w:eastAsia="ja-JP"/>
        </w:rPr>
        <w:t xml:space="preserve">, visit </w:t>
      </w:r>
      <w:hyperlink r:id="rId10" w:history="1">
        <w:r w:rsidRPr="007B6891">
          <w:rPr>
            <w:rFonts w:cs="Calibri"/>
            <w:color w:val="0000FF"/>
            <w:u w:val="single"/>
            <w:lang w:val="en-US" w:eastAsia="ja-JP"/>
          </w:rPr>
          <w:t>http://creativecommons.org/licenses/by-nc-sa/3.0</w:t>
        </w:r>
      </w:hyperlink>
      <w:r w:rsidRPr="007B6891">
        <w:rPr>
          <w:rFonts w:cs="Calibri"/>
          <w:color w:val="0000FF"/>
          <w:u w:val="single"/>
          <w:lang w:val="en-US" w:eastAsia="ja-JP"/>
        </w:rPr>
        <w:t xml:space="preserve">/ </w:t>
      </w:r>
    </w:p>
    <w:p w14:paraId="7DFECCAB" w14:textId="77777777" w:rsidR="00E60353" w:rsidRPr="007B6891" w:rsidRDefault="00E60353" w:rsidP="00326527">
      <w:pPr>
        <w:spacing w:after="120"/>
        <w:rPr>
          <w:lang w:val="en-US"/>
        </w:rPr>
      </w:pPr>
      <w:r w:rsidRPr="007B6891">
        <w:rPr>
          <w:rFonts w:cs="Calibri"/>
          <w:lang w:val="en-US" w:eastAsia="ja-JP"/>
        </w:rPr>
        <w:t>Unless otherwise noted, you are free to copy, duplicate, or reproduce and distribute, display, or transmit any part of this publication or portions thereof without permission, and to make translations, adaptations, or other derivative works under the following conditions:</w:t>
      </w:r>
      <w:r w:rsidRPr="007B6891">
        <w:rPr>
          <w:lang w:val="en-US"/>
        </w:rPr>
        <w:t xml:space="preserve"> </w:t>
      </w:r>
    </w:p>
    <w:p w14:paraId="32FEAE8A" w14:textId="77777777" w:rsidR="00E60353" w:rsidRPr="00582F2A" w:rsidRDefault="00E60353" w:rsidP="00E60353">
      <w:pPr>
        <w:rPr>
          <w:rFonts w:asciiTheme="majorHAnsi" w:eastAsiaTheme="majorEastAsia" w:hAnsiTheme="majorHAnsi" w:cstheme="majorBidi"/>
          <w:color w:val="365F91" w:themeColor="accent1" w:themeShade="BF"/>
          <w:sz w:val="32"/>
          <w:szCs w:val="32"/>
          <w:lang w:val="en-US"/>
        </w:rPr>
      </w:pPr>
      <w:r w:rsidRPr="00065965">
        <w:rPr>
          <w:noProof/>
          <w:lang w:eastAsia="en-GB"/>
        </w:rPr>
        <w:drawing>
          <wp:anchor distT="0" distB="0" distL="114300" distR="114300" simplePos="0" relativeHeight="251660288" behindDoc="0" locked="0" layoutInCell="1" allowOverlap="1" wp14:anchorId="7ADDBA3F" wp14:editId="273EF561">
            <wp:simplePos x="0" y="0"/>
            <wp:positionH relativeFrom="margin">
              <wp:align>left</wp:align>
            </wp:positionH>
            <wp:positionV relativeFrom="paragraph">
              <wp:posOffset>3810</wp:posOffset>
            </wp:positionV>
            <wp:extent cx="333375" cy="333375"/>
            <wp:effectExtent l="0" t="0" r="9525" b="9525"/>
            <wp:wrapSquare wrapText="bothSides"/>
            <wp:docPr id="21" name="Picture 1025" descr="cc_at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cc_attributi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pic:spPr>
                </pic:pic>
              </a:graphicData>
            </a:graphic>
          </wp:anchor>
        </w:drawing>
      </w:r>
      <w:proofErr w:type="gramStart"/>
      <w:r w:rsidRPr="007B6891">
        <w:rPr>
          <w:rFonts w:cs="Calibri"/>
          <w:b/>
          <w:bCs/>
          <w:lang w:val="en-US" w:eastAsia="ja-JP"/>
        </w:rPr>
        <w:t>ATTRIBUTION.</w:t>
      </w:r>
      <w:proofErr w:type="gramEnd"/>
      <w:r w:rsidRPr="007B6891">
        <w:rPr>
          <w:rFonts w:cs="Calibri"/>
          <w:lang w:val="en-US" w:eastAsia="ja-JP"/>
        </w:rPr>
        <w:t xml:space="preserve"> The work must be attributed, but not in any way that suggests endorsement by the publisher or the author(s). </w:t>
      </w:r>
      <w:bookmarkStart w:id="0" w:name="_Toc450906061"/>
      <w:bookmarkStart w:id="1" w:name="_Toc450906194"/>
      <w:bookmarkStart w:id="2" w:name="_Toc451167879"/>
      <w:bookmarkStart w:id="3" w:name="_Toc451177981"/>
      <w:bookmarkStart w:id="4" w:name="_Toc451260398"/>
      <w:r w:rsidRPr="00582F2A">
        <w:rPr>
          <w:lang w:val="en-US"/>
        </w:rPr>
        <w:br w:type="page"/>
      </w:r>
    </w:p>
    <w:p w14:paraId="6F7AA5B1" w14:textId="77777777" w:rsidR="00E60353" w:rsidRDefault="00E60353" w:rsidP="00E60353">
      <w:pPr>
        <w:pStyle w:val="Heading1"/>
      </w:pPr>
      <w:bookmarkStart w:id="5" w:name="_Toc483361443"/>
      <w:r w:rsidRPr="00315060">
        <w:lastRenderedPageBreak/>
        <w:t>R</w:t>
      </w:r>
      <w:r>
        <w:t>evision</w:t>
      </w:r>
      <w:r w:rsidRPr="00315060">
        <w:t xml:space="preserve"> H</w:t>
      </w:r>
      <w:r>
        <w:t>istory</w:t>
      </w:r>
      <w:bookmarkEnd w:id="0"/>
      <w:bookmarkEnd w:id="1"/>
      <w:bookmarkEnd w:id="2"/>
      <w:bookmarkEnd w:id="3"/>
      <w:bookmarkEnd w:id="4"/>
      <w:bookmarkEnd w:id="5"/>
    </w:p>
    <w:p w14:paraId="4F337508" w14:textId="77777777" w:rsidR="00E60353" w:rsidRPr="00D70820" w:rsidRDefault="00E60353" w:rsidP="00E60353">
      <w:pPr>
        <w:rPr>
          <w:lang w:val="en-US"/>
        </w:rPr>
      </w:pPr>
    </w:p>
    <w:p w14:paraId="041D85F5" w14:textId="266FD4BE" w:rsidR="00E60353" w:rsidRPr="00D70820" w:rsidRDefault="00E60353" w:rsidP="00E60353">
      <w:pPr>
        <w:tabs>
          <w:tab w:val="left" w:pos="3705"/>
        </w:tabs>
        <w:rPr>
          <w:lang w:val="en-US"/>
        </w:rPr>
      </w:pPr>
    </w:p>
    <w:tbl>
      <w:tblPr>
        <w:tblStyle w:val="TableGrid"/>
        <w:tblW w:w="0" w:type="auto"/>
        <w:tblLook w:val="04A0" w:firstRow="1" w:lastRow="0" w:firstColumn="1" w:lastColumn="0" w:noHBand="0" w:noVBand="1"/>
      </w:tblPr>
      <w:tblGrid>
        <w:gridCol w:w="1074"/>
        <w:gridCol w:w="1565"/>
        <w:gridCol w:w="2036"/>
        <w:gridCol w:w="1569"/>
        <w:gridCol w:w="3332"/>
      </w:tblGrid>
      <w:tr w:rsidR="00E60353" w:rsidRPr="0080569C" w14:paraId="70FA5009" w14:textId="77777777" w:rsidTr="00D75C16">
        <w:tc>
          <w:tcPr>
            <w:tcW w:w="1074" w:type="dxa"/>
          </w:tcPr>
          <w:p w14:paraId="7BA8B781" w14:textId="77777777" w:rsidR="00E60353" w:rsidRPr="0080569C" w:rsidRDefault="00E60353" w:rsidP="00461062">
            <w:pPr>
              <w:rPr>
                <w:b/>
                <w:color w:val="4F81BD" w:themeColor="accent1"/>
                <w:lang w:val="en-US"/>
              </w:rPr>
            </w:pPr>
            <w:r w:rsidRPr="0080569C">
              <w:rPr>
                <w:b/>
                <w:color w:val="4F81BD" w:themeColor="accent1"/>
                <w:lang w:val="en-US"/>
              </w:rPr>
              <w:t>Version</w:t>
            </w:r>
          </w:p>
        </w:tc>
        <w:tc>
          <w:tcPr>
            <w:tcW w:w="1565" w:type="dxa"/>
          </w:tcPr>
          <w:p w14:paraId="1294D636" w14:textId="77777777" w:rsidR="00E60353" w:rsidRPr="0080569C" w:rsidRDefault="00E60353" w:rsidP="00461062">
            <w:pPr>
              <w:rPr>
                <w:b/>
                <w:color w:val="4F81BD" w:themeColor="accent1"/>
                <w:lang w:val="en-US"/>
              </w:rPr>
            </w:pPr>
            <w:r w:rsidRPr="0080569C">
              <w:rPr>
                <w:b/>
                <w:color w:val="4F81BD" w:themeColor="accent1"/>
                <w:lang w:val="en-US"/>
              </w:rPr>
              <w:t>Date</w:t>
            </w:r>
          </w:p>
        </w:tc>
        <w:tc>
          <w:tcPr>
            <w:tcW w:w="2036" w:type="dxa"/>
          </w:tcPr>
          <w:p w14:paraId="72EAA351" w14:textId="77777777" w:rsidR="00E60353" w:rsidRPr="0080569C" w:rsidRDefault="00E60353" w:rsidP="00461062">
            <w:pPr>
              <w:rPr>
                <w:b/>
                <w:color w:val="4F81BD" w:themeColor="accent1"/>
                <w:lang w:val="en-US"/>
              </w:rPr>
            </w:pPr>
            <w:r w:rsidRPr="0080569C">
              <w:rPr>
                <w:b/>
                <w:color w:val="4F81BD" w:themeColor="accent1"/>
                <w:lang w:val="en-US"/>
              </w:rPr>
              <w:t>Originator(s)</w:t>
            </w:r>
          </w:p>
        </w:tc>
        <w:tc>
          <w:tcPr>
            <w:tcW w:w="1569" w:type="dxa"/>
          </w:tcPr>
          <w:p w14:paraId="2E884221" w14:textId="77777777" w:rsidR="00E60353" w:rsidRPr="0080569C" w:rsidRDefault="00E60353" w:rsidP="00461062">
            <w:pPr>
              <w:rPr>
                <w:b/>
                <w:color w:val="4F81BD" w:themeColor="accent1"/>
                <w:lang w:val="en-US"/>
              </w:rPr>
            </w:pPr>
            <w:r w:rsidRPr="0080569C">
              <w:rPr>
                <w:b/>
                <w:color w:val="4F81BD" w:themeColor="accent1"/>
                <w:lang w:val="en-US"/>
              </w:rPr>
              <w:t>Reviewer(s)</w:t>
            </w:r>
          </w:p>
        </w:tc>
        <w:tc>
          <w:tcPr>
            <w:tcW w:w="3332" w:type="dxa"/>
          </w:tcPr>
          <w:p w14:paraId="3C5DAE73" w14:textId="77777777" w:rsidR="00E60353" w:rsidRPr="0080569C" w:rsidRDefault="00E60353" w:rsidP="00461062">
            <w:pPr>
              <w:rPr>
                <w:b/>
                <w:color w:val="4F81BD" w:themeColor="accent1"/>
                <w:lang w:val="en-US"/>
              </w:rPr>
            </w:pPr>
            <w:r w:rsidRPr="0080569C">
              <w:rPr>
                <w:b/>
                <w:color w:val="4F81BD" w:themeColor="accent1"/>
                <w:lang w:val="en-US"/>
              </w:rPr>
              <w:t>Description</w:t>
            </w:r>
          </w:p>
        </w:tc>
      </w:tr>
      <w:tr w:rsidR="00E60353" w:rsidRPr="00507A5C" w14:paraId="2733EB29" w14:textId="77777777" w:rsidTr="00D75C16">
        <w:tc>
          <w:tcPr>
            <w:tcW w:w="1074" w:type="dxa"/>
          </w:tcPr>
          <w:p w14:paraId="4DDD5671" w14:textId="77777777" w:rsidR="00E60353" w:rsidRDefault="00E60353" w:rsidP="00461062">
            <w:pPr>
              <w:rPr>
                <w:lang w:val="en-US"/>
              </w:rPr>
            </w:pPr>
            <w:r>
              <w:rPr>
                <w:lang w:val="en-US"/>
              </w:rPr>
              <w:t>1.0</w:t>
            </w:r>
          </w:p>
        </w:tc>
        <w:tc>
          <w:tcPr>
            <w:tcW w:w="1565" w:type="dxa"/>
          </w:tcPr>
          <w:p w14:paraId="3F49F98E" w14:textId="5E2E55FC" w:rsidR="00E60353" w:rsidRDefault="009D6F02" w:rsidP="009D6F02">
            <w:pPr>
              <w:rPr>
                <w:lang w:val="en-US"/>
              </w:rPr>
            </w:pPr>
            <w:r>
              <w:rPr>
                <w:lang w:val="en-US"/>
              </w:rPr>
              <w:t>09</w:t>
            </w:r>
            <w:r w:rsidR="00E60353">
              <w:rPr>
                <w:lang w:val="en-US"/>
              </w:rPr>
              <w:t>-</w:t>
            </w:r>
            <w:r>
              <w:rPr>
                <w:lang w:val="en-US"/>
              </w:rPr>
              <w:t>March</w:t>
            </w:r>
            <w:r w:rsidR="00E60353">
              <w:rPr>
                <w:lang w:val="en-US"/>
              </w:rPr>
              <w:t>-2017</w:t>
            </w:r>
          </w:p>
        </w:tc>
        <w:tc>
          <w:tcPr>
            <w:tcW w:w="2036" w:type="dxa"/>
          </w:tcPr>
          <w:p w14:paraId="13F78186" w14:textId="77777777" w:rsidR="00E60353" w:rsidRDefault="00E60353" w:rsidP="00461062">
            <w:pPr>
              <w:rPr>
                <w:lang w:val="en-US"/>
              </w:rPr>
            </w:pPr>
            <w:r w:rsidRPr="00E60353">
              <w:rPr>
                <w:lang w:val="it-IT"/>
              </w:rPr>
              <w:t>Boundia Alexandre</w:t>
            </w:r>
            <w:r>
              <w:rPr>
                <w:lang w:val="it-IT"/>
              </w:rPr>
              <w:t xml:space="preserve"> Thiombiano</w:t>
            </w:r>
          </w:p>
        </w:tc>
        <w:tc>
          <w:tcPr>
            <w:tcW w:w="1569" w:type="dxa"/>
          </w:tcPr>
          <w:p w14:paraId="10939137" w14:textId="04E4AD9B" w:rsidR="00E60353" w:rsidRDefault="00D75C16" w:rsidP="00461062">
            <w:pPr>
              <w:rPr>
                <w:lang w:val="it-IT"/>
              </w:rPr>
            </w:pPr>
            <w:r>
              <w:rPr>
                <w:lang w:val="it-IT"/>
              </w:rPr>
              <w:t>Quang Bao Le</w:t>
            </w:r>
            <w:r w:rsidR="00190D36">
              <w:rPr>
                <w:lang w:val="it-IT"/>
              </w:rPr>
              <w:t>,</w:t>
            </w:r>
          </w:p>
          <w:p w14:paraId="1930A95B" w14:textId="6C80406D" w:rsidR="00D75C16" w:rsidRPr="00E60353" w:rsidRDefault="00D75C16" w:rsidP="00461062">
            <w:pPr>
              <w:rPr>
                <w:lang w:val="it-IT"/>
              </w:rPr>
            </w:pPr>
            <w:r>
              <w:rPr>
                <w:lang w:val="it-IT"/>
              </w:rPr>
              <w:t>Enrico Bonaiuti</w:t>
            </w:r>
          </w:p>
        </w:tc>
        <w:tc>
          <w:tcPr>
            <w:tcW w:w="3332" w:type="dxa"/>
          </w:tcPr>
          <w:p w14:paraId="7ADDB9F5" w14:textId="4638EAC6" w:rsidR="00E60353" w:rsidRDefault="00D75C16" w:rsidP="00D75C16">
            <w:pPr>
              <w:jc w:val="left"/>
              <w:rPr>
                <w:lang w:val="en-US"/>
              </w:rPr>
            </w:pPr>
            <w:r>
              <w:rPr>
                <w:lang w:val="en-US"/>
              </w:rPr>
              <w:t xml:space="preserve">Qualitative and quantitative assessment </w:t>
            </w:r>
          </w:p>
        </w:tc>
      </w:tr>
      <w:tr w:rsidR="00E60353" w:rsidRPr="00507A5C" w14:paraId="309CEA2B" w14:textId="77777777" w:rsidTr="00D75C16">
        <w:tc>
          <w:tcPr>
            <w:tcW w:w="1074" w:type="dxa"/>
          </w:tcPr>
          <w:p w14:paraId="0DD140D1" w14:textId="0836A8F3" w:rsidR="00E60353" w:rsidRDefault="00E60353" w:rsidP="00461062">
            <w:pPr>
              <w:rPr>
                <w:lang w:val="en-US"/>
              </w:rPr>
            </w:pPr>
            <w:r>
              <w:rPr>
                <w:lang w:val="en-US"/>
              </w:rPr>
              <w:t>1.1</w:t>
            </w:r>
          </w:p>
        </w:tc>
        <w:tc>
          <w:tcPr>
            <w:tcW w:w="1565" w:type="dxa"/>
          </w:tcPr>
          <w:p w14:paraId="2FB038E4" w14:textId="14BD2A3A" w:rsidR="00E60353" w:rsidRDefault="00D75C16" w:rsidP="00461062">
            <w:pPr>
              <w:rPr>
                <w:lang w:val="en-US"/>
              </w:rPr>
            </w:pPr>
            <w:r>
              <w:rPr>
                <w:lang w:val="en-US"/>
              </w:rPr>
              <w:t>23</w:t>
            </w:r>
            <w:r w:rsidR="00BF4449">
              <w:rPr>
                <w:lang w:val="en-US"/>
              </w:rPr>
              <w:t>-March-2017</w:t>
            </w:r>
          </w:p>
        </w:tc>
        <w:tc>
          <w:tcPr>
            <w:tcW w:w="2036" w:type="dxa"/>
          </w:tcPr>
          <w:p w14:paraId="168347B1" w14:textId="492C0793" w:rsidR="00E60353" w:rsidRDefault="00BF4449" w:rsidP="00461062">
            <w:pPr>
              <w:rPr>
                <w:lang w:val="en-US"/>
              </w:rPr>
            </w:pPr>
            <w:r w:rsidRPr="00E60353">
              <w:rPr>
                <w:lang w:val="it-IT"/>
              </w:rPr>
              <w:t>Boundia Alexandre</w:t>
            </w:r>
            <w:r>
              <w:rPr>
                <w:lang w:val="it-IT"/>
              </w:rPr>
              <w:t xml:space="preserve"> Thiombiano</w:t>
            </w:r>
          </w:p>
        </w:tc>
        <w:tc>
          <w:tcPr>
            <w:tcW w:w="1569" w:type="dxa"/>
          </w:tcPr>
          <w:p w14:paraId="45620201" w14:textId="7E9A6A15" w:rsidR="00E60353" w:rsidRPr="00326527" w:rsidRDefault="00190D36" w:rsidP="00461062">
            <w:pPr>
              <w:rPr>
                <w:lang w:val="fr-FR"/>
              </w:rPr>
            </w:pPr>
            <w:r>
              <w:rPr>
                <w:lang w:val="fr-FR"/>
              </w:rPr>
              <w:t>Quang Bao Le</w:t>
            </w:r>
          </w:p>
        </w:tc>
        <w:tc>
          <w:tcPr>
            <w:tcW w:w="3332" w:type="dxa"/>
          </w:tcPr>
          <w:p w14:paraId="5BF3BCC0" w14:textId="2F345813" w:rsidR="00E60353" w:rsidRPr="00F709ED" w:rsidRDefault="00190D36" w:rsidP="00461062">
            <w:pPr>
              <w:rPr>
                <w:lang w:val="en-US"/>
              </w:rPr>
            </w:pPr>
            <w:r>
              <w:rPr>
                <w:lang w:val="en-US"/>
              </w:rPr>
              <w:t>Improve citations, correct terminologies, language</w:t>
            </w:r>
          </w:p>
        </w:tc>
      </w:tr>
    </w:tbl>
    <w:p w14:paraId="2BD94441" w14:textId="77777777" w:rsidR="00E60353" w:rsidRPr="00D70820" w:rsidRDefault="00E60353" w:rsidP="00E60353">
      <w:pPr>
        <w:rPr>
          <w:lang w:val="en-US"/>
        </w:rPr>
      </w:pPr>
    </w:p>
    <w:p w14:paraId="491C483B" w14:textId="77777777" w:rsidR="00E60353" w:rsidRDefault="00E60353" w:rsidP="00E60353">
      <w:pPr>
        <w:rPr>
          <w:lang w:val="en-US"/>
        </w:rPr>
      </w:pPr>
      <w:r>
        <w:rPr>
          <w:lang w:val="en-US"/>
        </w:rPr>
        <w:br w:type="page"/>
      </w:r>
    </w:p>
    <w:sdt>
      <w:sdtPr>
        <w:rPr>
          <w:rFonts w:asciiTheme="minorHAnsi" w:eastAsiaTheme="minorHAnsi" w:hAnsiTheme="minorHAnsi" w:cstheme="minorBidi"/>
          <w:b w:val="0"/>
          <w:color w:val="auto"/>
          <w:sz w:val="22"/>
          <w:szCs w:val="22"/>
          <w:lang w:val="en-GB" w:eastAsia="en-US"/>
        </w:rPr>
        <w:id w:val="-1513836933"/>
        <w:docPartObj>
          <w:docPartGallery w:val="Table of Contents"/>
          <w:docPartUnique/>
        </w:docPartObj>
      </w:sdtPr>
      <w:sdtEndPr>
        <w:rPr>
          <w:rFonts w:ascii="Cambria" w:hAnsi="Cambria"/>
          <w:bCs/>
          <w:sz w:val="24"/>
        </w:rPr>
      </w:sdtEndPr>
      <w:sdtContent>
        <w:p w14:paraId="5D0BE3E0" w14:textId="77777777" w:rsidR="00E60353" w:rsidRDefault="00E60353" w:rsidP="00E60353">
          <w:pPr>
            <w:pStyle w:val="TOCHeading"/>
            <w:rPr>
              <w:lang w:val="en-US"/>
            </w:rPr>
          </w:pPr>
          <w:r w:rsidRPr="00D64976">
            <w:rPr>
              <w:lang w:val="en-US"/>
            </w:rPr>
            <w:t>Table of Contents</w:t>
          </w:r>
        </w:p>
        <w:p w14:paraId="6187E657" w14:textId="77777777" w:rsidR="005620F4" w:rsidRDefault="002A7763">
          <w:pPr>
            <w:pStyle w:val="TOC1"/>
            <w:tabs>
              <w:tab w:val="right" w:leader="dot" w:pos="9350"/>
            </w:tabs>
            <w:rPr>
              <w:rFonts w:asciiTheme="minorHAnsi" w:eastAsiaTheme="minorEastAsia" w:hAnsiTheme="minorHAnsi"/>
              <w:noProof/>
              <w:sz w:val="22"/>
              <w:lang w:val="en-GB" w:eastAsia="en-GB"/>
            </w:rPr>
          </w:pPr>
          <w:r>
            <w:rPr>
              <w:lang w:val="en-US"/>
            </w:rPr>
            <w:fldChar w:fldCharType="begin"/>
          </w:r>
          <w:r>
            <w:rPr>
              <w:lang w:val="en-US"/>
            </w:rPr>
            <w:instrText xml:space="preserve"> TOC \o "1-4" \h \z \u </w:instrText>
          </w:r>
          <w:r>
            <w:rPr>
              <w:lang w:val="en-US"/>
            </w:rPr>
            <w:fldChar w:fldCharType="separate"/>
          </w:r>
          <w:hyperlink w:anchor="_Toc483361443" w:history="1">
            <w:r w:rsidR="005620F4" w:rsidRPr="00644E27">
              <w:rPr>
                <w:rStyle w:val="Hyperlink"/>
                <w:noProof/>
              </w:rPr>
              <w:t>Revision History</w:t>
            </w:r>
            <w:r w:rsidR="005620F4">
              <w:rPr>
                <w:noProof/>
                <w:webHidden/>
              </w:rPr>
              <w:tab/>
            </w:r>
            <w:r w:rsidR="005620F4">
              <w:rPr>
                <w:noProof/>
                <w:webHidden/>
              </w:rPr>
              <w:fldChar w:fldCharType="begin"/>
            </w:r>
            <w:r w:rsidR="005620F4">
              <w:rPr>
                <w:noProof/>
                <w:webHidden/>
              </w:rPr>
              <w:instrText xml:space="preserve"> PAGEREF _Toc483361443 \h </w:instrText>
            </w:r>
            <w:r w:rsidR="005620F4">
              <w:rPr>
                <w:noProof/>
                <w:webHidden/>
              </w:rPr>
            </w:r>
            <w:r w:rsidR="005620F4">
              <w:rPr>
                <w:noProof/>
                <w:webHidden/>
              </w:rPr>
              <w:fldChar w:fldCharType="separate"/>
            </w:r>
            <w:r w:rsidR="005620F4">
              <w:rPr>
                <w:noProof/>
                <w:webHidden/>
              </w:rPr>
              <w:t>3</w:t>
            </w:r>
            <w:r w:rsidR="005620F4">
              <w:rPr>
                <w:noProof/>
                <w:webHidden/>
              </w:rPr>
              <w:fldChar w:fldCharType="end"/>
            </w:r>
          </w:hyperlink>
        </w:p>
        <w:p w14:paraId="359C830E" w14:textId="77777777" w:rsidR="005620F4" w:rsidRDefault="005620F4">
          <w:pPr>
            <w:pStyle w:val="TOC1"/>
            <w:tabs>
              <w:tab w:val="right" w:leader="dot" w:pos="9350"/>
            </w:tabs>
            <w:rPr>
              <w:rFonts w:asciiTheme="minorHAnsi" w:eastAsiaTheme="minorEastAsia" w:hAnsiTheme="minorHAnsi"/>
              <w:noProof/>
              <w:sz w:val="22"/>
              <w:lang w:val="en-GB" w:eastAsia="en-GB"/>
            </w:rPr>
          </w:pPr>
          <w:hyperlink w:anchor="_Toc483361444" w:history="1">
            <w:r w:rsidRPr="00644E27">
              <w:rPr>
                <w:rStyle w:val="Hyperlink"/>
                <w:noProof/>
                <w:lang w:val="en-US"/>
              </w:rPr>
              <w:t>List of tables</w:t>
            </w:r>
            <w:r>
              <w:rPr>
                <w:noProof/>
                <w:webHidden/>
              </w:rPr>
              <w:tab/>
            </w:r>
            <w:r>
              <w:rPr>
                <w:noProof/>
                <w:webHidden/>
              </w:rPr>
              <w:fldChar w:fldCharType="begin"/>
            </w:r>
            <w:r>
              <w:rPr>
                <w:noProof/>
                <w:webHidden/>
              </w:rPr>
              <w:instrText xml:space="preserve"> PAGEREF _Toc483361444 \h </w:instrText>
            </w:r>
            <w:r>
              <w:rPr>
                <w:noProof/>
                <w:webHidden/>
              </w:rPr>
            </w:r>
            <w:r>
              <w:rPr>
                <w:noProof/>
                <w:webHidden/>
              </w:rPr>
              <w:fldChar w:fldCharType="separate"/>
            </w:r>
            <w:r>
              <w:rPr>
                <w:noProof/>
                <w:webHidden/>
              </w:rPr>
              <w:t>5</w:t>
            </w:r>
            <w:r>
              <w:rPr>
                <w:noProof/>
                <w:webHidden/>
              </w:rPr>
              <w:fldChar w:fldCharType="end"/>
            </w:r>
          </w:hyperlink>
        </w:p>
        <w:p w14:paraId="505C75B2" w14:textId="77777777" w:rsidR="005620F4" w:rsidRDefault="005620F4">
          <w:pPr>
            <w:pStyle w:val="TOC1"/>
            <w:tabs>
              <w:tab w:val="right" w:leader="dot" w:pos="9350"/>
            </w:tabs>
            <w:rPr>
              <w:rFonts w:asciiTheme="minorHAnsi" w:eastAsiaTheme="minorEastAsia" w:hAnsiTheme="minorHAnsi"/>
              <w:noProof/>
              <w:sz w:val="22"/>
              <w:lang w:val="en-GB" w:eastAsia="en-GB"/>
            </w:rPr>
          </w:pPr>
          <w:hyperlink w:anchor="_Toc483361445" w:history="1">
            <w:r w:rsidRPr="00644E27">
              <w:rPr>
                <w:rStyle w:val="Hyperlink"/>
                <w:noProof/>
                <w:lang w:val="en-US"/>
              </w:rPr>
              <w:t>List of figures</w:t>
            </w:r>
            <w:r>
              <w:rPr>
                <w:noProof/>
                <w:webHidden/>
              </w:rPr>
              <w:tab/>
            </w:r>
            <w:r>
              <w:rPr>
                <w:noProof/>
                <w:webHidden/>
              </w:rPr>
              <w:fldChar w:fldCharType="begin"/>
            </w:r>
            <w:r>
              <w:rPr>
                <w:noProof/>
                <w:webHidden/>
              </w:rPr>
              <w:instrText xml:space="preserve"> PAGEREF _Toc483361445 \h </w:instrText>
            </w:r>
            <w:r>
              <w:rPr>
                <w:noProof/>
                <w:webHidden/>
              </w:rPr>
            </w:r>
            <w:r>
              <w:rPr>
                <w:noProof/>
                <w:webHidden/>
              </w:rPr>
              <w:fldChar w:fldCharType="separate"/>
            </w:r>
            <w:r>
              <w:rPr>
                <w:noProof/>
                <w:webHidden/>
              </w:rPr>
              <w:t>5</w:t>
            </w:r>
            <w:r>
              <w:rPr>
                <w:noProof/>
                <w:webHidden/>
              </w:rPr>
              <w:fldChar w:fldCharType="end"/>
            </w:r>
          </w:hyperlink>
        </w:p>
        <w:p w14:paraId="061BFDB1" w14:textId="77777777" w:rsidR="005620F4" w:rsidRDefault="005620F4">
          <w:pPr>
            <w:pStyle w:val="TOC1"/>
            <w:tabs>
              <w:tab w:val="right" w:leader="dot" w:pos="9350"/>
            </w:tabs>
            <w:rPr>
              <w:rFonts w:asciiTheme="minorHAnsi" w:eastAsiaTheme="minorEastAsia" w:hAnsiTheme="minorHAnsi"/>
              <w:noProof/>
              <w:sz w:val="22"/>
              <w:lang w:val="en-GB" w:eastAsia="en-GB"/>
            </w:rPr>
          </w:pPr>
          <w:hyperlink w:anchor="_Toc483361446" w:history="1">
            <w:r w:rsidRPr="00644E27">
              <w:rPr>
                <w:rStyle w:val="Hyperlink"/>
                <w:noProof/>
                <w:lang w:val="en-US"/>
              </w:rPr>
              <w:t>Acronyms</w:t>
            </w:r>
            <w:r>
              <w:rPr>
                <w:noProof/>
                <w:webHidden/>
              </w:rPr>
              <w:tab/>
            </w:r>
            <w:r>
              <w:rPr>
                <w:noProof/>
                <w:webHidden/>
              </w:rPr>
              <w:fldChar w:fldCharType="begin"/>
            </w:r>
            <w:r>
              <w:rPr>
                <w:noProof/>
                <w:webHidden/>
              </w:rPr>
              <w:instrText xml:space="preserve"> PAGEREF _Toc483361446 \h </w:instrText>
            </w:r>
            <w:r>
              <w:rPr>
                <w:noProof/>
                <w:webHidden/>
              </w:rPr>
            </w:r>
            <w:r>
              <w:rPr>
                <w:noProof/>
                <w:webHidden/>
              </w:rPr>
              <w:fldChar w:fldCharType="separate"/>
            </w:r>
            <w:r>
              <w:rPr>
                <w:noProof/>
                <w:webHidden/>
              </w:rPr>
              <w:t>6</w:t>
            </w:r>
            <w:r>
              <w:rPr>
                <w:noProof/>
                <w:webHidden/>
              </w:rPr>
              <w:fldChar w:fldCharType="end"/>
            </w:r>
          </w:hyperlink>
        </w:p>
        <w:p w14:paraId="7AE02279" w14:textId="77777777" w:rsidR="005620F4" w:rsidRDefault="005620F4">
          <w:pPr>
            <w:pStyle w:val="TOC1"/>
            <w:tabs>
              <w:tab w:val="left" w:pos="440"/>
              <w:tab w:val="right" w:leader="dot" w:pos="9350"/>
            </w:tabs>
            <w:rPr>
              <w:rFonts w:asciiTheme="minorHAnsi" w:eastAsiaTheme="minorEastAsia" w:hAnsiTheme="minorHAnsi"/>
              <w:noProof/>
              <w:sz w:val="22"/>
              <w:lang w:val="en-GB" w:eastAsia="en-GB"/>
            </w:rPr>
          </w:pPr>
          <w:hyperlink w:anchor="_Toc483361447" w:history="1">
            <w:r w:rsidRPr="00644E27">
              <w:rPr>
                <w:rStyle w:val="Hyperlink"/>
                <w:noProof/>
              </w:rPr>
              <w:t>1.</w:t>
            </w:r>
            <w:r>
              <w:rPr>
                <w:rFonts w:asciiTheme="minorHAnsi" w:eastAsiaTheme="minorEastAsia" w:hAnsiTheme="minorHAnsi"/>
                <w:noProof/>
                <w:sz w:val="22"/>
                <w:lang w:val="en-GB" w:eastAsia="en-GB"/>
              </w:rPr>
              <w:tab/>
            </w:r>
            <w:r w:rsidRPr="00644E27">
              <w:rPr>
                <w:rStyle w:val="Hyperlink"/>
                <w:noProof/>
              </w:rPr>
              <w:t>Introduction</w:t>
            </w:r>
            <w:r>
              <w:rPr>
                <w:noProof/>
                <w:webHidden/>
              </w:rPr>
              <w:tab/>
            </w:r>
            <w:r>
              <w:rPr>
                <w:noProof/>
                <w:webHidden/>
              </w:rPr>
              <w:fldChar w:fldCharType="begin"/>
            </w:r>
            <w:r>
              <w:rPr>
                <w:noProof/>
                <w:webHidden/>
              </w:rPr>
              <w:instrText xml:space="preserve"> PAGEREF _Toc483361447 \h </w:instrText>
            </w:r>
            <w:r>
              <w:rPr>
                <w:noProof/>
                <w:webHidden/>
              </w:rPr>
            </w:r>
            <w:r>
              <w:rPr>
                <w:noProof/>
                <w:webHidden/>
              </w:rPr>
              <w:fldChar w:fldCharType="separate"/>
            </w:r>
            <w:r>
              <w:rPr>
                <w:noProof/>
                <w:webHidden/>
              </w:rPr>
              <w:t>7</w:t>
            </w:r>
            <w:r>
              <w:rPr>
                <w:noProof/>
                <w:webHidden/>
              </w:rPr>
              <w:fldChar w:fldCharType="end"/>
            </w:r>
          </w:hyperlink>
        </w:p>
        <w:p w14:paraId="03977E7C" w14:textId="77777777" w:rsidR="005620F4" w:rsidRDefault="005620F4">
          <w:pPr>
            <w:pStyle w:val="TOC1"/>
            <w:tabs>
              <w:tab w:val="left" w:pos="440"/>
              <w:tab w:val="right" w:leader="dot" w:pos="9350"/>
            </w:tabs>
            <w:rPr>
              <w:rFonts w:asciiTheme="minorHAnsi" w:eastAsiaTheme="minorEastAsia" w:hAnsiTheme="minorHAnsi"/>
              <w:noProof/>
              <w:sz w:val="22"/>
              <w:lang w:val="en-GB" w:eastAsia="en-GB"/>
            </w:rPr>
          </w:pPr>
          <w:hyperlink w:anchor="_Toc483361448" w:history="1">
            <w:r w:rsidRPr="00644E27">
              <w:rPr>
                <w:rStyle w:val="Hyperlink"/>
                <w:noProof/>
              </w:rPr>
              <w:t>2.</w:t>
            </w:r>
            <w:r>
              <w:rPr>
                <w:rFonts w:asciiTheme="minorHAnsi" w:eastAsiaTheme="minorEastAsia" w:hAnsiTheme="minorHAnsi"/>
                <w:noProof/>
                <w:sz w:val="22"/>
                <w:lang w:val="en-GB" w:eastAsia="en-GB"/>
              </w:rPr>
              <w:tab/>
            </w:r>
            <w:r w:rsidRPr="00644E27">
              <w:rPr>
                <w:rStyle w:val="Hyperlink"/>
                <w:noProof/>
              </w:rPr>
              <w:t>Methodology</w:t>
            </w:r>
            <w:r>
              <w:rPr>
                <w:noProof/>
                <w:webHidden/>
              </w:rPr>
              <w:tab/>
            </w:r>
            <w:r>
              <w:rPr>
                <w:noProof/>
                <w:webHidden/>
              </w:rPr>
              <w:fldChar w:fldCharType="begin"/>
            </w:r>
            <w:r>
              <w:rPr>
                <w:noProof/>
                <w:webHidden/>
              </w:rPr>
              <w:instrText xml:space="preserve"> PAGEREF _Toc483361448 \h </w:instrText>
            </w:r>
            <w:r>
              <w:rPr>
                <w:noProof/>
                <w:webHidden/>
              </w:rPr>
            </w:r>
            <w:r>
              <w:rPr>
                <w:noProof/>
                <w:webHidden/>
              </w:rPr>
              <w:fldChar w:fldCharType="separate"/>
            </w:r>
            <w:r>
              <w:rPr>
                <w:noProof/>
                <w:webHidden/>
              </w:rPr>
              <w:t>8</w:t>
            </w:r>
            <w:r>
              <w:rPr>
                <w:noProof/>
                <w:webHidden/>
              </w:rPr>
              <w:fldChar w:fldCharType="end"/>
            </w:r>
          </w:hyperlink>
        </w:p>
        <w:p w14:paraId="65DC1E8E" w14:textId="77777777" w:rsidR="005620F4" w:rsidRDefault="005620F4">
          <w:pPr>
            <w:pStyle w:val="TOC2"/>
            <w:tabs>
              <w:tab w:val="right" w:leader="dot" w:pos="9350"/>
            </w:tabs>
            <w:rPr>
              <w:rFonts w:asciiTheme="minorHAnsi" w:eastAsiaTheme="minorEastAsia" w:hAnsiTheme="minorHAnsi"/>
              <w:noProof/>
              <w:sz w:val="22"/>
              <w:lang w:val="en-GB" w:eastAsia="en-GB"/>
            </w:rPr>
          </w:pPr>
          <w:hyperlink w:anchor="_Toc483361449" w:history="1">
            <w:r w:rsidRPr="00644E27">
              <w:rPr>
                <w:rStyle w:val="Hyperlink"/>
                <w:noProof/>
              </w:rPr>
              <w:t>2.1 Study locations</w:t>
            </w:r>
            <w:r>
              <w:rPr>
                <w:noProof/>
                <w:webHidden/>
              </w:rPr>
              <w:tab/>
            </w:r>
            <w:r>
              <w:rPr>
                <w:noProof/>
                <w:webHidden/>
              </w:rPr>
              <w:fldChar w:fldCharType="begin"/>
            </w:r>
            <w:r>
              <w:rPr>
                <w:noProof/>
                <w:webHidden/>
              </w:rPr>
              <w:instrText xml:space="preserve"> PAGEREF _Toc483361449 \h </w:instrText>
            </w:r>
            <w:r>
              <w:rPr>
                <w:noProof/>
                <w:webHidden/>
              </w:rPr>
            </w:r>
            <w:r>
              <w:rPr>
                <w:noProof/>
                <w:webHidden/>
              </w:rPr>
              <w:fldChar w:fldCharType="separate"/>
            </w:r>
            <w:r>
              <w:rPr>
                <w:noProof/>
                <w:webHidden/>
              </w:rPr>
              <w:t>8</w:t>
            </w:r>
            <w:r>
              <w:rPr>
                <w:noProof/>
                <w:webHidden/>
              </w:rPr>
              <w:fldChar w:fldCharType="end"/>
            </w:r>
          </w:hyperlink>
        </w:p>
        <w:p w14:paraId="488D20AD" w14:textId="77777777" w:rsidR="005620F4" w:rsidRDefault="005620F4">
          <w:pPr>
            <w:pStyle w:val="TOC3"/>
            <w:tabs>
              <w:tab w:val="right" w:leader="dot" w:pos="9350"/>
            </w:tabs>
            <w:rPr>
              <w:rFonts w:asciiTheme="minorHAnsi" w:eastAsiaTheme="minorEastAsia" w:hAnsiTheme="minorHAnsi"/>
              <w:noProof/>
              <w:sz w:val="22"/>
              <w:lang w:eastAsia="en-GB"/>
            </w:rPr>
          </w:pPr>
          <w:hyperlink w:anchor="_Toc483361450" w:history="1">
            <w:r w:rsidRPr="00644E27">
              <w:rPr>
                <w:rStyle w:val="Hyperlink"/>
                <w:noProof/>
              </w:rPr>
              <w:t>2.1.1. Amman Governorate</w:t>
            </w:r>
            <w:r>
              <w:rPr>
                <w:noProof/>
                <w:webHidden/>
              </w:rPr>
              <w:tab/>
            </w:r>
            <w:r>
              <w:rPr>
                <w:noProof/>
                <w:webHidden/>
              </w:rPr>
              <w:fldChar w:fldCharType="begin"/>
            </w:r>
            <w:r>
              <w:rPr>
                <w:noProof/>
                <w:webHidden/>
              </w:rPr>
              <w:instrText xml:space="preserve"> PAGEREF _Toc483361450 \h </w:instrText>
            </w:r>
            <w:r>
              <w:rPr>
                <w:noProof/>
                <w:webHidden/>
              </w:rPr>
            </w:r>
            <w:r>
              <w:rPr>
                <w:noProof/>
                <w:webHidden/>
              </w:rPr>
              <w:fldChar w:fldCharType="separate"/>
            </w:r>
            <w:r>
              <w:rPr>
                <w:noProof/>
                <w:webHidden/>
              </w:rPr>
              <w:t>9</w:t>
            </w:r>
            <w:r>
              <w:rPr>
                <w:noProof/>
                <w:webHidden/>
              </w:rPr>
              <w:fldChar w:fldCharType="end"/>
            </w:r>
          </w:hyperlink>
        </w:p>
        <w:p w14:paraId="692B66AF" w14:textId="77777777" w:rsidR="005620F4" w:rsidRDefault="005620F4">
          <w:pPr>
            <w:pStyle w:val="TOC3"/>
            <w:tabs>
              <w:tab w:val="right" w:leader="dot" w:pos="9350"/>
            </w:tabs>
            <w:rPr>
              <w:rFonts w:asciiTheme="minorHAnsi" w:eastAsiaTheme="minorEastAsia" w:hAnsiTheme="minorHAnsi"/>
              <w:noProof/>
              <w:sz w:val="22"/>
              <w:lang w:eastAsia="en-GB"/>
            </w:rPr>
          </w:pPr>
          <w:hyperlink w:anchor="_Toc483361451" w:history="1">
            <w:r w:rsidRPr="00644E27">
              <w:rPr>
                <w:rStyle w:val="Hyperlink"/>
                <w:noProof/>
              </w:rPr>
              <w:t>2.1.2. Madaba Governorate</w:t>
            </w:r>
            <w:r>
              <w:rPr>
                <w:noProof/>
                <w:webHidden/>
              </w:rPr>
              <w:tab/>
            </w:r>
            <w:r>
              <w:rPr>
                <w:noProof/>
                <w:webHidden/>
              </w:rPr>
              <w:fldChar w:fldCharType="begin"/>
            </w:r>
            <w:r>
              <w:rPr>
                <w:noProof/>
                <w:webHidden/>
              </w:rPr>
              <w:instrText xml:space="preserve"> PAGEREF _Toc483361451 \h </w:instrText>
            </w:r>
            <w:r>
              <w:rPr>
                <w:noProof/>
                <w:webHidden/>
              </w:rPr>
            </w:r>
            <w:r>
              <w:rPr>
                <w:noProof/>
                <w:webHidden/>
              </w:rPr>
              <w:fldChar w:fldCharType="separate"/>
            </w:r>
            <w:r>
              <w:rPr>
                <w:noProof/>
                <w:webHidden/>
              </w:rPr>
              <w:t>11</w:t>
            </w:r>
            <w:r>
              <w:rPr>
                <w:noProof/>
                <w:webHidden/>
              </w:rPr>
              <w:fldChar w:fldCharType="end"/>
            </w:r>
          </w:hyperlink>
        </w:p>
        <w:p w14:paraId="410F3F9C" w14:textId="77777777" w:rsidR="005620F4" w:rsidRDefault="005620F4">
          <w:pPr>
            <w:pStyle w:val="TOC3"/>
            <w:tabs>
              <w:tab w:val="right" w:leader="dot" w:pos="9350"/>
            </w:tabs>
            <w:rPr>
              <w:rFonts w:asciiTheme="minorHAnsi" w:eastAsiaTheme="minorEastAsia" w:hAnsiTheme="minorHAnsi"/>
              <w:noProof/>
              <w:sz w:val="22"/>
              <w:lang w:eastAsia="en-GB"/>
            </w:rPr>
          </w:pPr>
          <w:hyperlink w:anchor="_Toc483361452" w:history="1">
            <w:r w:rsidRPr="00644E27">
              <w:rPr>
                <w:rStyle w:val="Hyperlink"/>
                <w:noProof/>
              </w:rPr>
              <w:t>2.1.3. Irbib Governorate</w:t>
            </w:r>
            <w:r>
              <w:rPr>
                <w:noProof/>
                <w:webHidden/>
              </w:rPr>
              <w:tab/>
            </w:r>
            <w:r>
              <w:rPr>
                <w:noProof/>
                <w:webHidden/>
              </w:rPr>
              <w:fldChar w:fldCharType="begin"/>
            </w:r>
            <w:r>
              <w:rPr>
                <w:noProof/>
                <w:webHidden/>
              </w:rPr>
              <w:instrText xml:space="preserve"> PAGEREF _Toc483361452 \h </w:instrText>
            </w:r>
            <w:r>
              <w:rPr>
                <w:noProof/>
                <w:webHidden/>
              </w:rPr>
            </w:r>
            <w:r>
              <w:rPr>
                <w:noProof/>
                <w:webHidden/>
              </w:rPr>
              <w:fldChar w:fldCharType="separate"/>
            </w:r>
            <w:r>
              <w:rPr>
                <w:noProof/>
                <w:webHidden/>
              </w:rPr>
              <w:t>11</w:t>
            </w:r>
            <w:r>
              <w:rPr>
                <w:noProof/>
                <w:webHidden/>
              </w:rPr>
              <w:fldChar w:fldCharType="end"/>
            </w:r>
          </w:hyperlink>
        </w:p>
        <w:p w14:paraId="01081D11" w14:textId="77777777" w:rsidR="005620F4" w:rsidRDefault="005620F4">
          <w:pPr>
            <w:pStyle w:val="TOC3"/>
            <w:tabs>
              <w:tab w:val="right" w:leader="dot" w:pos="9350"/>
            </w:tabs>
            <w:rPr>
              <w:rFonts w:asciiTheme="minorHAnsi" w:eastAsiaTheme="minorEastAsia" w:hAnsiTheme="minorHAnsi"/>
              <w:noProof/>
              <w:sz w:val="22"/>
              <w:lang w:eastAsia="en-GB"/>
            </w:rPr>
          </w:pPr>
          <w:hyperlink w:anchor="_Toc483361453" w:history="1">
            <w:r w:rsidRPr="00644E27">
              <w:rPr>
                <w:rStyle w:val="Hyperlink"/>
                <w:noProof/>
              </w:rPr>
              <w:t>2.1.4. Mafraq Governorate</w:t>
            </w:r>
            <w:r>
              <w:rPr>
                <w:noProof/>
                <w:webHidden/>
              </w:rPr>
              <w:tab/>
            </w:r>
            <w:r>
              <w:rPr>
                <w:noProof/>
                <w:webHidden/>
              </w:rPr>
              <w:fldChar w:fldCharType="begin"/>
            </w:r>
            <w:r>
              <w:rPr>
                <w:noProof/>
                <w:webHidden/>
              </w:rPr>
              <w:instrText xml:space="preserve"> PAGEREF _Toc483361453 \h </w:instrText>
            </w:r>
            <w:r>
              <w:rPr>
                <w:noProof/>
                <w:webHidden/>
              </w:rPr>
            </w:r>
            <w:r>
              <w:rPr>
                <w:noProof/>
                <w:webHidden/>
              </w:rPr>
              <w:fldChar w:fldCharType="separate"/>
            </w:r>
            <w:r>
              <w:rPr>
                <w:noProof/>
                <w:webHidden/>
              </w:rPr>
              <w:t>11</w:t>
            </w:r>
            <w:r>
              <w:rPr>
                <w:noProof/>
                <w:webHidden/>
              </w:rPr>
              <w:fldChar w:fldCharType="end"/>
            </w:r>
          </w:hyperlink>
        </w:p>
        <w:p w14:paraId="2F4FBD0A" w14:textId="77777777" w:rsidR="005620F4" w:rsidRDefault="005620F4">
          <w:pPr>
            <w:pStyle w:val="TOC2"/>
            <w:tabs>
              <w:tab w:val="right" w:leader="dot" w:pos="9350"/>
            </w:tabs>
            <w:rPr>
              <w:rFonts w:asciiTheme="minorHAnsi" w:eastAsiaTheme="minorEastAsia" w:hAnsiTheme="minorHAnsi"/>
              <w:noProof/>
              <w:sz w:val="22"/>
              <w:lang w:val="en-GB" w:eastAsia="en-GB"/>
            </w:rPr>
          </w:pPr>
          <w:hyperlink w:anchor="_Toc483361454" w:history="1">
            <w:r w:rsidRPr="00644E27">
              <w:rPr>
                <w:rStyle w:val="Hyperlink"/>
                <w:noProof/>
              </w:rPr>
              <w:t>2.2 Study design</w:t>
            </w:r>
            <w:r>
              <w:rPr>
                <w:noProof/>
                <w:webHidden/>
              </w:rPr>
              <w:tab/>
            </w:r>
            <w:r>
              <w:rPr>
                <w:noProof/>
                <w:webHidden/>
              </w:rPr>
              <w:fldChar w:fldCharType="begin"/>
            </w:r>
            <w:r>
              <w:rPr>
                <w:noProof/>
                <w:webHidden/>
              </w:rPr>
              <w:instrText xml:space="preserve"> PAGEREF _Toc483361454 \h </w:instrText>
            </w:r>
            <w:r>
              <w:rPr>
                <w:noProof/>
                <w:webHidden/>
              </w:rPr>
            </w:r>
            <w:r>
              <w:rPr>
                <w:noProof/>
                <w:webHidden/>
              </w:rPr>
              <w:fldChar w:fldCharType="separate"/>
            </w:r>
            <w:r>
              <w:rPr>
                <w:noProof/>
                <w:webHidden/>
              </w:rPr>
              <w:t>12</w:t>
            </w:r>
            <w:r>
              <w:rPr>
                <w:noProof/>
                <w:webHidden/>
              </w:rPr>
              <w:fldChar w:fldCharType="end"/>
            </w:r>
          </w:hyperlink>
        </w:p>
        <w:p w14:paraId="2113F464" w14:textId="77777777" w:rsidR="005620F4" w:rsidRDefault="005620F4">
          <w:pPr>
            <w:pStyle w:val="TOC3"/>
            <w:tabs>
              <w:tab w:val="right" w:leader="dot" w:pos="9350"/>
            </w:tabs>
            <w:rPr>
              <w:rFonts w:asciiTheme="minorHAnsi" w:eastAsiaTheme="minorEastAsia" w:hAnsiTheme="minorHAnsi"/>
              <w:noProof/>
              <w:sz w:val="22"/>
              <w:lang w:eastAsia="en-GB"/>
            </w:rPr>
          </w:pPr>
          <w:hyperlink w:anchor="_Toc483361455" w:history="1">
            <w:r w:rsidRPr="00644E27">
              <w:rPr>
                <w:rStyle w:val="Hyperlink"/>
                <w:noProof/>
              </w:rPr>
              <w:t>2.2.1. Conceptual framework of the study</w:t>
            </w:r>
            <w:r>
              <w:rPr>
                <w:noProof/>
                <w:webHidden/>
              </w:rPr>
              <w:tab/>
            </w:r>
            <w:r>
              <w:rPr>
                <w:noProof/>
                <w:webHidden/>
              </w:rPr>
              <w:fldChar w:fldCharType="begin"/>
            </w:r>
            <w:r>
              <w:rPr>
                <w:noProof/>
                <w:webHidden/>
              </w:rPr>
              <w:instrText xml:space="preserve"> PAGEREF _Toc483361455 \h </w:instrText>
            </w:r>
            <w:r>
              <w:rPr>
                <w:noProof/>
                <w:webHidden/>
              </w:rPr>
            </w:r>
            <w:r>
              <w:rPr>
                <w:noProof/>
                <w:webHidden/>
              </w:rPr>
              <w:fldChar w:fldCharType="separate"/>
            </w:r>
            <w:r>
              <w:rPr>
                <w:noProof/>
                <w:webHidden/>
              </w:rPr>
              <w:t>12</w:t>
            </w:r>
            <w:r>
              <w:rPr>
                <w:noProof/>
                <w:webHidden/>
              </w:rPr>
              <w:fldChar w:fldCharType="end"/>
            </w:r>
          </w:hyperlink>
        </w:p>
        <w:p w14:paraId="15935172" w14:textId="77777777" w:rsidR="005620F4" w:rsidRDefault="005620F4">
          <w:pPr>
            <w:pStyle w:val="TOC3"/>
            <w:tabs>
              <w:tab w:val="right" w:leader="dot" w:pos="9350"/>
            </w:tabs>
            <w:rPr>
              <w:rFonts w:asciiTheme="minorHAnsi" w:eastAsiaTheme="minorEastAsia" w:hAnsiTheme="minorHAnsi"/>
              <w:noProof/>
              <w:sz w:val="22"/>
              <w:lang w:eastAsia="en-GB"/>
            </w:rPr>
          </w:pPr>
          <w:hyperlink w:anchor="_Toc483361456" w:history="1">
            <w:r w:rsidRPr="00644E27">
              <w:rPr>
                <w:rStyle w:val="Hyperlink"/>
                <w:noProof/>
              </w:rPr>
              <w:t>2.2.2. Sampling strategy</w:t>
            </w:r>
            <w:r>
              <w:rPr>
                <w:noProof/>
                <w:webHidden/>
              </w:rPr>
              <w:tab/>
            </w:r>
            <w:r>
              <w:rPr>
                <w:noProof/>
                <w:webHidden/>
              </w:rPr>
              <w:fldChar w:fldCharType="begin"/>
            </w:r>
            <w:r>
              <w:rPr>
                <w:noProof/>
                <w:webHidden/>
              </w:rPr>
              <w:instrText xml:space="preserve"> PAGEREF _Toc483361456 \h </w:instrText>
            </w:r>
            <w:r>
              <w:rPr>
                <w:noProof/>
                <w:webHidden/>
              </w:rPr>
            </w:r>
            <w:r>
              <w:rPr>
                <w:noProof/>
                <w:webHidden/>
              </w:rPr>
              <w:fldChar w:fldCharType="separate"/>
            </w:r>
            <w:r>
              <w:rPr>
                <w:noProof/>
                <w:webHidden/>
              </w:rPr>
              <w:t>14</w:t>
            </w:r>
            <w:r>
              <w:rPr>
                <w:noProof/>
                <w:webHidden/>
              </w:rPr>
              <w:fldChar w:fldCharType="end"/>
            </w:r>
          </w:hyperlink>
        </w:p>
        <w:p w14:paraId="4FA84B95" w14:textId="77777777" w:rsidR="005620F4" w:rsidRDefault="005620F4">
          <w:pPr>
            <w:pStyle w:val="TOC2"/>
            <w:tabs>
              <w:tab w:val="right" w:leader="dot" w:pos="9350"/>
            </w:tabs>
            <w:rPr>
              <w:rFonts w:asciiTheme="minorHAnsi" w:eastAsiaTheme="minorEastAsia" w:hAnsiTheme="minorHAnsi"/>
              <w:noProof/>
              <w:sz w:val="22"/>
              <w:lang w:val="en-GB" w:eastAsia="en-GB"/>
            </w:rPr>
          </w:pPr>
          <w:hyperlink w:anchor="_Toc483361457" w:history="1">
            <w:r w:rsidRPr="00644E27">
              <w:rPr>
                <w:rStyle w:val="Hyperlink"/>
                <w:noProof/>
              </w:rPr>
              <w:t>2.3. Regional Context assessment</w:t>
            </w:r>
            <w:r>
              <w:rPr>
                <w:noProof/>
                <w:webHidden/>
              </w:rPr>
              <w:tab/>
            </w:r>
            <w:r>
              <w:rPr>
                <w:noProof/>
                <w:webHidden/>
              </w:rPr>
              <w:fldChar w:fldCharType="begin"/>
            </w:r>
            <w:r>
              <w:rPr>
                <w:noProof/>
                <w:webHidden/>
              </w:rPr>
              <w:instrText xml:space="preserve"> PAGEREF _Toc483361457 \h </w:instrText>
            </w:r>
            <w:r>
              <w:rPr>
                <w:noProof/>
                <w:webHidden/>
              </w:rPr>
            </w:r>
            <w:r>
              <w:rPr>
                <w:noProof/>
                <w:webHidden/>
              </w:rPr>
              <w:fldChar w:fldCharType="separate"/>
            </w:r>
            <w:r>
              <w:rPr>
                <w:noProof/>
                <w:webHidden/>
              </w:rPr>
              <w:t>15</w:t>
            </w:r>
            <w:r>
              <w:rPr>
                <w:noProof/>
                <w:webHidden/>
              </w:rPr>
              <w:fldChar w:fldCharType="end"/>
            </w:r>
          </w:hyperlink>
        </w:p>
        <w:p w14:paraId="06686810" w14:textId="77777777" w:rsidR="005620F4" w:rsidRDefault="005620F4">
          <w:pPr>
            <w:pStyle w:val="TOC2"/>
            <w:tabs>
              <w:tab w:val="right" w:leader="dot" w:pos="9350"/>
            </w:tabs>
            <w:rPr>
              <w:rFonts w:asciiTheme="minorHAnsi" w:eastAsiaTheme="minorEastAsia" w:hAnsiTheme="minorHAnsi"/>
              <w:noProof/>
              <w:sz w:val="22"/>
              <w:lang w:val="en-GB" w:eastAsia="en-GB"/>
            </w:rPr>
          </w:pPr>
          <w:hyperlink w:anchor="_Toc483361458" w:history="1">
            <w:r w:rsidRPr="00644E27">
              <w:rPr>
                <w:rStyle w:val="Hyperlink"/>
                <w:noProof/>
              </w:rPr>
              <w:t>2.4. Quantitative agricultural livelihood assessment</w:t>
            </w:r>
            <w:r>
              <w:rPr>
                <w:noProof/>
                <w:webHidden/>
              </w:rPr>
              <w:tab/>
            </w:r>
            <w:r>
              <w:rPr>
                <w:noProof/>
                <w:webHidden/>
              </w:rPr>
              <w:fldChar w:fldCharType="begin"/>
            </w:r>
            <w:r>
              <w:rPr>
                <w:noProof/>
                <w:webHidden/>
              </w:rPr>
              <w:instrText xml:space="preserve"> PAGEREF _Toc483361458 \h </w:instrText>
            </w:r>
            <w:r>
              <w:rPr>
                <w:noProof/>
                <w:webHidden/>
              </w:rPr>
            </w:r>
            <w:r>
              <w:rPr>
                <w:noProof/>
                <w:webHidden/>
              </w:rPr>
              <w:fldChar w:fldCharType="separate"/>
            </w:r>
            <w:r>
              <w:rPr>
                <w:noProof/>
                <w:webHidden/>
              </w:rPr>
              <w:t>15</w:t>
            </w:r>
            <w:r>
              <w:rPr>
                <w:noProof/>
                <w:webHidden/>
              </w:rPr>
              <w:fldChar w:fldCharType="end"/>
            </w:r>
          </w:hyperlink>
        </w:p>
        <w:p w14:paraId="6E6CF045" w14:textId="77777777" w:rsidR="005620F4" w:rsidRDefault="005620F4">
          <w:pPr>
            <w:pStyle w:val="TOC2"/>
            <w:tabs>
              <w:tab w:val="right" w:leader="dot" w:pos="9350"/>
            </w:tabs>
            <w:rPr>
              <w:rFonts w:asciiTheme="minorHAnsi" w:eastAsiaTheme="minorEastAsia" w:hAnsiTheme="minorHAnsi"/>
              <w:noProof/>
              <w:sz w:val="22"/>
              <w:lang w:val="en-GB" w:eastAsia="en-GB"/>
            </w:rPr>
          </w:pPr>
          <w:hyperlink w:anchor="_Toc483361459" w:history="1">
            <w:r w:rsidRPr="00644E27">
              <w:rPr>
                <w:rStyle w:val="Hyperlink"/>
                <w:noProof/>
              </w:rPr>
              <w:t>2.5 Method for Cluster analysis</w:t>
            </w:r>
            <w:r>
              <w:rPr>
                <w:noProof/>
                <w:webHidden/>
              </w:rPr>
              <w:tab/>
            </w:r>
            <w:r>
              <w:rPr>
                <w:noProof/>
                <w:webHidden/>
              </w:rPr>
              <w:fldChar w:fldCharType="begin"/>
            </w:r>
            <w:r>
              <w:rPr>
                <w:noProof/>
                <w:webHidden/>
              </w:rPr>
              <w:instrText xml:space="preserve"> PAGEREF _Toc483361459 \h </w:instrText>
            </w:r>
            <w:r>
              <w:rPr>
                <w:noProof/>
                <w:webHidden/>
              </w:rPr>
            </w:r>
            <w:r>
              <w:rPr>
                <w:noProof/>
                <w:webHidden/>
              </w:rPr>
              <w:fldChar w:fldCharType="separate"/>
            </w:r>
            <w:r>
              <w:rPr>
                <w:noProof/>
                <w:webHidden/>
              </w:rPr>
              <w:t>16</w:t>
            </w:r>
            <w:r>
              <w:rPr>
                <w:noProof/>
                <w:webHidden/>
              </w:rPr>
              <w:fldChar w:fldCharType="end"/>
            </w:r>
          </w:hyperlink>
        </w:p>
        <w:p w14:paraId="644A8BB0" w14:textId="77777777" w:rsidR="005620F4" w:rsidRDefault="005620F4">
          <w:pPr>
            <w:pStyle w:val="TOC2"/>
            <w:tabs>
              <w:tab w:val="right" w:leader="dot" w:pos="9350"/>
            </w:tabs>
            <w:rPr>
              <w:rFonts w:asciiTheme="minorHAnsi" w:eastAsiaTheme="minorEastAsia" w:hAnsiTheme="minorHAnsi"/>
              <w:noProof/>
              <w:sz w:val="22"/>
              <w:lang w:val="en-GB" w:eastAsia="en-GB"/>
            </w:rPr>
          </w:pPr>
          <w:hyperlink w:anchor="_Toc483361460" w:history="1">
            <w:r w:rsidRPr="00644E27">
              <w:rPr>
                <w:rStyle w:val="Hyperlink"/>
                <w:noProof/>
              </w:rPr>
              <w:t>2.6. Data collection strategy and training of enumerators</w:t>
            </w:r>
            <w:r>
              <w:rPr>
                <w:noProof/>
                <w:webHidden/>
              </w:rPr>
              <w:tab/>
            </w:r>
            <w:r>
              <w:rPr>
                <w:noProof/>
                <w:webHidden/>
              </w:rPr>
              <w:fldChar w:fldCharType="begin"/>
            </w:r>
            <w:r>
              <w:rPr>
                <w:noProof/>
                <w:webHidden/>
              </w:rPr>
              <w:instrText xml:space="preserve"> PAGEREF _Toc483361460 \h </w:instrText>
            </w:r>
            <w:r>
              <w:rPr>
                <w:noProof/>
                <w:webHidden/>
              </w:rPr>
            </w:r>
            <w:r>
              <w:rPr>
                <w:noProof/>
                <w:webHidden/>
              </w:rPr>
              <w:fldChar w:fldCharType="separate"/>
            </w:r>
            <w:r>
              <w:rPr>
                <w:noProof/>
                <w:webHidden/>
              </w:rPr>
              <w:t>17</w:t>
            </w:r>
            <w:r>
              <w:rPr>
                <w:noProof/>
                <w:webHidden/>
              </w:rPr>
              <w:fldChar w:fldCharType="end"/>
            </w:r>
          </w:hyperlink>
        </w:p>
        <w:p w14:paraId="1ADDCC1C" w14:textId="77777777" w:rsidR="005620F4" w:rsidRDefault="005620F4">
          <w:pPr>
            <w:pStyle w:val="TOC1"/>
            <w:tabs>
              <w:tab w:val="right" w:leader="dot" w:pos="9350"/>
            </w:tabs>
            <w:rPr>
              <w:rFonts w:asciiTheme="minorHAnsi" w:eastAsiaTheme="minorEastAsia" w:hAnsiTheme="minorHAnsi"/>
              <w:noProof/>
              <w:sz w:val="22"/>
              <w:lang w:val="en-GB" w:eastAsia="en-GB"/>
            </w:rPr>
          </w:pPr>
          <w:hyperlink w:anchor="_Toc483361461" w:history="1">
            <w:r w:rsidRPr="00644E27">
              <w:rPr>
                <w:rStyle w:val="Hyperlink"/>
                <w:noProof/>
              </w:rPr>
              <w:t>References</w:t>
            </w:r>
            <w:r>
              <w:rPr>
                <w:noProof/>
                <w:webHidden/>
              </w:rPr>
              <w:tab/>
            </w:r>
            <w:r>
              <w:rPr>
                <w:noProof/>
                <w:webHidden/>
              </w:rPr>
              <w:fldChar w:fldCharType="begin"/>
            </w:r>
            <w:r>
              <w:rPr>
                <w:noProof/>
                <w:webHidden/>
              </w:rPr>
              <w:instrText xml:space="preserve"> PAGEREF _Toc483361461 \h </w:instrText>
            </w:r>
            <w:r>
              <w:rPr>
                <w:noProof/>
                <w:webHidden/>
              </w:rPr>
            </w:r>
            <w:r>
              <w:rPr>
                <w:noProof/>
                <w:webHidden/>
              </w:rPr>
              <w:fldChar w:fldCharType="separate"/>
            </w:r>
            <w:r>
              <w:rPr>
                <w:noProof/>
                <w:webHidden/>
              </w:rPr>
              <w:t>18</w:t>
            </w:r>
            <w:r>
              <w:rPr>
                <w:noProof/>
                <w:webHidden/>
              </w:rPr>
              <w:fldChar w:fldCharType="end"/>
            </w:r>
          </w:hyperlink>
        </w:p>
        <w:p w14:paraId="40300335" w14:textId="220CABDB" w:rsidR="00E60353" w:rsidRDefault="002A7763" w:rsidP="008B5BBD">
          <w:pPr>
            <w:spacing w:after="0"/>
          </w:pPr>
          <w:r>
            <w:rPr>
              <w:lang w:val="en-US"/>
            </w:rPr>
            <w:fldChar w:fldCharType="end"/>
          </w:r>
        </w:p>
      </w:sdtContent>
    </w:sdt>
    <w:p w14:paraId="0CF7D429" w14:textId="77777777" w:rsidR="00E60353" w:rsidRDefault="00E60353" w:rsidP="00E60353">
      <w:pPr>
        <w:rPr>
          <w:b/>
          <w:bCs/>
          <w:sz w:val="32"/>
          <w:lang w:val="en-US"/>
        </w:rPr>
      </w:pPr>
      <w:r>
        <w:rPr>
          <w:b/>
          <w:bCs/>
          <w:sz w:val="32"/>
          <w:lang w:val="en-US"/>
        </w:rPr>
        <w:br w:type="page"/>
      </w:r>
    </w:p>
    <w:p w14:paraId="47F1266B" w14:textId="48541337" w:rsidR="00DB4299" w:rsidRDefault="0020217B" w:rsidP="00E60353">
      <w:pPr>
        <w:pStyle w:val="Heading1"/>
        <w:rPr>
          <w:lang w:val="en-US"/>
        </w:rPr>
      </w:pPr>
      <w:bookmarkStart w:id="6" w:name="_Toc483361444"/>
      <w:r>
        <w:rPr>
          <w:lang w:val="en-US"/>
        </w:rPr>
        <w:lastRenderedPageBreak/>
        <w:t>List</w:t>
      </w:r>
      <w:r w:rsidR="00DB4299">
        <w:rPr>
          <w:lang w:val="en-US"/>
        </w:rPr>
        <w:t xml:space="preserve"> of tables</w:t>
      </w:r>
      <w:bookmarkEnd w:id="6"/>
    </w:p>
    <w:p w14:paraId="46C8D3A8" w14:textId="77777777" w:rsidR="00FD74A9" w:rsidRDefault="0020217B">
      <w:pPr>
        <w:pStyle w:val="TableofFigures"/>
        <w:tabs>
          <w:tab w:val="right" w:leader="dot" w:pos="9350"/>
        </w:tabs>
        <w:rPr>
          <w:rFonts w:asciiTheme="minorHAnsi" w:eastAsiaTheme="minorEastAsia" w:hAnsiTheme="minorHAnsi"/>
          <w:noProof/>
          <w:sz w:val="22"/>
          <w:lang w:eastAsia="en-GB"/>
        </w:rPr>
      </w:pPr>
      <w:r>
        <w:rPr>
          <w:lang w:val="en-US"/>
        </w:rPr>
        <w:fldChar w:fldCharType="begin"/>
      </w:r>
      <w:r>
        <w:rPr>
          <w:lang w:val="en-US"/>
        </w:rPr>
        <w:instrText xml:space="preserve"> TOC \h \z \c "Table" </w:instrText>
      </w:r>
      <w:r>
        <w:rPr>
          <w:lang w:val="en-US"/>
        </w:rPr>
        <w:fldChar w:fldCharType="separate"/>
      </w:r>
      <w:hyperlink w:anchor="_Toc483361425" w:history="1">
        <w:r w:rsidR="00FD74A9" w:rsidRPr="007F0105">
          <w:rPr>
            <w:rStyle w:val="Hyperlink"/>
            <w:noProof/>
          </w:rPr>
          <w:t xml:space="preserve">Table 1: </w:t>
        </w:r>
        <w:r w:rsidR="00FD74A9" w:rsidRPr="007F0105">
          <w:rPr>
            <w:rStyle w:val="Hyperlink"/>
            <w:noProof/>
            <w:lang w:val="en-US"/>
          </w:rPr>
          <w:t xml:space="preserve"> Data collection strategy</w:t>
        </w:r>
        <w:r w:rsidR="00FD74A9">
          <w:rPr>
            <w:noProof/>
            <w:webHidden/>
          </w:rPr>
          <w:tab/>
        </w:r>
        <w:r w:rsidR="00FD74A9">
          <w:rPr>
            <w:noProof/>
            <w:webHidden/>
          </w:rPr>
          <w:fldChar w:fldCharType="begin"/>
        </w:r>
        <w:r w:rsidR="00FD74A9">
          <w:rPr>
            <w:noProof/>
            <w:webHidden/>
          </w:rPr>
          <w:instrText xml:space="preserve"> PAGEREF _Toc483361425 \h </w:instrText>
        </w:r>
        <w:r w:rsidR="00FD74A9">
          <w:rPr>
            <w:noProof/>
            <w:webHidden/>
          </w:rPr>
        </w:r>
        <w:r w:rsidR="00FD74A9">
          <w:rPr>
            <w:noProof/>
            <w:webHidden/>
          </w:rPr>
          <w:fldChar w:fldCharType="separate"/>
        </w:r>
        <w:r w:rsidR="00FD74A9">
          <w:rPr>
            <w:noProof/>
            <w:webHidden/>
          </w:rPr>
          <w:t>17</w:t>
        </w:r>
        <w:r w:rsidR="00FD74A9">
          <w:rPr>
            <w:noProof/>
            <w:webHidden/>
          </w:rPr>
          <w:fldChar w:fldCharType="end"/>
        </w:r>
      </w:hyperlink>
    </w:p>
    <w:p w14:paraId="5F2F8F57" w14:textId="77777777" w:rsidR="0020217B" w:rsidRDefault="0020217B" w:rsidP="0020217B">
      <w:pPr>
        <w:rPr>
          <w:lang w:val="en-US"/>
        </w:rPr>
      </w:pPr>
      <w:r>
        <w:rPr>
          <w:lang w:val="en-US"/>
        </w:rPr>
        <w:fldChar w:fldCharType="end"/>
      </w:r>
    </w:p>
    <w:p w14:paraId="574F003F" w14:textId="77777777" w:rsidR="0020217B" w:rsidRPr="0020217B" w:rsidRDefault="0020217B" w:rsidP="0020217B">
      <w:pPr>
        <w:rPr>
          <w:lang w:val="en-US"/>
        </w:rPr>
      </w:pPr>
    </w:p>
    <w:p w14:paraId="047BD2E7" w14:textId="0B9F439E" w:rsidR="0020217B" w:rsidRDefault="0020217B" w:rsidP="00E60353">
      <w:pPr>
        <w:pStyle w:val="Heading1"/>
        <w:rPr>
          <w:lang w:val="en-US"/>
        </w:rPr>
      </w:pPr>
      <w:bookmarkStart w:id="7" w:name="_Toc483361445"/>
      <w:r>
        <w:rPr>
          <w:lang w:val="en-US"/>
        </w:rPr>
        <w:t>List</w:t>
      </w:r>
      <w:r w:rsidR="00DB4299">
        <w:rPr>
          <w:lang w:val="en-US"/>
        </w:rPr>
        <w:t xml:space="preserve"> of figure</w:t>
      </w:r>
      <w:r>
        <w:rPr>
          <w:lang w:val="en-US"/>
        </w:rPr>
        <w:t>s</w:t>
      </w:r>
      <w:bookmarkEnd w:id="7"/>
    </w:p>
    <w:p w14:paraId="4EAA18CB" w14:textId="77777777" w:rsidR="00FD74A9" w:rsidRDefault="002A7763">
      <w:pPr>
        <w:pStyle w:val="TableofFigures"/>
        <w:tabs>
          <w:tab w:val="right" w:leader="dot" w:pos="9350"/>
        </w:tabs>
        <w:rPr>
          <w:rFonts w:asciiTheme="minorHAnsi" w:eastAsiaTheme="minorEastAsia" w:hAnsiTheme="minorHAnsi"/>
          <w:noProof/>
          <w:sz w:val="22"/>
          <w:lang w:eastAsia="en-GB"/>
        </w:rPr>
      </w:pPr>
      <w:r>
        <w:rPr>
          <w:lang w:val="en-US"/>
        </w:rPr>
        <w:fldChar w:fldCharType="begin"/>
      </w:r>
      <w:r>
        <w:rPr>
          <w:lang w:val="en-US"/>
        </w:rPr>
        <w:instrText xml:space="preserve"> TOC \h \z \c "Figure" </w:instrText>
      </w:r>
      <w:r>
        <w:rPr>
          <w:lang w:val="en-US"/>
        </w:rPr>
        <w:fldChar w:fldCharType="separate"/>
      </w:r>
      <w:hyperlink w:anchor="_Toc483361406" w:history="1">
        <w:r w:rsidR="00FD74A9" w:rsidRPr="00FD74A9">
          <w:rPr>
            <w:rStyle w:val="Hyperlink"/>
            <w:noProof/>
          </w:rPr>
          <w:t xml:space="preserve">Fig. 1. </w:t>
        </w:r>
        <w:r w:rsidR="00FD74A9" w:rsidRPr="00FD74A9">
          <w:rPr>
            <w:rStyle w:val="Hyperlink"/>
            <w:noProof/>
            <w:lang w:val="en-US"/>
          </w:rPr>
          <w:t>Location of the study sites</w:t>
        </w:r>
        <w:r w:rsidR="00FD74A9" w:rsidRPr="0069624B">
          <w:rPr>
            <w:rStyle w:val="Hyperlink"/>
            <w:noProof/>
            <w:lang w:val="en-US"/>
          </w:rPr>
          <w:t xml:space="preserve">. </w:t>
        </w:r>
        <w:r w:rsidR="00FD74A9" w:rsidRPr="0069624B">
          <w:rPr>
            <w:rStyle w:val="Hyperlink"/>
            <w:noProof/>
          </w:rPr>
          <w:t xml:space="preserve">Source: Construction of the authors. GIS data extracted from </w:t>
        </w:r>
        <w:r w:rsidR="00FD74A9" w:rsidRPr="0069624B">
          <w:rPr>
            <w:rStyle w:val="Hyperlink"/>
            <w:noProof/>
            <w:lang w:val="en-US"/>
          </w:rPr>
          <w:t>http://www.diva-gis.org/gdata, and http://download.geofabrik.de/asia/jordan.html, accessed on March 21, 2017. The refugee camps layer was provided by UNHCR.</w:t>
        </w:r>
        <w:r w:rsidR="00FD74A9">
          <w:rPr>
            <w:noProof/>
            <w:webHidden/>
          </w:rPr>
          <w:tab/>
        </w:r>
        <w:r w:rsidR="00FD74A9">
          <w:rPr>
            <w:noProof/>
            <w:webHidden/>
          </w:rPr>
          <w:fldChar w:fldCharType="begin"/>
        </w:r>
        <w:r w:rsidR="00FD74A9">
          <w:rPr>
            <w:noProof/>
            <w:webHidden/>
          </w:rPr>
          <w:instrText xml:space="preserve"> PAGEREF _Toc483361406 \h </w:instrText>
        </w:r>
        <w:r w:rsidR="00FD74A9">
          <w:rPr>
            <w:noProof/>
            <w:webHidden/>
          </w:rPr>
        </w:r>
        <w:r w:rsidR="00FD74A9">
          <w:rPr>
            <w:noProof/>
            <w:webHidden/>
          </w:rPr>
          <w:fldChar w:fldCharType="separate"/>
        </w:r>
        <w:r w:rsidR="005620F4">
          <w:rPr>
            <w:noProof/>
            <w:webHidden/>
          </w:rPr>
          <w:t>10</w:t>
        </w:r>
        <w:r w:rsidR="00FD74A9">
          <w:rPr>
            <w:noProof/>
            <w:webHidden/>
          </w:rPr>
          <w:fldChar w:fldCharType="end"/>
        </w:r>
      </w:hyperlink>
    </w:p>
    <w:p w14:paraId="6E86145C" w14:textId="77777777" w:rsidR="00FD74A9" w:rsidRDefault="00FD74A9">
      <w:pPr>
        <w:pStyle w:val="TableofFigures"/>
        <w:tabs>
          <w:tab w:val="right" w:leader="dot" w:pos="9350"/>
        </w:tabs>
        <w:rPr>
          <w:rFonts w:asciiTheme="minorHAnsi" w:eastAsiaTheme="minorEastAsia" w:hAnsiTheme="minorHAnsi"/>
          <w:noProof/>
          <w:sz w:val="22"/>
          <w:lang w:eastAsia="en-GB"/>
        </w:rPr>
      </w:pPr>
      <w:hyperlink w:anchor="_Toc483361407" w:history="1">
        <w:r w:rsidRPr="0069624B">
          <w:rPr>
            <w:rStyle w:val="Hyperlink"/>
            <w:noProof/>
          </w:rPr>
          <w:t>Figure 2. Conceptual framework of the study being based on Sustainable Livelihood Framework (</w:t>
        </w:r>
        <w:r w:rsidRPr="0069624B">
          <w:rPr>
            <w:rStyle w:val="Hyperlink"/>
            <w:rFonts w:cs="Times New Roman"/>
            <w:noProof/>
            <w:lang w:val="en-US"/>
          </w:rPr>
          <w:t xml:space="preserve">DFID. 1999, figure 2a), and </w:t>
        </w:r>
        <w:r w:rsidRPr="0069624B">
          <w:rPr>
            <w:rStyle w:val="Hyperlink"/>
            <w:noProof/>
          </w:rPr>
          <w:t xml:space="preserve">livelihood resilience (Speranza et al., 2014; Figure 2b).  </w:t>
        </w:r>
        <w:r w:rsidRPr="0069624B">
          <w:rPr>
            <w:rStyle w:val="Hyperlink"/>
            <w:noProof/>
            <w:lang w:val="en-US"/>
          </w:rPr>
          <w:t>Source: Figure taken from Le et al. (in prep.)</w:t>
        </w:r>
        <w:r>
          <w:rPr>
            <w:noProof/>
            <w:webHidden/>
          </w:rPr>
          <w:tab/>
        </w:r>
        <w:r>
          <w:rPr>
            <w:noProof/>
            <w:webHidden/>
          </w:rPr>
          <w:fldChar w:fldCharType="begin"/>
        </w:r>
        <w:r>
          <w:rPr>
            <w:noProof/>
            <w:webHidden/>
          </w:rPr>
          <w:instrText xml:space="preserve"> PAGEREF _Toc483361407 \h </w:instrText>
        </w:r>
        <w:r>
          <w:rPr>
            <w:noProof/>
            <w:webHidden/>
          </w:rPr>
        </w:r>
        <w:r>
          <w:rPr>
            <w:noProof/>
            <w:webHidden/>
          </w:rPr>
          <w:fldChar w:fldCharType="separate"/>
        </w:r>
        <w:r w:rsidR="005620F4">
          <w:rPr>
            <w:noProof/>
            <w:webHidden/>
          </w:rPr>
          <w:t>13</w:t>
        </w:r>
        <w:r>
          <w:rPr>
            <w:noProof/>
            <w:webHidden/>
          </w:rPr>
          <w:fldChar w:fldCharType="end"/>
        </w:r>
      </w:hyperlink>
    </w:p>
    <w:p w14:paraId="28C80DDA" w14:textId="77777777" w:rsidR="00FD74A9" w:rsidRDefault="00FD74A9">
      <w:pPr>
        <w:pStyle w:val="TableofFigures"/>
        <w:tabs>
          <w:tab w:val="right" w:leader="dot" w:pos="9350"/>
        </w:tabs>
        <w:rPr>
          <w:rFonts w:asciiTheme="minorHAnsi" w:eastAsiaTheme="minorEastAsia" w:hAnsiTheme="minorHAnsi"/>
          <w:noProof/>
          <w:sz w:val="22"/>
          <w:lang w:eastAsia="en-GB"/>
        </w:rPr>
      </w:pPr>
      <w:hyperlink w:anchor="_Toc483361408" w:history="1">
        <w:r w:rsidRPr="0069624B">
          <w:rPr>
            <w:rStyle w:val="Hyperlink"/>
            <w:noProof/>
          </w:rPr>
          <w:t>Figure 3</w:t>
        </w:r>
        <w:r w:rsidRPr="0069624B">
          <w:rPr>
            <w:rStyle w:val="Hyperlink"/>
            <w:noProof/>
            <w:lang w:val="en-US"/>
          </w:rPr>
          <w:t>. Work flow of the study</w:t>
        </w:r>
        <w:r>
          <w:rPr>
            <w:noProof/>
            <w:webHidden/>
          </w:rPr>
          <w:tab/>
        </w:r>
        <w:r>
          <w:rPr>
            <w:noProof/>
            <w:webHidden/>
          </w:rPr>
          <w:fldChar w:fldCharType="begin"/>
        </w:r>
        <w:r>
          <w:rPr>
            <w:noProof/>
            <w:webHidden/>
          </w:rPr>
          <w:instrText xml:space="preserve"> PAGEREF _Toc483361408 \h </w:instrText>
        </w:r>
        <w:r>
          <w:rPr>
            <w:noProof/>
            <w:webHidden/>
          </w:rPr>
        </w:r>
        <w:r>
          <w:rPr>
            <w:noProof/>
            <w:webHidden/>
          </w:rPr>
          <w:fldChar w:fldCharType="separate"/>
        </w:r>
        <w:r w:rsidR="005620F4">
          <w:rPr>
            <w:noProof/>
            <w:webHidden/>
          </w:rPr>
          <w:t>15</w:t>
        </w:r>
        <w:r>
          <w:rPr>
            <w:noProof/>
            <w:webHidden/>
          </w:rPr>
          <w:fldChar w:fldCharType="end"/>
        </w:r>
      </w:hyperlink>
    </w:p>
    <w:p w14:paraId="3E9ADEC3" w14:textId="77777777" w:rsidR="0020217B" w:rsidRDefault="002A7763" w:rsidP="0020217B">
      <w:pPr>
        <w:rPr>
          <w:lang w:val="en-US"/>
        </w:rPr>
      </w:pPr>
      <w:r>
        <w:rPr>
          <w:lang w:val="en-US"/>
        </w:rPr>
        <w:fldChar w:fldCharType="end"/>
      </w:r>
    </w:p>
    <w:p w14:paraId="5660B6BB" w14:textId="77777777" w:rsidR="0020217B" w:rsidRDefault="0020217B" w:rsidP="0020217B">
      <w:pPr>
        <w:rPr>
          <w:lang w:val="en-US"/>
        </w:rPr>
      </w:pPr>
    </w:p>
    <w:p w14:paraId="45656BB3" w14:textId="77777777" w:rsidR="009470B9" w:rsidRDefault="009470B9">
      <w:pPr>
        <w:spacing w:line="276" w:lineRule="auto"/>
        <w:jc w:val="left"/>
        <w:rPr>
          <w:rFonts w:asciiTheme="majorHAnsi" w:eastAsiaTheme="majorEastAsia" w:hAnsiTheme="majorHAnsi" w:cstheme="majorBidi"/>
          <w:b/>
          <w:color w:val="365F91" w:themeColor="accent1" w:themeShade="BF"/>
          <w:sz w:val="32"/>
          <w:szCs w:val="32"/>
          <w:lang w:val="en-US"/>
        </w:rPr>
      </w:pPr>
      <w:r>
        <w:rPr>
          <w:lang w:val="en-US"/>
        </w:rPr>
        <w:br w:type="page"/>
      </w:r>
    </w:p>
    <w:p w14:paraId="1A92DC73" w14:textId="36D5DBFE" w:rsidR="00E60353" w:rsidRDefault="00DB4299" w:rsidP="00E60353">
      <w:pPr>
        <w:pStyle w:val="Heading1"/>
        <w:rPr>
          <w:lang w:val="en-US"/>
        </w:rPr>
      </w:pPr>
      <w:bookmarkStart w:id="8" w:name="_Toc483361446"/>
      <w:r>
        <w:rPr>
          <w:lang w:val="en-US"/>
        </w:rPr>
        <w:lastRenderedPageBreak/>
        <w:t>Acro</w:t>
      </w:r>
      <w:r w:rsidR="00E60353">
        <w:rPr>
          <w:lang w:val="en-US"/>
        </w:rPr>
        <w:t>nyms</w:t>
      </w:r>
      <w:bookmarkEnd w:id="8"/>
    </w:p>
    <w:p w14:paraId="0F1FDA0F" w14:textId="77777777" w:rsidR="00E60353" w:rsidRDefault="00E60353" w:rsidP="00E60353">
      <w:pPr>
        <w:rPr>
          <w:lang w:val="en-US"/>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520"/>
      </w:tblGrid>
      <w:tr w:rsidR="0071408A" w:rsidRPr="00817EBF" w14:paraId="12E548A1" w14:textId="77777777" w:rsidTr="001813B5">
        <w:trPr>
          <w:trHeight w:val="324"/>
        </w:trPr>
        <w:tc>
          <w:tcPr>
            <w:tcW w:w="1588" w:type="dxa"/>
            <w:shd w:val="clear" w:color="auto" w:fill="auto"/>
            <w:noWrap/>
          </w:tcPr>
          <w:p w14:paraId="53FD205A" w14:textId="17C40A91"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DFID</w:t>
            </w:r>
          </w:p>
        </w:tc>
        <w:tc>
          <w:tcPr>
            <w:tcW w:w="7520" w:type="dxa"/>
            <w:shd w:val="clear" w:color="auto" w:fill="auto"/>
            <w:noWrap/>
          </w:tcPr>
          <w:p w14:paraId="30CF11A9" w14:textId="56D61CAA"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Department for International Development</w:t>
            </w:r>
          </w:p>
        </w:tc>
      </w:tr>
      <w:tr w:rsidR="0071408A" w:rsidRPr="00817EBF" w14:paraId="0B8D3F20" w14:textId="77777777" w:rsidTr="001813B5">
        <w:trPr>
          <w:trHeight w:val="324"/>
        </w:trPr>
        <w:tc>
          <w:tcPr>
            <w:tcW w:w="1588" w:type="dxa"/>
            <w:shd w:val="clear" w:color="auto" w:fill="auto"/>
            <w:noWrap/>
          </w:tcPr>
          <w:p w14:paraId="011FFFDD" w14:textId="6F16843D" w:rsidR="0071408A" w:rsidRPr="0071408A" w:rsidRDefault="0071408A" w:rsidP="00461062">
            <w:pPr>
              <w:spacing w:after="0"/>
              <w:rPr>
                <w:rFonts w:eastAsia="Times New Roman" w:cs="Times New Roman"/>
                <w:color w:val="000000"/>
                <w:szCs w:val="24"/>
                <w:lang w:val="en-US"/>
              </w:rPr>
            </w:pPr>
            <w:proofErr w:type="spellStart"/>
            <w:r w:rsidRPr="0071408A">
              <w:rPr>
                <w:rFonts w:eastAsia="Times New Roman" w:cs="Times New Roman"/>
                <w:szCs w:val="24"/>
                <w:lang w:val="en-US"/>
              </w:rPr>
              <w:t>DoS</w:t>
            </w:r>
            <w:proofErr w:type="spellEnd"/>
          </w:p>
        </w:tc>
        <w:tc>
          <w:tcPr>
            <w:tcW w:w="7520" w:type="dxa"/>
            <w:shd w:val="clear" w:color="auto" w:fill="auto"/>
            <w:noWrap/>
          </w:tcPr>
          <w:p w14:paraId="43A77DAD" w14:textId="6E50CC8C" w:rsidR="0071408A" w:rsidRPr="0071408A" w:rsidRDefault="00C9547A" w:rsidP="00461062">
            <w:pPr>
              <w:spacing w:after="0"/>
              <w:rPr>
                <w:rFonts w:eastAsia="Times New Roman" w:cs="Times New Roman"/>
                <w:color w:val="000000"/>
                <w:szCs w:val="24"/>
                <w:lang w:val="en-US"/>
              </w:rPr>
            </w:pPr>
            <w:r>
              <w:rPr>
                <w:rFonts w:eastAsia="Times New Roman" w:cs="Times New Roman"/>
                <w:szCs w:val="24"/>
                <w:lang w:val="en-US"/>
              </w:rPr>
              <w:t>Department of Statistics</w:t>
            </w:r>
          </w:p>
        </w:tc>
      </w:tr>
      <w:tr w:rsidR="0071408A" w:rsidRPr="00E72133" w14:paraId="7ABE7D13" w14:textId="77777777" w:rsidTr="001813B5">
        <w:trPr>
          <w:trHeight w:val="324"/>
        </w:trPr>
        <w:tc>
          <w:tcPr>
            <w:tcW w:w="1588" w:type="dxa"/>
            <w:shd w:val="clear" w:color="auto" w:fill="auto"/>
            <w:noWrap/>
          </w:tcPr>
          <w:p w14:paraId="44BB756F" w14:textId="0FE7563A" w:rsidR="0071408A" w:rsidRPr="0071408A" w:rsidRDefault="0071408A" w:rsidP="00461062">
            <w:pPr>
              <w:spacing w:after="0"/>
              <w:rPr>
                <w:rFonts w:eastAsia="Times New Roman" w:cs="Times New Roman"/>
                <w:color w:val="000000"/>
                <w:szCs w:val="24"/>
                <w:lang w:val="en-US"/>
              </w:rPr>
            </w:pPr>
            <w:r w:rsidRPr="0071408A">
              <w:rPr>
                <w:rFonts w:cs="Times New Roman"/>
                <w:szCs w:val="24"/>
                <w:lang w:val="en-US"/>
              </w:rPr>
              <w:t>FGD</w:t>
            </w:r>
          </w:p>
        </w:tc>
        <w:tc>
          <w:tcPr>
            <w:tcW w:w="7520" w:type="dxa"/>
            <w:shd w:val="clear" w:color="auto" w:fill="auto"/>
            <w:noWrap/>
          </w:tcPr>
          <w:p w14:paraId="6694EFC0" w14:textId="38E3AE29"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Focus Group Discussion</w:t>
            </w:r>
          </w:p>
        </w:tc>
      </w:tr>
      <w:tr w:rsidR="0071408A" w:rsidRPr="00E72133" w14:paraId="59A20CC0" w14:textId="77777777" w:rsidTr="001813B5">
        <w:trPr>
          <w:trHeight w:val="324"/>
        </w:trPr>
        <w:tc>
          <w:tcPr>
            <w:tcW w:w="1588" w:type="dxa"/>
            <w:shd w:val="clear" w:color="auto" w:fill="auto"/>
            <w:noWrap/>
          </w:tcPr>
          <w:p w14:paraId="78D14A6B" w14:textId="119D327D"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ICARDA</w:t>
            </w:r>
          </w:p>
        </w:tc>
        <w:tc>
          <w:tcPr>
            <w:tcW w:w="7520" w:type="dxa"/>
            <w:shd w:val="clear" w:color="auto" w:fill="auto"/>
            <w:noWrap/>
          </w:tcPr>
          <w:p w14:paraId="1020E947" w14:textId="56A6A5D9"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International Center for Agricultural Research in the Dry Areas</w:t>
            </w:r>
          </w:p>
        </w:tc>
      </w:tr>
      <w:tr w:rsidR="0071408A" w:rsidRPr="00E72133" w14:paraId="21E0FD8F" w14:textId="77777777" w:rsidTr="001813B5">
        <w:trPr>
          <w:trHeight w:val="324"/>
        </w:trPr>
        <w:tc>
          <w:tcPr>
            <w:tcW w:w="1588" w:type="dxa"/>
            <w:shd w:val="clear" w:color="auto" w:fill="auto"/>
            <w:noWrap/>
          </w:tcPr>
          <w:p w14:paraId="38D0184A" w14:textId="523557C3" w:rsidR="0071408A" w:rsidRPr="0071408A" w:rsidRDefault="0071408A" w:rsidP="00461062">
            <w:pPr>
              <w:spacing w:after="0"/>
              <w:rPr>
                <w:rFonts w:eastAsia="Times New Roman" w:cs="Times New Roman"/>
                <w:color w:val="000000"/>
                <w:szCs w:val="24"/>
                <w:lang w:val="en-US"/>
              </w:rPr>
            </w:pPr>
            <w:r w:rsidRPr="0071408A">
              <w:rPr>
                <w:rFonts w:cs="Times New Roman"/>
                <w:szCs w:val="24"/>
                <w:lang w:val="en-US"/>
              </w:rPr>
              <w:t>IFAD</w:t>
            </w:r>
          </w:p>
        </w:tc>
        <w:tc>
          <w:tcPr>
            <w:tcW w:w="7520" w:type="dxa"/>
            <w:shd w:val="clear" w:color="auto" w:fill="auto"/>
            <w:noWrap/>
          </w:tcPr>
          <w:p w14:paraId="22408FFF" w14:textId="6374BD30"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 xml:space="preserve">The International Fund for Agricultural Development </w:t>
            </w:r>
          </w:p>
        </w:tc>
      </w:tr>
      <w:tr w:rsidR="0071408A" w:rsidRPr="00E72133" w14:paraId="5B4ADCF7" w14:textId="77777777" w:rsidTr="001813B5">
        <w:trPr>
          <w:trHeight w:val="324"/>
        </w:trPr>
        <w:tc>
          <w:tcPr>
            <w:tcW w:w="1588" w:type="dxa"/>
            <w:shd w:val="clear" w:color="auto" w:fill="auto"/>
            <w:noWrap/>
          </w:tcPr>
          <w:p w14:paraId="4F6C1B35" w14:textId="108AC31E"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SIP</w:t>
            </w:r>
          </w:p>
        </w:tc>
        <w:tc>
          <w:tcPr>
            <w:tcW w:w="7520" w:type="dxa"/>
            <w:shd w:val="clear" w:color="auto" w:fill="auto"/>
            <w:noWrap/>
          </w:tcPr>
          <w:p w14:paraId="015CAC4E" w14:textId="366BFFDC"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Small-ruminants Investment Project</w:t>
            </w:r>
          </w:p>
        </w:tc>
      </w:tr>
      <w:tr w:rsidR="0071408A" w:rsidRPr="00817EBF" w14:paraId="5A51FF2B" w14:textId="77777777" w:rsidTr="001813B5">
        <w:trPr>
          <w:trHeight w:val="324"/>
        </w:trPr>
        <w:tc>
          <w:tcPr>
            <w:tcW w:w="1588" w:type="dxa"/>
            <w:shd w:val="clear" w:color="auto" w:fill="auto"/>
            <w:noWrap/>
          </w:tcPr>
          <w:p w14:paraId="620BC526" w14:textId="684369F8"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SLF</w:t>
            </w:r>
          </w:p>
        </w:tc>
        <w:tc>
          <w:tcPr>
            <w:tcW w:w="7520" w:type="dxa"/>
            <w:shd w:val="clear" w:color="auto" w:fill="auto"/>
            <w:noWrap/>
          </w:tcPr>
          <w:p w14:paraId="78972ACD" w14:textId="7D454122"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Sustainable Livelihood framework</w:t>
            </w:r>
          </w:p>
        </w:tc>
      </w:tr>
      <w:tr w:rsidR="0071408A" w:rsidRPr="00E72133" w14:paraId="125E7F0A" w14:textId="77777777" w:rsidTr="001813B5">
        <w:trPr>
          <w:trHeight w:val="324"/>
        </w:trPr>
        <w:tc>
          <w:tcPr>
            <w:tcW w:w="1588" w:type="dxa"/>
            <w:shd w:val="clear" w:color="auto" w:fill="auto"/>
            <w:noWrap/>
          </w:tcPr>
          <w:p w14:paraId="16B708D6" w14:textId="64E0A0B9" w:rsidR="0071408A" w:rsidRPr="0071408A" w:rsidRDefault="0071408A" w:rsidP="00461062">
            <w:pPr>
              <w:spacing w:after="0"/>
              <w:rPr>
                <w:rFonts w:eastAsia="Times New Roman" w:cs="Times New Roman"/>
                <w:color w:val="000000"/>
                <w:szCs w:val="24"/>
                <w:lang w:val="en-US"/>
              </w:rPr>
            </w:pPr>
            <w:r w:rsidRPr="0071408A">
              <w:rPr>
                <w:rFonts w:cs="Times New Roman"/>
                <w:szCs w:val="24"/>
                <w:lang w:val="en-US"/>
              </w:rPr>
              <w:t>SWOT</w:t>
            </w:r>
          </w:p>
        </w:tc>
        <w:tc>
          <w:tcPr>
            <w:tcW w:w="7520" w:type="dxa"/>
            <w:shd w:val="clear" w:color="auto" w:fill="auto"/>
            <w:noWrap/>
          </w:tcPr>
          <w:p w14:paraId="06DAC905" w14:textId="1882BE4A" w:rsidR="0071408A" w:rsidRPr="0071408A" w:rsidRDefault="0071408A" w:rsidP="00461062">
            <w:pPr>
              <w:spacing w:after="0"/>
              <w:rPr>
                <w:rFonts w:eastAsia="Times New Roman" w:cs="Times New Roman"/>
                <w:color w:val="000000"/>
                <w:szCs w:val="24"/>
                <w:lang w:val="en-US"/>
              </w:rPr>
            </w:pPr>
            <w:r w:rsidRPr="0071408A">
              <w:rPr>
                <w:rFonts w:cs="Times New Roman"/>
                <w:szCs w:val="24"/>
                <w:lang w:val="en-US"/>
              </w:rPr>
              <w:t>Strengths, Weaknesses Opportunities, Threats analysis</w:t>
            </w:r>
          </w:p>
        </w:tc>
      </w:tr>
      <w:tr w:rsidR="0071408A" w:rsidRPr="00817EBF" w14:paraId="52A55F50" w14:textId="77777777" w:rsidTr="001813B5">
        <w:trPr>
          <w:trHeight w:val="324"/>
        </w:trPr>
        <w:tc>
          <w:tcPr>
            <w:tcW w:w="1588" w:type="dxa"/>
            <w:shd w:val="clear" w:color="auto" w:fill="auto"/>
            <w:noWrap/>
          </w:tcPr>
          <w:p w14:paraId="4E3C5B47" w14:textId="6ACAD1A1"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UNHCR</w:t>
            </w:r>
          </w:p>
        </w:tc>
        <w:tc>
          <w:tcPr>
            <w:tcW w:w="7520" w:type="dxa"/>
            <w:shd w:val="clear" w:color="auto" w:fill="auto"/>
            <w:noWrap/>
          </w:tcPr>
          <w:p w14:paraId="7C8698EB" w14:textId="01D908E6" w:rsidR="0071408A" w:rsidRPr="0071408A" w:rsidRDefault="0071408A" w:rsidP="00461062">
            <w:pPr>
              <w:spacing w:after="0"/>
              <w:rPr>
                <w:rFonts w:eastAsia="Times New Roman" w:cs="Times New Roman"/>
                <w:color w:val="000000"/>
                <w:szCs w:val="24"/>
                <w:lang w:val="en-US"/>
              </w:rPr>
            </w:pPr>
            <w:r w:rsidRPr="0071408A">
              <w:rPr>
                <w:rFonts w:eastAsia="Times New Roman" w:cs="Times New Roman"/>
                <w:szCs w:val="24"/>
                <w:lang w:val="en-US"/>
              </w:rPr>
              <w:t>United Nations High Commissioner for Refugees</w:t>
            </w:r>
          </w:p>
        </w:tc>
      </w:tr>
    </w:tbl>
    <w:p w14:paraId="1D3E1CD5" w14:textId="77777777" w:rsidR="00E60353" w:rsidRDefault="00E60353" w:rsidP="00E60353">
      <w:pPr>
        <w:rPr>
          <w:rFonts w:asciiTheme="majorHAnsi" w:eastAsiaTheme="majorEastAsia" w:hAnsiTheme="majorHAnsi" w:cstheme="majorBidi"/>
          <w:color w:val="365F91" w:themeColor="accent1" w:themeShade="BF"/>
          <w:sz w:val="32"/>
          <w:szCs w:val="32"/>
          <w:lang w:val="en-US"/>
        </w:rPr>
      </w:pPr>
      <w:r>
        <w:rPr>
          <w:lang w:val="en-US"/>
        </w:rPr>
        <w:br w:type="page"/>
      </w:r>
    </w:p>
    <w:p w14:paraId="72E4D1E5" w14:textId="77777777" w:rsidR="007C7CE5" w:rsidRPr="00490276" w:rsidRDefault="007C7CE5" w:rsidP="009530CF">
      <w:pPr>
        <w:pStyle w:val="Heading1"/>
        <w:numPr>
          <w:ilvl w:val="0"/>
          <w:numId w:val="3"/>
        </w:numPr>
      </w:pPr>
      <w:bookmarkStart w:id="9" w:name="_Toc483361447"/>
      <w:r w:rsidRPr="00490276">
        <w:lastRenderedPageBreak/>
        <w:t>Introduction</w:t>
      </w:r>
      <w:bookmarkEnd w:id="9"/>
    </w:p>
    <w:p w14:paraId="505D085E" w14:textId="5452B9D7" w:rsidR="00D42879" w:rsidRDefault="00D42879" w:rsidP="00D42879">
      <w:pPr>
        <w:rPr>
          <w:szCs w:val="24"/>
        </w:rPr>
      </w:pPr>
      <w:r>
        <w:rPr>
          <w:szCs w:val="24"/>
        </w:rPr>
        <w:t xml:space="preserve">The Jordan population is estimated to be 9,814,995 in 2017 with an unemployment rate 15.8 per cent at the end of the year 2016 </w:t>
      </w:r>
      <w:r>
        <w:rPr>
          <w:szCs w:val="24"/>
        </w:rPr>
        <w:fldChar w:fldCharType="begin"/>
      </w:r>
      <w:r>
        <w:rPr>
          <w:szCs w:val="24"/>
        </w:rPr>
        <w:instrText xml:space="preserve"> ADDIN EN.CITE &lt;EndNote&gt;&lt;Cite&gt;&lt;Author&gt;Dos&lt;/Author&gt;&lt;Year&gt;2017&lt;/Year&gt;&lt;RecNum&gt;783&lt;/RecNum&gt;&lt;DisplayText&gt;(Dos, 2017b)&lt;/DisplayText&gt;&lt;record&gt;&lt;rec-number&gt;783&lt;/rec-number&gt;&lt;foreign-keys&gt;&lt;key app="EN" db-id="a52r52vwspdfrqepfx7pwz0uzaverz5setxs"&gt;783&lt;/key&gt;&lt;/foreign-keys&gt;&lt;ref-type name="Web Page"&gt;12&lt;/ref-type&gt;&lt;contributors&gt;&lt;authors&gt;&lt;author&gt;Dos&lt;/author&gt;&lt;/authors&gt;&lt;/contributors&gt;&lt;titles&gt;&lt;title&gt;Main Indicators of Jordan&lt;/title&gt;&lt;/titles&gt;&lt;volume&gt;2017&lt;/volume&gt;&lt;number&gt;Mai 8, 2017&lt;/number&gt;&lt;dates&gt;&lt;year&gt;2017&lt;/year&gt;&lt;/dates&gt;&lt;pub-location&gt;Amman, Jordan&lt;/pub-location&gt;&lt;urls&gt;&lt;related-urls&gt;&lt;url&gt;http://web.dos.gov.jo&lt;/url&gt;&lt;/related-urls&gt;&lt;/urls&gt;&lt;/record&gt;&lt;/Cite&gt;&lt;/EndNote&gt;</w:instrText>
      </w:r>
      <w:r>
        <w:rPr>
          <w:szCs w:val="24"/>
        </w:rPr>
        <w:fldChar w:fldCharType="separate"/>
      </w:r>
      <w:r>
        <w:rPr>
          <w:noProof/>
          <w:szCs w:val="24"/>
        </w:rPr>
        <w:t>(</w:t>
      </w:r>
      <w:hyperlink w:anchor="_ENREF_5" w:tooltip="Dos, 2017 #783" w:history="1">
        <w:r w:rsidR="004C58C3">
          <w:rPr>
            <w:noProof/>
            <w:szCs w:val="24"/>
          </w:rPr>
          <w:t>Dos, 2017b</w:t>
        </w:r>
      </w:hyperlink>
      <w:r>
        <w:rPr>
          <w:noProof/>
          <w:szCs w:val="24"/>
        </w:rPr>
        <w:t>)</w:t>
      </w:r>
      <w:r>
        <w:rPr>
          <w:szCs w:val="24"/>
        </w:rPr>
        <w:fldChar w:fldCharType="end"/>
      </w:r>
      <w:r>
        <w:rPr>
          <w:szCs w:val="24"/>
        </w:rPr>
        <w:t xml:space="preserve">. </w:t>
      </w:r>
      <w:r w:rsidRPr="008A5E8B">
        <w:rPr>
          <w:szCs w:val="24"/>
        </w:rPr>
        <w:t xml:space="preserve">Jordan agriculture </w:t>
      </w:r>
      <w:r>
        <w:t xml:space="preserve">represents 2.8% of economic sectors </w:t>
      </w:r>
      <w:r>
        <w:fldChar w:fldCharType="begin"/>
      </w:r>
      <w:r>
        <w:instrText xml:space="preserve"> ADDIN EN.CITE &lt;EndNote&gt;&lt;Cite&gt;&lt;Author&gt;MoA&lt;/Author&gt;&lt;Year&gt;2015&lt;/Year&gt;&lt;RecNum&gt;777&lt;/RecNum&gt;&lt;DisplayText&gt;(MoA, 2015)&lt;/DisplayText&gt;&lt;record&gt;&lt;rec-number&gt;777&lt;/rec-number&gt;&lt;foreign-keys&gt;&lt;key app="EN" db-id="a52r52vwspdfrqepfx7pwz0uzaverz5setxs"&gt;777&lt;/key&gt;&lt;/foreign-keys&gt;&lt;ref-type name="Conference Paper"&gt;47&lt;/ref-type&gt;&lt;contributors&gt;&lt;authors&gt;&lt;author&gt;MoA,&lt;/author&gt;&lt;/authors&gt;&lt;/contributors&gt;&lt;titles&gt;&lt;title&gt;Status of Soil Resources and Priorities towards Sustainable Soil Management Challenges, Opportunities, National Policies and Institutional Mechanisms &lt;/title&gt;&lt;secondary-title&gt;NENA Soil Partnership Conference: towards a regional implementation plan on sustainable management of soil resources&lt;/secondary-title&gt;&lt;/titles&gt;&lt;pages&gt;37&lt;/pages&gt;&lt;dates&gt;&lt;year&gt;2015&lt;/year&gt;&lt;/dates&gt;&lt;pub-location&gt;1-3 June 2015, Amman, Jordan&lt;/pub-location&gt;&lt;urls&gt;&lt;/urls&gt;&lt;/record&gt;&lt;/Cite&gt;&lt;/EndNote&gt;</w:instrText>
      </w:r>
      <w:r>
        <w:fldChar w:fldCharType="separate"/>
      </w:r>
      <w:r>
        <w:rPr>
          <w:noProof/>
        </w:rPr>
        <w:t>(</w:t>
      </w:r>
      <w:hyperlink w:anchor="_ENREF_11" w:tooltip="MoA, 2015 #777" w:history="1">
        <w:r w:rsidR="004C58C3">
          <w:rPr>
            <w:noProof/>
          </w:rPr>
          <w:t>MoA, 2015</w:t>
        </w:r>
      </w:hyperlink>
      <w:r>
        <w:rPr>
          <w:noProof/>
        </w:rPr>
        <w:t>)</w:t>
      </w:r>
      <w:r>
        <w:fldChar w:fldCharType="end"/>
      </w:r>
      <w:r>
        <w:t xml:space="preserve">. It </w:t>
      </w:r>
      <w:r w:rsidRPr="008A5E8B">
        <w:rPr>
          <w:szCs w:val="24"/>
        </w:rPr>
        <w:t>employs around 9 pe</w:t>
      </w:r>
      <w:r>
        <w:rPr>
          <w:szCs w:val="24"/>
        </w:rPr>
        <w:t xml:space="preserve">r cent of the active population and </w:t>
      </w:r>
      <w:r w:rsidRPr="008A5E8B">
        <w:rPr>
          <w:szCs w:val="24"/>
        </w:rPr>
        <w:t xml:space="preserve">70 per cent of </w:t>
      </w:r>
      <w:r>
        <w:rPr>
          <w:szCs w:val="24"/>
        </w:rPr>
        <w:t xml:space="preserve">them are </w:t>
      </w:r>
      <w:r w:rsidRPr="008A5E8B">
        <w:rPr>
          <w:szCs w:val="24"/>
        </w:rPr>
        <w:t xml:space="preserve">women. </w:t>
      </w:r>
      <w:r>
        <w:rPr>
          <w:szCs w:val="24"/>
        </w:rPr>
        <w:t xml:space="preserve">Female employment in </w:t>
      </w:r>
      <w:r w:rsidRPr="00690DDE">
        <w:rPr>
          <w:szCs w:val="24"/>
        </w:rPr>
        <w:t>agriculture</w:t>
      </w:r>
      <w:r>
        <w:rPr>
          <w:szCs w:val="24"/>
        </w:rPr>
        <w:t xml:space="preserve"> was </w:t>
      </w:r>
      <w:r w:rsidRPr="00690DDE">
        <w:rPr>
          <w:szCs w:val="24"/>
        </w:rPr>
        <w:t xml:space="preserve">0.90 </w:t>
      </w:r>
      <w:r>
        <w:rPr>
          <w:szCs w:val="24"/>
        </w:rPr>
        <w:t xml:space="preserve">per cent while the male employment was estimated to </w:t>
      </w:r>
      <w:r w:rsidRPr="00690DDE">
        <w:rPr>
          <w:szCs w:val="24"/>
        </w:rPr>
        <w:t>2.30</w:t>
      </w:r>
      <w:r>
        <w:rPr>
          <w:szCs w:val="24"/>
        </w:rPr>
        <w:t xml:space="preserve"> per cent </w:t>
      </w:r>
      <w:r w:rsidRPr="00690DDE">
        <w:rPr>
          <w:szCs w:val="24"/>
        </w:rPr>
        <w:t>in 2012</w:t>
      </w:r>
      <w:r>
        <w:rPr>
          <w:szCs w:val="24"/>
        </w:rPr>
        <w:t>. The agricultural labour is dominated by non-Jordanian. For instance, the permanent Jordanian employees in livestock production were estimated to be 1,140 in 2015 while the non-Jordanian employees were 11,420 in the same year</w:t>
      </w:r>
      <w:r>
        <w:rPr>
          <w:szCs w:val="24"/>
        </w:rPr>
        <w:fldChar w:fldCharType="begin"/>
      </w:r>
      <w:r>
        <w:rPr>
          <w:szCs w:val="24"/>
        </w:rPr>
        <w:instrText xml:space="preserve"> ADDIN EN.CITE &lt;EndNote&gt;&lt;Cite&gt;&lt;Author&gt;DoS&lt;/Author&gt;&lt;Year&gt;2017&lt;/Year&gt;&lt;RecNum&gt;782&lt;/RecNum&gt;&lt;DisplayText&gt;(DoS, 2017c)&lt;/DisplayText&gt;&lt;record&gt;&lt;rec-number&gt;782&lt;/rec-number&gt;&lt;foreign-keys&gt;&lt;key app="EN" db-id="a52r52vwspdfrqepfx7pwz0uzaverz5setxs"&gt;782&lt;/key&gt;&lt;/foreign-keys&gt;&lt;ref-type name="Web Page"&gt;12&lt;/ref-type&gt;&lt;contributors&gt;&lt;authors&gt;&lt;author&gt;DoS&lt;/author&gt;&lt;/authors&gt;&lt;/contributors&gt;&lt;titles&gt;&lt;title&gt;Number of Employees in the Livestock Activity aged 16 Years and Above by Kind of Labor, Sex and Nationality in the Kingdom 2015&lt;/title&gt;&lt;/titles&gt;&lt;volume&gt;2017&lt;/volume&gt;&lt;number&gt;Mai 8, 2017&lt;/number&gt;&lt;dates&gt;&lt;year&gt;2017&lt;/year&gt;&lt;/dates&gt;&lt;pub-location&gt;Amman, Jordan&lt;/pub-location&gt;&lt;urls&gt;&lt;related-urls&gt;&lt;url&gt;http://www.dos.gov.jo/owa-user/owa/FOCAL_AGR_anm.show_param?LANG=E&amp;amp;dis=6&lt;/url&gt;&lt;/related-urls&gt;&lt;/urls&gt;&lt;/record&gt;&lt;/Cite&gt;&lt;/EndNote&gt;</w:instrText>
      </w:r>
      <w:r>
        <w:rPr>
          <w:szCs w:val="24"/>
        </w:rPr>
        <w:fldChar w:fldCharType="separate"/>
      </w:r>
      <w:r>
        <w:rPr>
          <w:noProof/>
          <w:szCs w:val="24"/>
        </w:rPr>
        <w:t>(</w:t>
      </w:r>
      <w:hyperlink w:anchor="_ENREF_6" w:tooltip="DoS, 2017 #782" w:history="1">
        <w:r w:rsidR="004C58C3">
          <w:rPr>
            <w:noProof/>
            <w:szCs w:val="24"/>
          </w:rPr>
          <w:t>DoS, 2017c</w:t>
        </w:r>
      </w:hyperlink>
      <w:r>
        <w:rPr>
          <w:noProof/>
          <w:szCs w:val="24"/>
        </w:rPr>
        <w:t>)</w:t>
      </w:r>
      <w:r>
        <w:rPr>
          <w:szCs w:val="24"/>
        </w:rPr>
        <w:fldChar w:fldCharType="end"/>
      </w:r>
      <w:r>
        <w:rPr>
          <w:szCs w:val="24"/>
        </w:rPr>
        <w:t xml:space="preserve">. </w:t>
      </w:r>
      <w:r w:rsidRPr="00725159">
        <w:rPr>
          <w:szCs w:val="24"/>
        </w:rPr>
        <w:t>Arable</w:t>
      </w:r>
      <w:r w:rsidRPr="008A5E8B">
        <w:rPr>
          <w:szCs w:val="24"/>
        </w:rPr>
        <w:t xml:space="preserve"> land represents only 6 per cent of the total surface area. Agriculture which receives relatively very low national or international investments is challenged by low and uneven distribution of precipitation (less than 200 mm for 90</w:t>
      </w:r>
      <w:r>
        <w:rPr>
          <w:szCs w:val="24"/>
        </w:rPr>
        <w:t xml:space="preserve"> per cent</w:t>
      </w:r>
      <w:r w:rsidRPr="008A5E8B">
        <w:rPr>
          <w:szCs w:val="24"/>
        </w:rPr>
        <w:t xml:space="preserve"> of the country), population growth and related pressure on natural resources. The livestock sector plays an important role in food security and poverty alleviation </w:t>
      </w:r>
      <w:r>
        <w:rPr>
          <w:szCs w:val="24"/>
        </w:rPr>
        <w:t xml:space="preserve">as it contributes for around 55 per cent </w:t>
      </w:r>
      <w:r w:rsidRPr="008A5E8B">
        <w:rPr>
          <w:szCs w:val="24"/>
        </w:rPr>
        <w:t xml:space="preserve">to the national agriculture product. It employs </w:t>
      </w:r>
      <w:r>
        <w:rPr>
          <w:szCs w:val="24"/>
        </w:rPr>
        <w:t xml:space="preserve">in total (permanent, seasonal and casual employees) </w:t>
      </w:r>
      <w:r w:rsidRPr="008A5E8B">
        <w:rPr>
          <w:szCs w:val="24"/>
        </w:rPr>
        <w:t xml:space="preserve">around </w:t>
      </w:r>
      <w:r>
        <w:rPr>
          <w:szCs w:val="24"/>
        </w:rPr>
        <w:t>39</w:t>
      </w:r>
      <w:r w:rsidRPr="008A5E8B">
        <w:rPr>
          <w:szCs w:val="24"/>
        </w:rPr>
        <w:t>,</w:t>
      </w:r>
      <w:r>
        <w:rPr>
          <w:szCs w:val="24"/>
        </w:rPr>
        <w:t>96</w:t>
      </w:r>
      <w:r w:rsidRPr="008A5E8B">
        <w:rPr>
          <w:szCs w:val="24"/>
        </w:rPr>
        <w:t xml:space="preserve">0 Jordanian and </w:t>
      </w:r>
      <w:r>
        <w:rPr>
          <w:szCs w:val="24"/>
        </w:rPr>
        <w:t>17</w:t>
      </w:r>
      <w:r w:rsidRPr="008A5E8B">
        <w:rPr>
          <w:szCs w:val="24"/>
        </w:rPr>
        <w:t>,</w:t>
      </w:r>
      <w:r>
        <w:rPr>
          <w:szCs w:val="24"/>
        </w:rPr>
        <w:t>590</w:t>
      </w:r>
      <w:r w:rsidRPr="008A5E8B">
        <w:rPr>
          <w:szCs w:val="24"/>
        </w:rPr>
        <w:t xml:space="preserve"> non-</w:t>
      </w:r>
      <w:r w:rsidRPr="00690DDE">
        <w:rPr>
          <w:szCs w:val="24"/>
        </w:rPr>
        <w:t>Jordanian</w:t>
      </w:r>
      <w:r>
        <w:rPr>
          <w:szCs w:val="24"/>
        </w:rPr>
        <w:t xml:space="preserve"> </w:t>
      </w:r>
      <w:r>
        <w:rPr>
          <w:szCs w:val="24"/>
        </w:rPr>
        <w:fldChar w:fldCharType="begin"/>
      </w:r>
      <w:r>
        <w:rPr>
          <w:szCs w:val="24"/>
        </w:rPr>
        <w:instrText xml:space="preserve"> ADDIN EN.CITE &lt;EndNote&gt;&lt;Cite&gt;&lt;Author&gt;DoS&lt;/Author&gt;&lt;Year&gt;2017&lt;/Year&gt;&lt;RecNum&gt;782&lt;/RecNum&gt;&lt;DisplayText&gt;(DoS, 2017c)&lt;/DisplayText&gt;&lt;record&gt;&lt;rec-number&gt;782&lt;/rec-number&gt;&lt;foreign-keys&gt;&lt;key app="EN" db-id="a52r52vwspdfrqepfx7pwz0uzaverz5setxs"&gt;782&lt;/key&gt;&lt;/foreign-keys&gt;&lt;ref-type name="Web Page"&gt;12&lt;/ref-type&gt;&lt;contributors&gt;&lt;authors&gt;&lt;author&gt;DoS&lt;/author&gt;&lt;/authors&gt;&lt;/contributors&gt;&lt;titles&gt;&lt;title&gt;Number of Employees in the Livestock Activity aged 16 Years and Above by Kind of Labor, Sex and Nationality in the Kingdom 2015&lt;/title&gt;&lt;/titles&gt;&lt;volume&gt;2017&lt;/volume&gt;&lt;number&gt;Mai 8, 2017&lt;/number&gt;&lt;dates&gt;&lt;year&gt;2017&lt;/year&gt;&lt;/dates&gt;&lt;pub-location&gt;Amman, Jordan&lt;/pub-location&gt;&lt;urls&gt;&lt;related-urls&gt;&lt;url&gt;http://www.dos.gov.jo/owa-user/owa/FOCAL_AGR_anm.show_param?LANG=E&amp;amp;dis=6&lt;/url&gt;&lt;/related-urls&gt;&lt;/urls&gt;&lt;/record&gt;&lt;/Cite&gt;&lt;/EndNote&gt;</w:instrText>
      </w:r>
      <w:r>
        <w:rPr>
          <w:szCs w:val="24"/>
        </w:rPr>
        <w:fldChar w:fldCharType="separate"/>
      </w:r>
      <w:r>
        <w:rPr>
          <w:noProof/>
          <w:szCs w:val="24"/>
        </w:rPr>
        <w:t>(</w:t>
      </w:r>
      <w:hyperlink w:anchor="_ENREF_6" w:tooltip="DoS, 2017 #782" w:history="1">
        <w:r w:rsidR="004C58C3">
          <w:rPr>
            <w:noProof/>
            <w:szCs w:val="24"/>
          </w:rPr>
          <w:t>DoS, 2017c</w:t>
        </w:r>
      </w:hyperlink>
      <w:r>
        <w:rPr>
          <w:noProof/>
          <w:szCs w:val="24"/>
        </w:rPr>
        <w:t>)</w:t>
      </w:r>
      <w:r>
        <w:rPr>
          <w:szCs w:val="24"/>
        </w:rPr>
        <w:fldChar w:fldCharType="end"/>
      </w:r>
      <w:r w:rsidRPr="00690DDE">
        <w:rPr>
          <w:szCs w:val="24"/>
        </w:rPr>
        <w:t>.</w:t>
      </w:r>
      <w:r w:rsidRPr="008A5E8B">
        <w:rPr>
          <w:szCs w:val="24"/>
        </w:rPr>
        <w:t xml:space="preserve"> </w:t>
      </w:r>
      <w:r>
        <w:rPr>
          <w:szCs w:val="24"/>
        </w:rPr>
        <w:t xml:space="preserve"> The livestock sector contributed for around 2.1 per cent to the country export in January 2017. The export value Free On Board (FOB) of live animals was estimated to be 5,616,</w:t>
      </w:r>
      <w:r w:rsidRPr="001E6F9F">
        <w:rPr>
          <w:szCs w:val="24"/>
        </w:rPr>
        <w:t>7</w:t>
      </w:r>
      <w:r>
        <w:rPr>
          <w:szCs w:val="24"/>
        </w:rPr>
        <w:t xml:space="preserve">00 JD while meat and meat offal amounted to </w:t>
      </w:r>
      <w:r w:rsidRPr="001E6F9F">
        <w:rPr>
          <w:szCs w:val="24"/>
        </w:rPr>
        <w:t>1</w:t>
      </w:r>
      <w:r>
        <w:rPr>
          <w:szCs w:val="24"/>
        </w:rPr>
        <w:t>,</w:t>
      </w:r>
      <w:r w:rsidRPr="001E6F9F">
        <w:rPr>
          <w:szCs w:val="24"/>
        </w:rPr>
        <w:t>751</w:t>
      </w:r>
      <w:r>
        <w:rPr>
          <w:szCs w:val="24"/>
        </w:rPr>
        <w:t>,</w:t>
      </w:r>
      <w:r w:rsidRPr="001E6F9F">
        <w:rPr>
          <w:szCs w:val="24"/>
        </w:rPr>
        <w:t>1</w:t>
      </w:r>
      <w:r>
        <w:rPr>
          <w:szCs w:val="24"/>
        </w:rPr>
        <w:t>00 JD</w:t>
      </w:r>
      <w:r>
        <w:rPr>
          <w:szCs w:val="24"/>
        </w:rPr>
        <w:fldChar w:fldCharType="begin"/>
      </w:r>
      <w:r>
        <w:rPr>
          <w:szCs w:val="24"/>
        </w:rPr>
        <w:instrText xml:space="preserve"> ADDIN EN.CITE &lt;EndNote&gt;&lt;Cite&gt;&lt;Author&gt;DoS&lt;/Author&gt;&lt;Year&gt;2017&lt;/Year&gt;&lt;RecNum&gt;781&lt;/RecNum&gt;&lt;DisplayText&gt;(DoS, 2017a)&lt;/DisplayText&gt;&lt;record&gt;&lt;rec-number&gt;781&lt;/rec-number&gt;&lt;foreign-keys&gt;&lt;key app="EN" db-id="a52r52vwspdfrqepfx7pwz0uzaverz5setxs"&gt;781&lt;/key&gt;&lt;/foreign-keys&gt;&lt;ref-type name="Web Page"&gt;12&lt;/ref-type&gt;&lt;contributors&gt;&lt;authors&gt;&lt;author&gt;DoS&lt;/author&gt;&lt;/authors&gt;&lt;/contributors&gt;&lt;titles&gt;&lt;title&gt;Domestic Exports by Commodity DuringJanuary 2016 and 2017&lt;/title&gt;&lt;/titles&gt;&lt;volume&gt;2017&lt;/volume&gt;&lt;number&gt;May 8, 2017&lt;/number&gt;&lt;dates&gt;&lt;year&gt;2017&lt;/year&gt;&lt;/dates&gt;&lt;pub-location&gt;Amman, Jordan&lt;/pub-location&gt;&lt;publisher&gt;Department of Statistics of Jordan&lt;/publisher&gt;&lt;urls&gt;&lt;related-urls&gt;&lt;url&gt;http://www.dos.gov.jo/dos_home_e/main/linked-html/ex_trad.htm&lt;/url&gt;&lt;/related-urls&gt;&lt;/urls&gt;&lt;/record&gt;&lt;/Cite&gt;&lt;/EndNote&gt;</w:instrText>
      </w:r>
      <w:r>
        <w:rPr>
          <w:szCs w:val="24"/>
        </w:rPr>
        <w:fldChar w:fldCharType="separate"/>
      </w:r>
      <w:r>
        <w:rPr>
          <w:noProof/>
          <w:szCs w:val="24"/>
        </w:rPr>
        <w:t>(</w:t>
      </w:r>
      <w:hyperlink w:anchor="_ENREF_4" w:tooltip="DoS, 2017 #781" w:history="1">
        <w:r w:rsidR="004C58C3">
          <w:rPr>
            <w:noProof/>
            <w:szCs w:val="24"/>
          </w:rPr>
          <w:t>DoS, 2017a</w:t>
        </w:r>
      </w:hyperlink>
      <w:r>
        <w:rPr>
          <w:noProof/>
          <w:szCs w:val="24"/>
        </w:rPr>
        <w:t>)</w:t>
      </w:r>
      <w:r>
        <w:rPr>
          <w:szCs w:val="24"/>
        </w:rPr>
        <w:fldChar w:fldCharType="end"/>
      </w:r>
      <w:r>
        <w:rPr>
          <w:szCs w:val="24"/>
        </w:rPr>
        <w:t xml:space="preserve">. </w:t>
      </w:r>
    </w:p>
    <w:p w14:paraId="1C16D06C" w14:textId="7AC82D87" w:rsidR="00D42879" w:rsidRDefault="00D42879" w:rsidP="00D42879">
      <w:pPr>
        <w:rPr>
          <w:szCs w:val="24"/>
        </w:rPr>
      </w:pPr>
      <w:r>
        <w:rPr>
          <w:szCs w:val="24"/>
        </w:rPr>
        <w:t>The Syria crisis, now in its 6</w:t>
      </w:r>
      <w:r w:rsidRPr="00FF4C9E">
        <w:rPr>
          <w:szCs w:val="24"/>
          <w:vertAlign w:val="superscript"/>
        </w:rPr>
        <w:t>th</w:t>
      </w:r>
      <w:r>
        <w:rPr>
          <w:szCs w:val="24"/>
        </w:rPr>
        <w:t xml:space="preserve"> year, has brought about an influx of 659,957 refugees </w:t>
      </w:r>
      <w:r>
        <w:rPr>
          <w:szCs w:val="24"/>
        </w:rPr>
        <w:fldChar w:fldCharType="begin"/>
      </w:r>
      <w:r>
        <w:rPr>
          <w:szCs w:val="24"/>
        </w:rPr>
        <w:instrText xml:space="preserve"> ADDIN EN.CITE &lt;EndNote&gt;&lt;Cite&gt;&lt;Author&gt;UNHCR&lt;/Author&gt;&lt;Year&gt;2017&lt;/Year&gt;&lt;RecNum&gt;734&lt;/RecNum&gt;&lt;DisplayText&gt;(UNHCR, 2017)&lt;/DisplayText&gt;&lt;record&gt;&lt;rec-number&gt;734&lt;/rec-number&gt;&lt;foreign-keys&gt;&lt;key app="EN" db-id="a52r52vwspdfrqepfx7pwz0uzaverz5setxs"&gt;734&lt;/key&gt;&lt;/foreign-keys&gt;&lt;ref-type name="Report"&gt;27&lt;/ref-type&gt;&lt;contributors&gt;&lt;authors&gt;&lt;author&gt;UNHCR,&lt;/author&gt;&lt;/authors&gt;&lt;/contributors&gt;&lt;titles&gt;&lt;title&gt;Statistical Report on Registered Syrians Currently Residing in Jordan&lt;/title&gt;&lt;/titles&gt;&lt;dates&gt;&lt;year&gt;2017&lt;/year&gt;&lt;/dates&gt;&lt;pub-location&gt;Amman, Jordan&lt;/pub-location&gt;&lt;urls&gt;&lt;/urls&gt;&lt;/record&gt;&lt;/Cite&gt;&lt;/EndNote&gt;</w:instrText>
      </w:r>
      <w:r>
        <w:rPr>
          <w:szCs w:val="24"/>
        </w:rPr>
        <w:fldChar w:fldCharType="separate"/>
      </w:r>
      <w:r>
        <w:rPr>
          <w:noProof/>
          <w:szCs w:val="24"/>
        </w:rPr>
        <w:t>(</w:t>
      </w:r>
      <w:hyperlink w:anchor="_ENREF_13" w:tooltip="UNHCR, 2017 #734" w:history="1">
        <w:r w:rsidR="004C58C3">
          <w:rPr>
            <w:noProof/>
            <w:szCs w:val="24"/>
          </w:rPr>
          <w:t>UNHCR, 2017</w:t>
        </w:r>
      </w:hyperlink>
      <w:r>
        <w:rPr>
          <w:noProof/>
          <w:szCs w:val="24"/>
        </w:rPr>
        <w:t>)</w:t>
      </w:r>
      <w:r>
        <w:rPr>
          <w:szCs w:val="24"/>
        </w:rPr>
        <w:fldChar w:fldCharType="end"/>
      </w:r>
      <w:r>
        <w:rPr>
          <w:szCs w:val="24"/>
        </w:rPr>
        <w:t xml:space="preserve">. Around 80 per cent of Syrian refugees in Jordan live outside camps. Many work </w:t>
      </w:r>
      <w:r w:rsidRPr="00197649">
        <w:rPr>
          <w:szCs w:val="24"/>
        </w:rPr>
        <w:t>mainly in agricultural sector</w:t>
      </w:r>
      <w:r>
        <w:rPr>
          <w:szCs w:val="24"/>
        </w:rPr>
        <w:t>; their presence increases the pressure on agricultural resources and may challenge the contribution of the sector to development.</w:t>
      </w:r>
    </w:p>
    <w:p w14:paraId="32468F1C" w14:textId="77777777" w:rsidR="00D42879" w:rsidRPr="008A5E8B" w:rsidRDefault="00D42879" w:rsidP="00D42879">
      <w:pPr>
        <w:rPr>
          <w:szCs w:val="24"/>
        </w:rPr>
      </w:pPr>
      <w:r w:rsidRPr="00353181">
        <w:rPr>
          <w:szCs w:val="24"/>
        </w:rPr>
        <w:t>To date, there are no comprehensive socio-economic studies of Syrians in the agricultural sector in Jordan that allow for a clear understanding of refugees assets and strategies and how these have evolved since their arrival. Nor is there a systematic analysis of options available to them to make a living through agricultural activities, preserve and build assets</w:t>
      </w:r>
      <w:r>
        <w:rPr>
          <w:szCs w:val="24"/>
        </w:rPr>
        <w:t>.</w:t>
      </w:r>
      <w:r w:rsidRPr="00353181">
        <w:rPr>
          <w:szCs w:val="24"/>
        </w:rPr>
        <w:t xml:space="preserve"> </w:t>
      </w:r>
    </w:p>
    <w:p w14:paraId="7FA6BCEF" w14:textId="0F8228F0" w:rsidR="00CC10AC" w:rsidRDefault="00D42879" w:rsidP="00190D36">
      <w:pPr>
        <w:spacing w:line="276" w:lineRule="auto"/>
        <w:rPr>
          <w:szCs w:val="24"/>
        </w:rPr>
      </w:pPr>
      <w:r w:rsidRPr="008A5E8B">
        <w:rPr>
          <w:szCs w:val="24"/>
        </w:rPr>
        <w:t xml:space="preserve">The aim of the study is to better understand refugees’ </w:t>
      </w:r>
      <w:r>
        <w:rPr>
          <w:szCs w:val="24"/>
        </w:rPr>
        <w:t xml:space="preserve">agricultural </w:t>
      </w:r>
      <w:r w:rsidRPr="008A5E8B">
        <w:rPr>
          <w:szCs w:val="24"/>
        </w:rPr>
        <w:t>livelihoods (assets</w:t>
      </w:r>
      <w:r>
        <w:rPr>
          <w:szCs w:val="24"/>
        </w:rPr>
        <w:t xml:space="preserve">, </w:t>
      </w:r>
      <w:r w:rsidRPr="008A5E8B">
        <w:rPr>
          <w:szCs w:val="24"/>
        </w:rPr>
        <w:t>strategies</w:t>
      </w:r>
      <w:r>
        <w:rPr>
          <w:szCs w:val="24"/>
        </w:rPr>
        <w:t>, and shocks/risks</w:t>
      </w:r>
      <w:r w:rsidRPr="008A5E8B">
        <w:rPr>
          <w:szCs w:val="24"/>
        </w:rPr>
        <w:t xml:space="preserve">) and </w:t>
      </w:r>
      <w:r>
        <w:rPr>
          <w:szCs w:val="24"/>
        </w:rPr>
        <w:t xml:space="preserve">to </w:t>
      </w:r>
      <w:r w:rsidRPr="008A5E8B">
        <w:rPr>
          <w:szCs w:val="24"/>
        </w:rPr>
        <w:t>identif</w:t>
      </w:r>
      <w:r>
        <w:rPr>
          <w:szCs w:val="24"/>
        </w:rPr>
        <w:t>y</w:t>
      </w:r>
      <w:r w:rsidRPr="008A5E8B">
        <w:rPr>
          <w:szCs w:val="24"/>
        </w:rPr>
        <w:t xml:space="preserve"> best options for improving the</w:t>
      </w:r>
      <w:r>
        <w:rPr>
          <w:szCs w:val="24"/>
        </w:rPr>
        <w:t xml:space="preserve">m </w:t>
      </w:r>
      <w:r w:rsidRPr="008A5E8B">
        <w:rPr>
          <w:szCs w:val="24"/>
        </w:rPr>
        <w:t>guid</w:t>
      </w:r>
      <w:r>
        <w:rPr>
          <w:szCs w:val="24"/>
        </w:rPr>
        <w:t>ing</w:t>
      </w:r>
      <w:r w:rsidRPr="008A5E8B">
        <w:rPr>
          <w:szCs w:val="24"/>
        </w:rPr>
        <w:t xml:space="preserve"> interventions</w:t>
      </w:r>
      <w:r>
        <w:rPr>
          <w:szCs w:val="24"/>
        </w:rPr>
        <w:t xml:space="preserve"> targeting refugees.</w:t>
      </w:r>
      <w:r w:rsidRPr="008A5E8B">
        <w:rPr>
          <w:szCs w:val="24"/>
        </w:rPr>
        <w:t xml:space="preserve"> </w:t>
      </w:r>
      <w:r w:rsidR="00CC10AC" w:rsidRPr="008A5E8B">
        <w:rPr>
          <w:szCs w:val="24"/>
        </w:rPr>
        <w:t xml:space="preserve"> </w:t>
      </w:r>
    </w:p>
    <w:p w14:paraId="3AAB1D2D" w14:textId="77777777" w:rsidR="00353181" w:rsidRPr="00353181" w:rsidRDefault="00353181" w:rsidP="00EF3F9A">
      <w:pPr>
        <w:spacing w:after="120" w:line="276" w:lineRule="auto"/>
        <w:rPr>
          <w:rFonts w:eastAsia="Times New Roman" w:cs="Arial"/>
          <w:color w:val="000000"/>
          <w:szCs w:val="24"/>
          <w:lang w:val="en-US" w:eastAsia="fr-FR"/>
        </w:rPr>
      </w:pPr>
      <w:r w:rsidRPr="00353181">
        <w:rPr>
          <w:rFonts w:eastAsia="Times New Roman" w:cs="Arial"/>
          <w:color w:val="000000"/>
          <w:szCs w:val="24"/>
          <w:lang w:val="en-US" w:eastAsia="fr-FR"/>
        </w:rPr>
        <w:t xml:space="preserve">The specific objectives of study are: </w:t>
      </w:r>
    </w:p>
    <w:p w14:paraId="62653605" w14:textId="77777777" w:rsidR="00353181" w:rsidRPr="00353181" w:rsidRDefault="00353181" w:rsidP="00EF3F9A">
      <w:pPr>
        <w:numPr>
          <w:ilvl w:val="0"/>
          <w:numId w:val="1"/>
        </w:numPr>
        <w:spacing w:after="0" w:line="276" w:lineRule="auto"/>
        <w:contextualSpacing/>
        <w:rPr>
          <w:rFonts w:eastAsia="Times New Roman" w:cs="Arial"/>
          <w:szCs w:val="24"/>
          <w:lang w:val="en-US" w:eastAsia="fr-FR"/>
        </w:rPr>
      </w:pPr>
      <w:r w:rsidRPr="00353181">
        <w:rPr>
          <w:rFonts w:eastAsia="Times New Roman" w:cs="Arial"/>
          <w:szCs w:val="24"/>
          <w:lang w:val="en-US" w:eastAsia="fr-FR"/>
        </w:rPr>
        <w:t xml:space="preserve">To  put the </w:t>
      </w:r>
      <w:r w:rsidRPr="00353181">
        <w:rPr>
          <w:rFonts w:eastAsia="MS Mincho" w:cs="Times New Roman"/>
          <w:szCs w:val="24"/>
          <w:lang w:eastAsia="ar-SA"/>
        </w:rPr>
        <w:t>analysis into context, consider policies, institutions and process</w:t>
      </w:r>
      <w:r w:rsidRPr="00353181">
        <w:rPr>
          <w:rFonts w:eastAsia="Times New Roman" w:cs="Arial"/>
          <w:szCs w:val="24"/>
          <w:lang w:val="en-US" w:eastAsia="fr-FR"/>
        </w:rPr>
        <w:t xml:space="preserve"> develop in-depth understanding of the socio-economic status of Syrian refugees engaged in agriculture;,</w:t>
      </w:r>
    </w:p>
    <w:p w14:paraId="5FD64F08" w14:textId="77777777" w:rsidR="00353181" w:rsidRPr="00353181" w:rsidRDefault="00353181" w:rsidP="00EF3F9A">
      <w:pPr>
        <w:numPr>
          <w:ilvl w:val="0"/>
          <w:numId w:val="1"/>
        </w:numPr>
        <w:spacing w:after="0" w:line="276" w:lineRule="auto"/>
        <w:contextualSpacing/>
        <w:rPr>
          <w:rFonts w:eastAsia="Times New Roman" w:cs="Arial"/>
          <w:szCs w:val="24"/>
          <w:lang w:val="en-US" w:eastAsia="fr-FR"/>
        </w:rPr>
      </w:pPr>
      <w:r w:rsidRPr="00353181">
        <w:rPr>
          <w:rFonts w:eastAsia="Times New Roman" w:cs="Arial"/>
          <w:szCs w:val="24"/>
          <w:lang w:val="en-US" w:eastAsia="fr-FR"/>
        </w:rPr>
        <w:t xml:space="preserve">To </w:t>
      </w:r>
      <w:r w:rsidRPr="00353181">
        <w:rPr>
          <w:rFonts w:cstheme="minorHAnsi"/>
          <w:spacing w:val="2"/>
          <w:szCs w:val="24"/>
          <w:lang w:val="en"/>
        </w:rPr>
        <w:t>determine the wealth breakdown (</w:t>
      </w:r>
      <w:r w:rsidRPr="00353181">
        <w:rPr>
          <w:rFonts w:eastAsia="MS Mincho" w:cs="Times New Roman"/>
          <w:szCs w:val="24"/>
          <w:lang w:eastAsia="ar-SA"/>
        </w:rPr>
        <w:t xml:space="preserve">Ranking wealth groups), </w:t>
      </w:r>
      <w:r w:rsidRPr="00353181">
        <w:rPr>
          <w:rFonts w:cstheme="minorHAnsi"/>
          <w:spacing w:val="2"/>
          <w:szCs w:val="24"/>
          <w:lang w:val="en"/>
        </w:rPr>
        <w:t>profiling of livelihood strategies of the potential beneficiaries of the project</w:t>
      </w:r>
      <w:r w:rsidRPr="00353181">
        <w:rPr>
          <w:rFonts w:eastAsia="Times New Roman" w:cs="Arial"/>
          <w:szCs w:val="24"/>
          <w:lang w:val="en-US" w:eastAsia="fr-FR"/>
        </w:rPr>
        <w:t xml:space="preserve"> in the identified geographical areas;</w:t>
      </w:r>
    </w:p>
    <w:p w14:paraId="3BA2D15B" w14:textId="77777777" w:rsidR="00353181" w:rsidRPr="00353181" w:rsidRDefault="00353181" w:rsidP="00EF3F9A">
      <w:pPr>
        <w:numPr>
          <w:ilvl w:val="0"/>
          <w:numId w:val="1"/>
        </w:numPr>
        <w:spacing w:after="0" w:line="276" w:lineRule="auto"/>
        <w:contextualSpacing/>
        <w:rPr>
          <w:rFonts w:eastAsia="Times New Roman" w:cs="Arial"/>
          <w:szCs w:val="24"/>
          <w:lang w:val="en-US" w:eastAsia="fr-FR"/>
        </w:rPr>
      </w:pPr>
      <w:r w:rsidRPr="00353181">
        <w:rPr>
          <w:rFonts w:eastAsia="Times New Roman" w:cs="Arial"/>
          <w:szCs w:val="24"/>
          <w:lang w:val="en-US" w:eastAsia="fr-FR"/>
        </w:rPr>
        <w:lastRenderedPageBreak/>
        <w:t>To assess livelihood options and constraints, identify assets of the different groups;</w:t>
      </w:r>
    </w:p>
    <w:p w14:paraId="704655AA" w14:textId="77777777" w:rsidR="00353181" w:rsidRPr="00353181" w:rsidRDefault="00353181" w:rsidP="00EF3F9A">
      <w:pPr>
        <w:numPr>
          <w:ilvl w:val="0"/>
          <w:numId w:val="1"/>
        </w:numPr>
        <w:spacing w:after="0" w:line="276" w:lineRule="auto"/>
        <w:contextualSpacing/>
        <w:rPr>
          <w:rFonts w:eastAsia="Times New Roman" w:cs="Arial"/>
          <w:szCs w:val="24"/>
          <w:lang w:val="en-US" w:eastAsia="fr-FR"/>
        </w:rPr>
      </w:pPr>
      <w:r w:rsidRPr="00353181">
        <w:rPr>
          <w:rFonts w:eastAsia="Times New Roman" w:cs="Arial"/>
          <w:szCs w:val="24"/>
          <w:lang w:val="en-US" w:eastAsia="fr-FR"/>
        </w:rPr>
        <w:t xml:space="preserve">To explore gender issues, identify potential risk factors that influence work of refugees in agriculture and especially the involvement of children in agricultural work; </w:t>
      </w:r>
    </w:p>
    <w:p w14:paraId="098EB336" w14:textId="1543B85A" w:rsidR="008716C9" w:rsidRPr="0094725C" w:rsidRDefault="00353181" w:rsidP="00EF3F9A">
      <w:pPr>
        <w:numPr>
          <w:ilvl w:val="0"/>
          <w:numId w:val="1"/>
        </w:numPr>
        <w:spacing w:after="0" w:line="276" w:lineRule="auto"/>
        <w:contextualSpacing/>
        <w:rPr>
          <w:lang w:val="en-US" w:eastAsia="fr-FR"/>
        </w:rPr>
      </w:pPr>
      <w:r w:rsidRPr="00EF3F9A">
        <w:rPr>
          <w:rFonts w:eastAsia="Times New Roman" w:cs="Arial"/>
          <w:szCs w:val="24"/>
          <w:lang w:val="en-US" w:eastAsia="fr-FR"/>
        </w:rPr>
        <w:t>To provide a robust basis for targeting, identify HH to be targeted, measure baseline socio-economic situation of participants identified (target) so as to be later able to measure the impact of programmatic decisions on refugees’ livelihoods.</w:t>
      </w:r>
    </w:p>
    <w:p w14:paraId="699592F9" w14:textId="77777777" w:rsidR="0094725C" w:rsidRPr="00EF3F9A" w:rsidRDefault="0094725C" w:rsidP="0094725C">
      <w:pPr>
        <w:spacing w:after="0" w:line="276" w:lineRule="auto"/>
        <w:ind w:left="360"/>
        <w:contextualSpacing/>
        <w:rPr>
          <w:lang w:val="en-US" w:eastAsia="fr-FR"/>
        </w:rPr>
      </w:pPr>
    </w:p>
    <w:p w14:paraId="2BA2D1FB" w14:textId="77777777" w:rsidR="002A6539" w:rsidRPr="00E60353" w:rsidRDefault="00CC10AC" w:rsidP="00466DE4">
      <w:pPr>
        <w:pStyle w:val="Heading1"/>
        <w:numPr>
          <w:ilvl w:val="0"/>
          <w:numId w:val="3"/>
        </w:numPr>
        <w:ind w:left="426" w:hanging="426"/>
      </w:pPr>
      <w:bookmarkStart w:id="10" w:name="_Toc483361448"/>
      <w:r w:rsidRPr="00E60353">
        <w:t>Methodology</w:t>
      </w:r>
      <w:bookmarkEnd w:id="10"/>
    </w:p>
    <w:p w14:paraId="205E6659" w14:textId="77777777" w:rsidR="002A6539" w:rsidRPr="008A5E8B" w:rsidRDefault="00490276" w:rsidP="00190D36">
      <w:pPr>
        <w:pStyle w:val="Heading2"/>
      </w:pPr>
      <w:bookmarkStart w:id="11" w:name="_Toc483361449"/>
      <w:r>
        <w:t xml:space="preserve">2.1 </w:t>
      </w:r>
      <w:r w:rsidR="00CC10AC" w:rsidRPr="008A5E8B">
        <w:t>Study locations</w:t>
      </w:r>
      <w:bookmarkEnd w:id="11"/>
    </w:p>
    <w:p w14:paraId="3398F00E" w14:textId="46BFA0E0" w:rsidR="008B6ED8" w:rsidRDefault="008B6ED8" w:rsidP="009118F6">
      <w:pPr>
        <w:spacing w:after="0" w:line="276" w:lineRule="auto"/>
        <w:rPr>
          <w:rFonts w:cs="Times New Roman"/>
          <w:szCs w:val="24"/>
          <w:lang w:val="en-US"/>
        </w:rPr>
      </w:pPr>
      <w:r>
        <w:rPr>
          <w:rFonts w:cs="Times New Roman"/>
          <w:szCs w:val="24"/>
          <w:lang w:val="en-US"/>
        </w:rPr>
        <w:t>The prese</w:t>
      </w:r>
      <w:r w:rsidR="00B77562">
        <w:rPr>
          <w:rFonts w:cs="Times New Roman"/>
          <w:szCs w:val="24"/>
          <w:lang w:val="en-US"/>
        </w:rPr>
        <w:t xml:space="preserve">nt study is performed in Jordan </w:t>
      </w:r>
      <w:r w:rsidR="0008366F">
        <w:rPr>
          <w:rFonts w:cs="Times New Roman"/>
          <w:szCs w:val="24"/>
          <w:lang w:val="en-US"/>
        </w:rPr>
        <w:t>which</w:t>
      </w:r>
      <w:r w:rsidR="00B77562">
        <w:rPr>
          <w:rFonts w:cs="Times New Roman"/>
          <w:szCs w:val="24"/>
          <w:lang w:val="en-US"/>
        </w:rPr>
        <w:t xml:space="preserve"> comprises four </w:t>
      </w:r>
      <w:r w:rsidR="00223A08">
        <w:rPr>
          <w:rFonts w:cs="Times New Roman"/>
          <w:szCs w:val="24"/>
          <w:lang w:val="en-US"/>
        </w:rPr>
        <w:t>agro-ecological zones</w:t>
      </w:r>
      <w:r w:rsidR="00735C38">
        <w:rPr>
          <w:rFonts w:cs="Times New Roman"/>
          <w:szCs w:val="24"/>
          <w:lang w:val="en-US"/>
        </w:rPr>
        <w:t xml:space="preserve"> (</w:t>
      </w:r>
      <w:proofErr w:type="spellStart"/>
      <w:r w:rsidR="00735C38">
        <w:rPr>
          <w:rFonts w:cs="Times New Roman"/>
          <w:szCs w:val="24"/>
          <w:lang w:val="en-US"/>
        </w:rPr>
        <w:t>MoA</w:t>
      </w:r>
      <w:proofErr w:type="spellEnd"/>
      <w:r w:rsidR="00735C38">
        <w:rPr>
          <w:rFonts w:cs="Times New Roman"/>
          <w:szCs w:val="24"/>
          <w:lang w:val="en-US"/>
        </w:rPr>
        <w:t>, 2015)</w:t>
      </w:r>
      <w:r w:rsidR="00223A08">
        <w:rPr>
          <w:rFonts w:cs="Times New Roman"/>
          <w:szCs w:val="24"/>
          <w:lang w:val="en-US"/>
        </w:rPr>
        <w:t>:</w:t>
      </w:r>
    </w:p>
    <w:p w14:paraId="6D53270D" w14:textId="6DE4B81A" w:rsidR="00223A08" w:rsidRPr="00735C38" w:rsidRDefault="00223A08" w:rsidP="00735C38">
      <w:pPr>
        <w:pStyle w:val="ListParagraph"/>
        <w:numPr>
          <w:ilvl w:val="0"/>
          <w:numId w:val="33"/>
        </w:numPr>
        <w:spacing w:after="0" w:line="276" w:lineRule="auto"/>
        <w:rPr>
          <w:rFonts w:cs="Times New Roman"/>
          <w:szCs w:val="24"/>
          <w:lang w:val="en-US"/>
        </w:rPr>
      </w:pPr>
      <w:proofErr w:type="gramStart"/>
      <w:r>
        <w:rPr>
          <w:rFonts w:cs="Times New Roman"/>
          <w:szCs w:val="24"/>
          <w:lang w:val="en-US"/>
        </w:rPr>
        <w:t>t</w:t>
      </w:r>
      <w:r w:rsidRPr="00223A08">
        <w:rPr>
          <w:rFonts w:cs="Times New Roman"/>
          <w:szCs w:val="24"/>
          <w:lang w:val="en-US"/>
        </w:rPr>
        <w:t>he</w:t>
      </w:r>
      <w:proofErr w:type="gramEnd"/>
      <w:r w:rsidRPr="00223A08">
        <w:rPr>
          <w:rFonts w:cs="Times New Roman"/>
          <w:szCs w:val="24"/>
          <w:lang w:val="en-US"/>
        </w:rPr>
        <w:t xml:space="preserve"> </w:t>
      </w:r>
      <w:r w:rsidR="00923A37">
        <w:t>Jordan Rift Valley w</w:t>
      </w:r>
      <w:r w:rsidR="00B77562">
        <w:t xml:space="preserve">hich </w:t>
      </w:r>
      <w:proofErr w:type="spellStart"/>
      <w:r w:rsidR="00923A37">
        <w:t>streches</w:t>
      </w:r>
      <w:proofErr w:type="spellEnd"/>
      <w:r w:rsidR="00923A37">
        <w:t xml:space="preserve"> </w:t>
      </w:r>
      <w:r w:rsidR="00B77562">
        <w:t xml:space="preserve">from lake </w:t>
      </w:r>
      <w:proofErr w:type="spellStart"/>
      <w:r w:rsidR="00B77562">
        <w:t>Tiberias</w:t>
      </w:r>
      <w:proofErr w:type="spellEnd"/>
      <w:r w:rsidR="00B77562">
        <w:t xml:space="preserve"> in the north to the Dead Sea an</w:t>
      </w:r>
      <w:r w:rsidR="00735C38">
        <w:t>d to Gulf of Aqaba in the south</w:t>
      </w:r>
      <w:r w:rsidR="000F6D9F">
        <w:t>. The main crops are vegetables., fruits and wheat</w:t>
      </w:r>
      <w:r w:rsidR="00735C38">
        <w:t>;</w:t>
      </w:r>
    </w:p>
    <w:p w14:paraId="4A9135A0" w14:textId="5A202584" w:rsidR="00735C38" w:rsidRPr="00735C38" w:rsidRDefault="00223A08" w:rsidP="00735C38">
      <w:pPr>
        <w:pStyle w:val="ListParagraph"/>
        <w:numPr>
          <w:ilvl w:val="0"/>
          <w:numId w:val="33"/>
        </w:numPr>
        <w:spacing w:after="0" w:line="276" w:lineRule="auto"/>
        <w:rPr>
          <w:rFonts w:cs="Times New Roman"/>
          <w:szCs w:val="24"/>
          <w:lang w:val="en-US"/>
        </w:rPr>
      </w:pPr>
      <w:proofErr w:type="gramStart"/>
      <w:r>
        <w:rPr>
          <w:lang w:val="en-US"/>
        </w:rPr>
        <w:t>t</w:t>
      </w:r>
      <w:r>
        <w:t>he</w:t>
      </w:r>
      <w:proofErr w:type="gramEnd"/>
      <w:r>
        <w:t xml:space="preserve"> h</w:t>
      </w:r>
      <w:r w:rsidR="00B77562">
        <w:t xml:space="preserve">ighlands, that lie </w:t>
      </w:r>
      <w:r w:rsidR="00735C38">
        <w:t>next to the Jordan Rift Valley</w:t>
      </w:r>
      <w:r w:rsidR="000F6D9F">
        <w:t>. Field crops, vegetables and fruit trees are cultivated in this area</w:t>
      </w:r>
      <w:r w:rsidR="00735C38">
        <w:t>;</w:t>
      </w:r>
    </w:p>
    <w:p w14:paraId="0156B7A2" w14:textId="6A14B033" w:rsidR="00735C38" w:rsidRPr="00735C38" w:rsidRDefault="00735C38" w:rsidP="00735C38">
      <w:pPr>
        <w:pStyle w:val="ListParagraph"/>
        <w:numPr>
          <w:ilvl w:val="0"/>
          <w:numId w:val="33"/>
        </w:numPr>
        <w:spacing w:after="0" w:line="276" w:lineRule="auto"/>
        <w:rPr>
          <w:rFonts w:cs="Times New Roman"/>
          <w:szCs w:val="24"/>
          <w:lang w:val="en-US"/>
        </w:rPr>
      </w:pPr>
      <w:r>
        <w:rPr>
          <w:lang w:val="en-US"/>
        </w:rPr>
        <w:t>the m</w:t>
      </w:r>
      <w:proofErr w:type="spellStart"/>
      <w:r w:rsidR="00B77562">
        <w:t>arginal</w:t>
      </w:r>
      <w:proofErr w:type="spellEnd"/>
      <w:r w:rsidR="00B77562">
        <w:t xml:space="preserve"> Lands (steppe) </w:t>
      </w:r>
      <w:r w:rsidR="000F6D9F">
        <w:t xml:space="preserve">mainly used for traditional livestock grazing </w:t>
      </w:r>
      <w:r w:rsidR="00B77562">
        <w:t xml:space="preserve">border Syria on the north, </w:t>
      </w:r>
      <w:proofErr w:type="spellStart"/>
      <w:r w:rsidR="00B77562">
        <w:t>Azraq</w:t>
      </w:r>
      <w:proofErr w:type="spellEnd"/>
      <w:r w:rsidR="00B77562">
        <w:t xml:space="preserve"> and </w:t>
      </w:r>
      <w:proofErr w:type="spellStart"/>
      <w:r w:rsidR="00B77562">
        <w:t>Wadi</w:t>
      </w:r>
      <w:proofErr w:type="spellEnd"/>
      <w:r w:rsidR="00B77562">
        <w:t xml:space="preserve"> </w:t>
      </w:r>
      <w:proofErr w:type="spellStart"/>
      <w:r w:rsidR="00B77562">
        <w:t>Sirhan</w:t>
      </w:r>
      <w:proofErr w:type="spellEnd"/>
      <w:r w:rsidR="00B77562">
        <w:t xml:space="preserve"> Basin on the e</w:t>
      </w:r>
      <w:r>
        <w:t xml:space="preserve">ast, </w:t>
      </w:r>
      <w:proofErr w:type="spellStart"/>
      <w:r>
        <w:t>Ras</w:t>
      </w:r>
      <w:proofErr w:type="spellEnd"/>
      <w:r>
        <w:t xml:space="preserve"> El -</w:t>
      </w:r>
      <w:proofErr w:type="spellStart"/>
      <w:r>
        <w:t>Naqab</w:t>
      </w:r>
      <w:proofErr w:type="spellEnd"/>
      <w:r>
        <w:t xml:space="preserve"> on the south;</w:t>
      </w:r>
    </w:p>
    <w:p w14:paraId="23C91E19" w14:textId="77777777" w:rsidR="00735C38" w:rsidRPr="00735C38" w:rsidRDefault="00735C38" w:rsidP="00735C38">
      <w:pPr>
        <w:pStyle w:val="ListParagraph"/>
        <w:numPr>
          <w:ilvl w:val="0"/>
          <w:numId w:val="33"/>
        </w:numPr>
        <w:spacing w:after="0" w:line="276" w:lineRule="auto"/>
        <w:rPr>
          <w:rFonts w:cs="Times New Roman"/>
          <w:szCs w:val="24"/>
          <w:lang w:val="en-US"/>
        </w:rPr>
      </w:pPr>
      <w:proofErr w:type="gramStart"/>
      <w:r>
        <w:rPr>
          <w:lang w:val="en-US"/>
        </w:rPr>
        <w:t>the</w:t>
      </w:r>
      <w:proofErr w:type="gramEnd"/>
      <w:r>
        <w:rPr>
          <w:lang w:val="en-US"/>
        </w:rPr>
        <w:t xml:space="preserve"> </w:t>
      </w:r>
      <w:proofErr w:type="spellStart"/>
      <w:r>
        <w:t>Badia</w:t>
      </w:r>
      <w:proofErr w:type="spellEnd"/>
      <w:r>
        <w:t xml:space="preserve"> Zone (d</w:t>
      </w:r>
      <w:r w:rsidR="00B77562">
        <w:t>esert) located to the east</w:t>
      </w:r>
      <w:r>
        <w:t xml:space="preserve"> </w:t>
      </w:r>
      <w:r w:rsidR="00B77562">
        <w:t xml:space="preserve">of the steppe, </w:t>
      </w:r>
      <w:r>
        <w:t xml:space="preserve">and </w:t>
      </w:r>
      <w:r w:rsidR="00B77562">
        <w:t>extend</w:t>
      </w:r>
      <w:r>
        <w:t xml:space="preserve">ing toward </w:t>
      </w:r>
      <w:r w:rsidR="00B77562">
        <w:t>the Saudi Arabian and Iraqi borders.</w:t>
      </w:r>
    </w:p>
    <w:p w14:paraId="16451539" w14:textId="1D5117EB" w:rsidR="00B77562" w:rsidRPr="00735C38" w:rsidRDefault="00735C38" w:rsidP="00735C38">
      <w:pPr>
        <w:spacing w:after="120" w:line="276" w:lineRule="auto"/>
        <w:rPr>
          <w:rFonts w:cs="Times New Roman"/>
          <w:szCs w:val="24"/>
          <w:lang w:val="en-US"/>
        </w:rPr>
      </w:pPr>
      <w:r w:rsidRPr="00735C38">
        <w:rPr>
          <w:lang w:val="en-US"/>
        </w:rPr>
        <w:t>The r</w:t>
      </w:r>
      <w:r w:rsidR="00B77562" w:rsidRPr="00735C38">
        <w:rPr>
          <w:rFonts w:cs="Times New Roman"/>
          <w:szCs w:val="24"/>
          <w:lang w:val="en-US"/>
        </w:rPr>
        <w:t xml:space="preserve">ange lands and agricultural lands </w:t>
      </w:r>
      <w:r>
        <w:rPr>
          <w:rFonts w:cs="Times New Roman"/>
          <w:szCs w:val="24"/>
          <w:lang w:val="en-US"/>
        </w:rPr>
        <w:t xml:space="preserve">used for livestock and agricultural production </w:t>
      </w:r>
      <w:r w:rsidR="00B77562" w:rsidRPr="00735C38">
        <w:rPr>
          <w:rFonts w:cs="Times New Roman"/>
          <w:szCs w:val="24"/>
          <w:lang w:val="en-US"/>
        </w:rPr>
        <w:t>occupy 91.4 per cent and 5.7 per cent of the total land area, respectively.</w:t>
      </w:r>
    </w:p>
    <w:p w14:paraId="2F95A193" w14:textId="0F408E1C" w:rsidR="008B66E8" w:rsidRDefault="00766EAB" w:rsidP="00735C38">
      <w:pPr>
        <w:spacing w:after="0" w:line="276" w:lineRule="auto"/>
        <w:ind w:firstLine="720"/>
        <w:rPr>
          <w:rFonts w:cs="Times New Roman"/>
          <w:szCs w:val="24"/>
          <w:lang w:val="en-US"/>
        </w:rPr>
      </w:pPr>
      <w:r>
        <w:rPr>
          <w:rFonts w:cs="Times New Roman"/>
          <w:szCs w:val="24"/>
          <w:lang w:val="en-US"/>
        </w:rPr>
        <w:t xml:space="preserve">The choice of the locations </w:t>
      </w:r>
      <w:r w:rsidR="00B4115B">
        <w:rPr>
          <w:rFonts w:cs="Times New Roman"/>
          <w:szCs w:val="24"/>
          <w:lang w:val="en-US"/>
        </w:rPr>
        <w:t>for</w:t>
      </w:r>
      <w:r>
        <w:rPr>
          <w:rFonts w:cs="Times New Roman"/>
          <w:szCs w:val="24"/>
          <w:lang w:val="en-US"/>
        </w:rPr>
        <w:t xml:space="preserve"> the present study was guided by the targeted intervention area</w:t>
      </w:r>
      <w:r w:rsidR="00B4115B">
        <w:rPr>
          <w:rFonts w:cs="Times New Roman"/>
          <w:szCs w:val="24"/>
          <w:lang w:val="en-US"/>
        </w:rPr>
        <w:t>s</w:t>
      </w:r>
      <w:r>
        <w:rPr>
          <w:rFonts w:cs="Times New Roman"/>
          <w:szCs w:val="24"/>
          <w:lang w:val="en-US"/>
        </w:rPr>
        <w:t xml:space="preserve"> of I</w:t>
      </w:r>
      <w:r w:rsidR="007D2319">
        <w:rPr>
          <w:rFonts w:cs="Times New Roman"/>
          <w:szCs w:val="24"/>
          <w:lang w:val="en-US"/>
        </w:rPr>
        <w:t>FAD project</w:t>
      </w:r>
      <w:r>
        <w:rPr>
          <w:rFonts w:cs="Times New Roman"/>
          <w:szCs w:val="24"/>
          <w:lang w:val="en-US"/>
        </w:rPr>
        <w:t xml:space="preserve"> under the Small ruminant project (SIP). Th</w:t>
      </w:r>
      <w:r w:rsidR="00B4115B">
        <w:rPr>
          <w:rFonts w:cs="Times New Roman"/>
          <w:szCs w:val="24"/>
          <w:lang w:val="en-US"/>
        </w:rPr>
        <w:t xml:space="preserve">is </w:t>
      </w:r>
      <w:r>
        <w:rPr>
          <w:rFonts w:cs="Times New Roman"/>
          <w:szCs w:val="24"/>
          <w:lang w:val="en-US"/>
        </w:rPr>
        <w:t xml:space="preserve">IFAD project in support to Syrian refugees target Syrian refugees </w:t>
      </w:r>
      <w:r w:rsidR="00B4115B">
        <w:rPr>
          <w:rFonts w:cs="Times New Roman"/>
          <w:szCs w:val="24"/>
          <w:lang w:val="en-US"/>
        </w:rPr>
        <w:t>working in agriculture</w:t>
      </w:r>
      <w:r w:rsidR="00462ECA">
        <w:rPr>
          <w:rFonts w:cs="Times New Roman"/>
          <w:szCs w:val="24"/>
          <w:lang w:val="en-US"/>
        </w:rPr>
        <w:t xml:space="preserve">. They </w:t>
      </w:r>
      <w:r w:rsidR="00B4115B">
        <w:rPr>
          <w:rFonts w:cs="Times New Roman"/>
          <w:szCs w:val="24"/>
          <w:lang w:val="en-US"/>
        </w:rPr>
        <w:t xml:space="preserve">were found more vulnerable, mainly </w:t>
      </w:r>
      <w:r>
        <w:rPr>
          <w:rFonts w:cs="Times New Roman"/>
          <w:szCs w:val="24"/>
          <w:lang w:val="en-US"/>
        </w:rPr>
        <w:t xml:space="preserve">in </w:t>
      </w:r>
      <w:r w:rsidR="00B4115B">
        <w:rPr>
          <w:rFonts w:cs="Times New Roman"/>
          <w:szCs w:val="24"/>
          <w:lang w:val="en-US"/>
        </w:rPr>
        <w:t>rural</w:t>
      </w:r>
      <w:r>
        <w:rPr>
          <w:rFonts w:cs="Times New Roman"/>
          <w:szCs w:val="24"/>
          <w:lang w:val="en-US"/>
        </w:rPr>
        <w:t xml:space="preserve"> areas</w:t>
      </w:r>
      <w:r w:rsidR="00772ABA">
        <w:rPr>
          <w:rFonts w:cs="Times New Roman"/>
          <w:szCs w:val="24"/>
          <w:lang w:val="en-US"/>
        </w:rPr>
        <w:t xml:space="preserve"> </w:t>
      </w:r>
      <w:r w:rsidR="009D109C">
        <w:rPr>
          <w:rFonts w:cs="Times New Roman"/>
          <w:szCs w:val="24"/>
          <w:lang w:val="en-US"/>
        </w:rPr>
        <w:fldChar w:fldCharType="begin"/>
      </w:r>
      <w:r w:rsidR="009D109C">
        <w:rPr>
          <w:rFonts w:cs="Times New Roman"/>
          <w:szCs w:val="24"/>
          <w:lang w:val="en-US"/>
        </w:rPr>
        <w:instrText xml:space="preserve"> ADDIN EN.CITE &lt;EndNote&gt;&lt;Cite&gt;&lt;Author&gt;FAO&lt;/Author&gt;&lt;Year&gt;2014&lt;/Year&gt;&lt;RecNum&gt;733&lt;/RecNum&gt;&lt;DisplayText&gt;(FAO, 2014)&lt;/DisplayText&gt;&lt;record&gt;&lt;rec-number&gt;733&lt;/rec-number&gt;&lt;foreign-keys&gt;&lt;key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Jordan&lt;/publisher&gt;&lt;urls&gt;&lt;/urls&gt;&lt;/record&gt;&lt;/Cite&gt;&lt;/EndNote&gt;</w:instrText>
      </w:r>
      <w:r w:rsidR="009D109C">
        <w:rPr>
          <w:rFonts w:cs="Times New Roman"/>
          <w:szCs w:val="24"/>
          <w:lang w:val="en-US"/>
        </w:rPr>
        <w:fldChar w:fldCharType="separate"/>
      </w:r>
      <w:r w:rsidR="009D109C">
        <w:rPr>
          <w:rFonts w:cs="Times New Roman"/>
          <w:noProof/>
          <w:szCs w:val="24"/>
          <w:lang w:val="en-US"/>
        </w:rPr>
        <w:t>(</w:t>
      </w:r>
      <w:hyperlink w:anchor="_ENREF_7" w:tooltip="FAO, 2014 #733" w:history="1">
        <w:r w:rsidR="004C58C3">
          <w:rPr>
            <w:rFonts w:cs="Times New Roman"/>
            <w:noProof/>
            <w:szCs w:val="24"/>
            <w:lang w:val="en-US"/>
          </w:rPr>
          <w:t>FAO, 2014</w:t>
        </w:r>
      </w:hyperlink>
      <w:r w:rsidR="009D109C">
        <w:rPr>
          <w:rFonts w:cs="Times New Roman"/>
          <w:noProof/>
          <w:szCs w:val="24"/>
          <w:lang w:val="en-US"/>
        </w:rPr>
        <w:t>)</w:t>
      </w:r>
      <w:r w:rsidR="009D109C">
        <w:rPr>
          <w:rFonts w:cs="Times New Roman"/>
          <w:szCs w:val="24"/>
          <w:lang w:val="en-US"/>
        </w:rPr>
        <w:fldChar w:fldCharType="end"/>
      </w:r>
      <w:r>
        <w:rPr>
          <w:rFonts w:cs="Times New Roman"/>
          <w:szCs w:val="24"/>
          <w:lang w:val="en-US"/>
        </w:rPr>
        <w:t xml:space="preserve">. </w:t>
      </w:r>
      <w:r w:rsidR="00462ECA">
        <w:rPr>
          <w:rFonts w:cs="Times New Roman"/>
          <w:szCs w:val="24"/>
          <w:lang w:val="en-US"/>
        </w:rPr>
        <w:t xml:space="preserve">Using statistics provided by UNHCR Jordan </w:t>
      </w:r>
      <w:r w:rsidR="00462ECA">
        <w:rPr>
          <w:rFonts w:cs="Times New Roman"/>
          <w:szCs w:val="24"/>
          <w:lang w:val="en-US"/>
        </w:rPr>
        <w:fldChar w:fldCharType="begin"/>
      </w:r>
      <w:r w:rsidR="00D42879">
        <w:rPr>
          <w:rFonts w:cs="Times New Roman"/>
          <w:szCs w:val="24"/>
          <w:lang w:val="en-US"/>
        </w:rPr>
        <w:instrText xml:space="preserve"> ADDIN EN.CITE &lt;EndNote&gt;&lt;Cite ExcludeAuth="1"&gt;&lt;Author&gt;UNHCR&lt;/Author&gt;&lt;Year&gt;2017&lt;/Year&gt;&lt;RecNum&gt;734&lt;/RecNum&gt;&lt;DisplayText&gt;(2017)&lt;/DisplayText&gt;&lt;record&gt;&lt;rec-number&gt;734&lt;/rec-number&gt;&lt;foreign-keys&gt;&lt;key app="EN" db-id="a52r52vwspdfrqepfx7pwz0uzaverz5setxs"&gt;734&lt;/key&gt;&lt;/foreign-keys&gt;&lt;ref-type name="Report"&gt;27&lt;/ref-type&gt;&lt;contributors&gt;&lt;authors&gt;&lt;author&gt;UNHCR,&lt;/author&gt;&lt;/authors&gt;&lt;/contributors&gt;&lt;titles&gt;&lt;title&gt;Statistical Report on Registered Syrians Currently Residing in Jordan&lt;/title&gt;&lt;/titles&gt;&lt;dates&gt;&lt;year&gt;2017&lt;/year&gt;&lt;/dates&gt;&lt;pub-location&gt;Amman, Jordan&lt;/pub-location&gt;&lt;urls&gt;&lt;/urls&gt;&lt;/record&gt;&lt;/Cite&gt;&lt;/EndNote&gt;</w:instrText>
      </w:r>
      <w:r w:rsidR="00462ECA">
        <w:rPr>
          <w:rFonts w:cs="Times New Roman"/>
          <w:szCs w:val="24"/>
          <w:lang w:val="en-US"/>
        </w:rPr>
        <w:fldChar w:fldCharType="separate"/>
      </w:r>
      <w:r w:rsidR="00462ECA">
        <w:rPr>
          <w:rFonts w:cs="Times New Roman"/>
          <w:noProof/>
          <w:szCs w:val="24"/>
          <w:lang w:val="en-US"/>
        </w:rPr>
        <w:t>(</w:t>
      </w:r>
      <w:hyperlink w:anchor="_ENREF_13" w:tooltip="UNHCR, 2017 #734" w:history="1">
        <w:r w:rsidR="004C58C3">
          <w:rPr>
            <w:rFonts w:cs="Times New Roman"/>
            <w:noProof/>
            <w:szCs w:val="24"/>
            <w:lang w:val="en-US"/>
          </w:rPr>
          <w:t>2017</w:t>
        </w:r>
      </w:hyperlink>
      <w:r w:rsidR="00462ECA">
        <w:rPr>
          <w:rFonts w:cs="Times New Roman"/>
          <w:noProof/>
          <w:szCs w:val="24"/>
          <w:lang w:val="en-US"/>
        </w:rPr>
        <w:t>)</w:t>
      </w:r>
      <w:r w:rsidR="00462ECA">
        <w:rPr>
          <w:rFonts w:cs="Times New Roman"/>
          <w:szCs w:val="24"/>
          <w:lang w:val="en-US"/>
        </w:rPr>
        <w:fldChar w:fldCharType="end"/>
      </w:r>
      <w:r w:rsidR="00462ECA">
        <w:rPr>
          <w:rFonts w:cs="Times New Roman"/>
          <w:szCs w:val="24"/>
          <w:lang w:val="en-US"/>
        </w:rPr>
        <w:t xml:space="preserve"> t</w:t>
      </w:r>
      <w:r w:rsidR="00B4115B">
        <w:rPr>
          <w:rFonts w:cs="Times New Roman"/>
          <w:szCs w:val="24"/>
          <w:lang w:val="en-US"/>
        </w:rPr>
        <w:t>he stud</w:t>
      </w:r>
      <w:r w:rsidR="00462ECA">
        <w:rPr>
          <w:rFonts w:cs="Times New Roman"/>
          <w:szCs w:val="24"/>
          <w:lang w:val="en-US"/>
        </w:rPr>
        <w:t>y</w:t>
      </w:r>
      <w:r w:rsidR="00B4115B">
        <w:rPr>
          <w:rFonts w:cs="Times New Roman"/>
          <w:szCs w:val="24"/>
          <w:lang w:val="en-US"/>
        </w:rPr>
        <w:t xml:space="preserve"> locations were </w:t>
      </w:r>
      <w:r w:rsidR="00290868">
        <w:rPr>
          <w:rFonts w:cs="Times New Roman"/>
          <w:szCs w:val="24"/>
          <w:lang w:val="en-US"/>
        </w:rPr>
        <w:t xml:space="preserve">then </w:t>
      </w:r>
      <w:r w:rsidR="00B4115B">
        <w:rPr>
          <w:rFonts w:cs="Times New Roman"/>
          <w:szCs w:val="24"/>
          <w:lang w:val="en-US"/>
        </w:rPr>
        <w:t>selected among governorate</w:t>
      </w:r>
      <w:r w:rsidR="00290868">
        <w:rPr>
          <w:rFonts w:cs="Times New Roman"/>
          <w:szCs w:val="24"/>
          <w:lang w:val="en-US"/>
        </w:rPr>
        <w:t>s</w:t>
      </w:r>
      <w:r w:rsidR="00B4115B">
        <w:rPr>
          <w:rFonts w:cs="Times New Roman"/>
          <w:szCs w:val="24"/>
          <w:lang w:val="en-US"/>
        </w:rPr>
        <w:t xml:space="preserve"> with highest registered Syrian refugees living outsides camps</w:t>
      </w:r>
      <w:r w:rsidR="00290868">
        <w:rPr>
          <w:rFonts w:cs="Times New Roman"/>
          <w:szCs w:val="24"/>
          <w:lang w:val="en-US"/>
        </w:rPr>
        <w:t xml:space="preserve"> and working in agriculture and livestock production. This choice was also based on the </w:t>
      </w:r>
      <w:r w:rsidR="00290868" w:rsidRPr="00093A46">
        <w:rPr>
          <w:rFonts w:cs="Times New Roman"/>
          <w:szCs w:val="24"/>
          <w:lang w:val="en-US"/>
        </w:rPr>
        <w:t>representative</w:t>
      </w:r>
      <w:r w:rsidR="00462ECA">
        <w:rPr>
          <w:rFonts w:cs="Times New Roman"/>
          <w:szCs w:val="24"/>
          <w:lang w:val="en-US"/>
        </w:rPr>
        <w:t xml:space="preserve">ness of the </w:t>
      </w:r>
      <w:r w:rsidR="00290868" w:rsidRPr="00093A46">
        <w:rPr>
          <w:rFonts w:cs="Times New Roman"/>
          <w:szCs w:val="24"/>
          <w:lang w:val="en-US"/>
        </w:rPr>
        <w:t>wider area</w:t>
      </w:r>
      <w:r w:rsidR="00462ECA">
        <w:rPr>
          <w:rFonts w:cs="Times New Roman"/>
          <w:szCs w:val="24"/>
          <w:lang w:val="en-US"/>
        </w:rPr>
        <w:t xml:space="preserve"> as well as previous investments of IFAD. Four governorates were selected: Amman (Amman outskirts), </w:t>
      </w:r>
      <w:proofErr w:type="spellStart"/>
      <w:r w:rsidR="00462ECA">
        <w:rPr>
          <w:rFonts w:cs="Times New Roman"/>
          <w:szCs w:val="24"/>
          <w:lang w:val="en-US"/>
        </w:rPr>
        <w:t>Madaba</w:t>
      </w:r>
      <w:proofErr w:type="spellEnd"/>
      <w:r w:rsidR="00462ECA">
        <w:rPr>
          <w:rFonts w:cs="Times New Roman"/>
          <w:szCs w:val="24"/>
          <w:lang w:val="en-US"/>
        </w:rPr>
        <w:t xml:space="preserve">, Irbid and </w:t>
      </w:r>
      <w:proofErr w:type="spellStart"/>
      <w:r w:rsidR="00462ECA">
        <w:rPr>
          <w:rFonts w:cs="Times New Roman"/>
          <w:szCs w:val="24"/>
          <w:lang w:val="en-US"/>
        </w:rPr>
        <w:t>Mafraq</w:t>
      </w:r>
      <w:proofErr w:type="spellEnd"/>
      <w:r w:rsidR="00462ECA">
        <w:rPr>
          <w:rFonts w:cs="Times New Roman"/>
          <w:szCs w:val="24"/>
          <w:lang w:val="en-US"/>
        </w:rPr>
        <w:t>. These four governorates host 79</w:t>
      </w:r>
      <w:r w:rsidR="006C5E63">
        <w:rPr>
          <w:rFonts w:cs="Times New Roman"/>
          <w:szCs w:val="24"/>
          <w:lang w:val="en-US"/>
        </w:rPr>
        <w:t xml:space="preserve"> per cent</w:t>
      </w:r>
      <w:r w:rsidR="00462ECA">
        <w:rPr>
          <w:rFonts w:cs="Times New Roman"/>
          <w:szCs w:val="24"/>
          <w:lang w:val="en-US"/>
        </w:rPr>
        <w:t xml:space="preserve"> of registered Syrian refugees living outside camps </w:t>
      </w:r>
      <w:r w:rsidR="00462ECA">
        <w:rPr>
          <w:rFonts w:cs="Times New Roman"/>
          <w:szCs w:val="24"/>
          <w:lang w:val="en-US"/>
        </w:rPr>
        <w:fldChar w:fldCharType="begin"/>
      </w:r>
      <w:r w:rsidR="00D42879">
        <w:rPr>
          <w:rFonts w:cs="Times New Roman"/>
          <w:szCs w:val="24"/>
          <w:lang w:val="en-US"/>
        </w:rPr>
        <w:instrText xml:space="preserve"> ADDIN EN.CITE &lt;EndNote&gt;&lt;Cite&gt;&lt;Author&gt;UNHCR&lt;/Author&gt;&lt;Year&gt;2017&lt;/Year&gt;&lt;RecNum&gt;734&lt;/RecNum&gt;&lt;DisplayText&gt;(UNHCR, 2017)&lt;/DisplayText&gt;&lt;record&gt;&lt;rec-number&gt;734&lt;/rec-number&gt;&lt;foreign-keys&gt;&lt;key app="EN" db-id="a52r52vwspdfrqepfx7pwz0uzaverz5setxs"&gt;734&lt;/key&gt;&lt;/foreign-keys&gt;&lt;ref-type name="Report"&gt;27&lt;/ref-type&gt;&lt;contributors&gt;&lt;authors&gt;&lt;author&gt;UNHCR,&lt;/author&gt;&lt;/authors&gt;&lt;/contributors&gt;&lt;titles&gt;&lt;title&gt;Statistical Report on Registered Syrians Currently Residing in Jordan&lt;/title&gt;&lt;/titles&gt;&lt;dates&gt;&lt;year&gt;2017&lt;/year&gt;&lt;/dates&gt;&lt;pub-location&gt;Amman, Jordan&lt;/pub-location&gt;&lt;urls&gt;&lt;/urls&gt;&lt;/record&gt;&lt;/Cite&gt;&lt;/EndNote&gt;</w:instrText>
      </w:r>
      <w:r w:rsidR="00462ECA">
        <w:rPr>
          <w:rFonts w:cs="Times New Roman"/>
          <w:szCs w:val="24"/>
          <w:lang w:val="en-US"/>
        </w:rPr>
        <w:fldChar w:fldCharType="separate"/>
      </w:r>
      <w:r w:rsidR="00D42879">
        <w:rPr>
          <w:rFonts w:cs="Times New Roman"/>
          <w:noProof/>
          <w:szCs w:val="24"/>
          <w:lang w:val="en-US"/>
        </w:rPr>
        <w:t>(</w:t>
      </w:r>
      <w:hyperlink w:anchor="_ENREF_13" w:tooltip="UNHCR, 2017 #734" w:history="1">
        <w:r w:rsidR="004C58C3">
          <w:rPr>
            <w:rFonts w:cs="Times New Roman"/>
            <w:noProof/>
            <w:szCs w:val="24"/>
            <w:lang w:val="en-US"/>
          </w:rPr>
          <w:t>UNHCR, 2017</w:t>
        </w:r>
      </w:hyperlink>
      <w:r w:rsidR="00D42879">
        <w:rPr>
          <w:rFonts w:cs="Times New Roman"/>
          <w:noProof/>
          <w:szCs w:val="24"/>
          <w:lang w:val="en-US"/>
        </w:rPr>
        <w:t>)</w:t>
      </w:r>
      <w:r w:rsidR="00462ECA">
        <w:rPr>
          <w:rFonts w:cs="Times New Roman"/>
          <w:szCs w:val="24"/>
          <w:lang w:val="en-US"/>
        </w:rPr>
        <w:fldChar w:fldCharType="end"/>
      </w:r>
      <w:r w:rsidR="003450A6">
        <w:rPr>
          <w:rFonts w:cs="Times New Roman"/>
          <w:szCs w:val="24"/>
          <w:lang w:val="en-US"/>
        </w:rPr>
        <w:t>.</w:t>
      </w:r>
    </w:p>
    <w:p w14:paraId="0E5EFC1B" w14:textId="77777777" w:rsidR="00FD74A9" w:rsidRDefault="00FD74A9" w:rsidP="00735C38">
      <w:pPr>
        <w:spacing w:after="0" w:line="276" w:lineRule="auto"/>
        <w:ind w:firstLine="720"/>
        <w:rPr>
          <w:rFonts w:cs="Times New Roman"/>
          <w:szCs w:val="24"/>
          <w:lang w:val="en-US"/>
        </w:rPr>
      </w:pPr>
    </w:p>
    <w:p w14:paraId="3D87EB4A" w14:textId="77777777" w:rsidR="00940B61" w:rsidRDefault="00940B61" w:rsidP="009118F6">
      <w:pPr>
        <w:spacing w:after="0" w:line="276" w:lineRule="auto"/>
        <w:rPr>
          <w:rFonts w:cs="Times New Roman"/>
          <w:szCs w:val="24"/>
          <w:lang w:val="en-US"/>
        </w:rPr>
      </w:pPr>
    </w:p>
    <w:p w14:paraId="77A38199" w14:textId="45AB77D9" w:rsidR="00940B61" w:rsidRDefault="00940B61" w:rsidP="00190D36">
      <w:pPr>
        <w:pStyle w:val="Heading3"/>
      </w:pPr>
      <w:bookmarkStart w:id="12" w:name="_Toc483361450"/>
      <w:r w:rsidRPr="008B5BBD">
        <w:lastRenderedPageBreak/>
        <w:t xml:space="preserve">2.1.1. </w:t>
      </w:r>
      <w:r>
        <w:t>Amman Governorate</w:t>
      </w:r>
      <w:bookmarkEnd w:id="12"/>
    </w:p>
    <w:p w14:paraId="4BBCE1B2" w14:textId="5EC406D2" w:rsidR="00DA32F2" w:rsidRDefault="000D7D59" w:rsidP="00DA32F2">
      <w:pPr>
        <w:spacing w:after="0" w:line="276" w:lineRule="auto"/>
        <w:rPr>
          <w:rFonts w:cs="Times New Roman"/>
          <w:szCs w:val="24"/>
          <w:lang w:val="en-US"/>
        </w:rPr>
      </w:pPr>
      <w:r>
        <w:rPr>
          <w:rFonts w:cs="Times New Roman"/>
          <w:szCs w:val="24"/>
          <w:lang w:val="en-US"/>
        </w:rPr>
        <w:t xml:space="preserve">Amman is the most urbanized governorate of Jordan. Urbanized areas cover up to </w:t>
      </w:r>
      <w:proofErr w:type="gramStart"/>
      <w:r>
        <w:rPr>
          <w:rFonts w:cs="Times New Roman"/>
          <w:szCs w:val="24"/>
          <w:lang w:val="en-US"/>
        </w:rPr>
        <w:t xml:space="preserve">94 </w:t>
      </w:r>
      <w:r w:rsidR="006C5E63">
        <w:rPr>
          <w:rFonts w:cs="Times New Roman"/>
          <w:szCs w:val="24"/>
          <w:lang w:val="en-US"/>
        </w:rPr>
        <w:t xml:space="preserve"> per</w:t>
      </w:r>
      <w:proofErr w:type="gramEnd"/>
      <w:r w:rsidR="006C5E63">
        <w:rPr>
          <w:rFonts w:cs="Times New Roman"/>
          <w:szCs w:val="24"/>
          <w:lang w:val="en-US"/>
        </w:rPr>
        <w:t xml:space="preserve"> cent</w:t>
      </w:r>
      <w:r>
        <w:rPr>
          <w:rFonts w:cs="Times New Roman"/>
          <w:szCs w:val="24"/>
          <w:lang w:val="en-US"/>
        </w:rPr>
        <w:t xml:space="preserve"> of the governorate.</w:t>
      </w:r>
      <w:r>
        <w:rPr>
          <w:lang w:val="en-US"/>
        </w:rPr>
        <w:t xml:space="preserve"> </w:t>
      </w:r>
      <w:r w:rsidR="006B52E9">
        <w:rPr>
          <w:lang w:val="en-US"/>
        </w:rPr>
        <w:t xml:space="preserve">Amman </w:t>
      </w:r>
      <w:r>
        <w:rPr>
          <w:lang w:val="en-US"/>
        </w:rPr>
        <w:t>governorate</w:t>
      </w:r>
      <w:r w:rsidR="0094725C">
        <w:rPr>
          <w:lang w:val="en-US"/>
        </w:rPr>
        <w:t xml:space="preserve"> (Fig.1)</w:t>
      </w:r>
      <w:r>
        <w:rPr>
          <w:lang w:val="en-US"/>
        </w:rPr>
        <w:t xml:space="preserve"> </w:t>
      </w:r>
      <w:r w:rsidR="006B52E9">
        <w:rPr>
          <w:lang w:val="en-US"/>
        </w:rPr>
        <w:t xml:space="preserve">is </w:t>
      </w:r>
      <w:r>
        <w:rPr>
          <w:lang w:val="en-US"/>
        </w:rPr>
        <w:t xml:space="preserve">also </w:t>
      </w:r>
      <w:r w:rsidR="006B52E9">
        <w:rPr>
          <w:lang w:val="en-US"/>
        </w:rPr>
        <w:t>the most populated</w:t>
      </w:r>
      <w:r w:rsidR="00390046">
        <w:rPr>
          <w:lang w:val="en-US"/>
        </w:rPr>
        <w:t xml:space="preserve"> </w:t>
      </w:r>
      <w:r>
        <w:rPr>
          <w:lang w:val="en-US"/>
        </w:rPr>
        <w:t>of the Hashemite’s kingdom</w:t>
      </w:r>
      <w:r w:rsidR="00E7537E">
        <w:rPr>
          <w:lang w:val="en-US"/>
        </w:rPr>
        <w:t>. Indeed, up to 42.0</w:t>
      </w:r>
      <w:r w:rsidR="006C5E63">
        <w:rPr>
          <w:lang w:val="en-US"/>
        </w:rPr>
        <w:t xml:space="preserve"> per cent</w:t>
      </w:r>
      <w:r w:rsidR="00E7537E">
        <w:rPr>
          <w:lang w:val="en-US"/>
        </w:rPr>
        <w:t xml:space="preserve"> of the </w:t>
      </w:r>
      <w:r>
        <w:rPr>
          <w:lang w:val="en-US"/>
        </w:rPr>
        <w:t>kingdom</w:t>
      </w:r>
      <w:r w:rsidR="00E7537E">
        <w:rPr>
          <w:lang w:val="en-US"/>
        </w:rPr>
        <w:t xml:space="preserve"> population is found in this governorate. With</w:t>
      </w:r>
      <w:r w:rsidR="00390046">
        <w:rPr>
          <w:lang w:val="en-US"/>
        </w:rPr>
        <w:t xml:space="preserve"> </w:t>
      </w:r>
      <w:r w:rsidR="00390046">
        <w:t xml:space="preserve">4,019,100 inhabitants in 2015 </w:t>
      </w:r>
      <w:r w:rsidR="00E7537E">
        <w:t xml:space="preserve">the population density is second highest and was estimated to be </w:t>
      </w:r>
      <w:r w:rsidR="00390046">
        <w:t>530.3 inhabitant/km</w:t>
      </w:r>
      <w:r w:rsidR="00390046" w:rsidRPr="00390046">
        <w:rPr>
          <w:vertAlign w:val="superscript"/>
        </w:rPr>
        <w:t>2</w:t>
      </w:r>
      <w:r w:rsidR="00390046">
        <w:t xml:space="preserve"> </w:t>
      </w:r>
      <w:r w:rsidR="00390046">
        <w:fldChar w:fldCharType="begin"/>
      </w:r>
      <w:r w:rsidR="00390046">
        <w:instrText xml:space="preserve"> ADDIN EN.CITE &lt;EndNote&gt;&lt;Cite&gt;&lt;Author&gt;Statistics&lt;/Author&gt;&lt;Year&gt;2015&lt;/Year&gt;&lt;RecNum&gt;735&lt;/RecNum&gt;&lt;DisplayText&gt;(Department of Statistics, 2015)&lt;/DisplayText&gt;&lt;record&gt;&lt;rec-number&gt;735&lt;/rec-number&gt;&lt;foreign-keys&gt;&lt;key app="EN" db-id="a52r52vwspdfrqepfx7pwz0uzaverz5setxs"&gt;735&lt;/key&gt;&lt;/foreign-keys&gt;&lt;ref-type name="Report"&gt;27&lt;/ref-type&gt;&lt;contributors&gt;&lt;authors&gt;&lt;author&gt;Department of Statistics,&lt;/author&gt;&lt;/authors&gt;&lt;/contributors&gt;&lt;titles&gt;&lt;title&gt;Year book 2015&lt;/title&gt;&lt;/titles&gt;&lt;dates&gt;&lt;year&gt;2015&lt;/year&gt;&lt;/dates&gt;&lt;pub-location&gt;Amman, Jordan&lt;/pub-location&gt;&lt;publisher&gt;Department of Statisitics&lt;/publisher&gt;&lt;urls&gt;&lt;/urls&gt;&lt;/record&gt;&lt;/Cite&gt;&lt;/EndNote&gt;</w:instrText>
      </w:r>
      <w:r w:rsidR="00390046">
        <w:fldChar w:fldCharType="separate"/>
      </w:r>
      <w:r w:rsidR="00390046">
        <w:rPr>
          <w:noProof/>
        </w:rPr>
        <w:t>(</w:t>
      </w:r>
      <w:hyperlink w:anchor="_ENREF_1" w:tooltip="Department of Statistics, 2015 #735" w:history="1">
        <w:r w:rsidR="004C58C3">
          <w:rPr>
            <w:noProof/>
          </w:rPr>
          <w:t>Department of Statistics, 2015</w:t>
        </w:r>
      </w:hyperlink>
      <w:r w:rsidR="00390046">
        <w:rPr>
          <w:noProof/>
        </w:rPr>
        <w:t>)</w:t>
      </w:r>
      <w:r w:rsidR="00390046">
        <w:fldChar w:fldCharType="end"/>
      </w:r>
      <w:r w:rsidR="006B52E9">
        <w:rPr>
          <w:lang w:val="en-US"/>
        </w:rPr>
        <w:t xml:space="preserve">. </w:t>
      </w:r>
      <w:r w:rsidR="00E7537E">
        <w:rPr>
          <w:lang w:val="en-US"/>
        </w:rPr>
        <w:t>The p</w:t>
      </w:r>
      <w:r w:rsidR="00DA32F2" w:rsidRPr="00DA32F2">
        <w:rPr>
          <w:lang w:val="en-US"/>
        </w:rPr>
        <w:t xml:space="preserve">overty  incidence </w:t>
      </w:r>
      <w:r w:rsidR="00E7537E">
        <w:rPr>
          <w:lang w:val="en-US"/>
        </w:rPr>
        <w:t>is the lowest of the country and is was estimated to be 9</w:t>
      </w:r>
      <w:r w:rsidR="006C5E63">
        <w:rPr>
          <w:lang w:val="en-US"/>
        </w:rPr>
        <w:t xml:space="preserve"> per cent</w:t>
      </w:r>
      <w:r w:rsidR="00E7537E">
        <w:rPr>
          <w:lang w:val="en-US"/>
        </w:rPr>
        <w:t xml:space="preserve"> by FAO </w:t>
      </w:r>
      <w:r w:rsidR="00E7537E">
        <w:rPr>
          <w:lang w:val="en-US"/>
        </w:rPr>
        <w:fldChar w:fldCharType="begin"/>
      </w:r>
      <w:r w:rsidR="004C58C3">
        <w:rPr>
          <w:lang w:val="en-US"/>
        </w:rPr>
        <w:instrText xml:space="preserve"> ADDIN EN.CITE &lt;EndNote&gt;&lt;Cite ExcludeAuth="1"&gt;&lt;Author&gt;FAO&lt;/Author&gt;&lt;Year&gt;2014&lt;/Year&gt;&lt;RecNum&gt;733&lt;/RecNum&gt;&lt;DisplayText&gt;(2014, Department of Statistics and World Food Program, 2016)&lt;/DisplayText&gt;&lt;record&gt;&lt;rec-number&gt;733&lt;/rec-number&gt;&lt;foreign-keys&gt;&lt;key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Jordan&lt;/publisher&gt;&lt;urls&gt;&lt;/urls&gt;&lt;/record&gt;&lt;/Cite&gt;&lt;Cite&gt;&lt;Author&gt;Department of Statistics and World Food Program&lt;/Author&gt;&lt;Year&gt;2016&lt;/Year&gt;&lt;RecNum&gt;736&lt;/RecNum&gt;&lt;record&gt;&lt;rec-number&gt;736&lt;/rec-number&gt;&lt;foreign-keys&gt;&lt;key app="EN" db-id="a52r52vwspdfrqepfx7pwz0uzaverz5setxs"&gt;736&lt;/key&gt;&lt;/foreign-keys&gt;&lt;ref-type name="Report"&gt;27&lt;/ref-type&gt;&lt;contributors&gt;&lt;authors&gt;&lt;author&gt;Department of Statistics and World Food Program,&lt;/author&gt;&lt;/authors&gt;&lt;/contributors&gt;&lt;titles&gt;&lt;title&gt;The State of Food Security in Jordan (2013–2014). Analytical Report.&lt;/title&gt;&lt;/titles&gt;&lt;pages&gt;41&lt;/pages&gt;&lt;dates&gt;&lt;year&gt;2016&lt;/year&gt;&lt;/dates&gt;&lt;pub-location&gt;Amman, Jordan&lt;/pub-location&gt;&lt;publisher&gt;Department of Statistics&lt;/publisher&gt;&lt;urls&gt;&lt;/urls&gt;&lt;/record&gt;&lt;/Cite&gt;&lt;/EndNote&gt;</w:instrText>
      </w:r>
      <w:r w:rsidR="00E7537E">
        <w:rPr>
          <w:lang w:val="en-US"/>
        </w:rPr>
        <w:fldChar w:fldCharType="separate"/>
      </w:r>
      <w:r w:rsidR="004C58C3">
        <w:rPr>
          <w:noProof/>
          <w:lang w:val="en-US"/>
        </w:rPr>
        <w:t>(</w:t>
      </w:r>
      <w:hyperlink w:anchor="_ENREF_7" w:tooltip="FAO, 2014 #733" w:history="1">
        <w:r w:rsidR="004C58C3">
          <w:rPr>
            <w:noProof/>
            <w:lang w:val="en-US"/>
          </w:rPr>
          <w:t>2014</w:t>
        </w:r>
      </w:hyperlink>
      <w:r w:rsidR="004C58C3">
        <w:rPr>
          <w:noProof/>
          <w:lang w:val="en-US"/>
        </w:rPr>
        <w:t xml:space="preserve">, </w:t>
      </w:r>
      <w:hyperlink w:anchor="_ENREF_2" w:tooltip="Department of Statistics and World Food Program, 2016 #736" w:history="1">
        <w:r w:rsidR="004C58C3">
          <w:rPr>
            <w:noProof/>
            <w:lang w:val="en-US"/>
          </w:rPr>
          <w:t>Department of Statistics and World Food Program, 2016</w:t>
        </w:r>
      </w:hyperlink>
      <w:r w:rsidR="004C58C3">
        <w:rPr>
          <w:noProof/>
          <w:lang w:val="en-US"/>
        </w:rPr>
        <w:t>)</w:t>
      </w:r>
      <w:r w:rsidR="00E7537E">
        <w:rPr>
          <w:lang w:val="en-US"/>
        </w:rPr>
        <w:fldChar w:fldCharType="end"/>
      </w:r>
      <w:r w:rsidR="00DA32F2">
        <w:rPr>
          <w:rFonts w:cs="Times New Roman"/>
          <w:szCs w:val="24"/>
          <w:lang w:val="en-US"/>
        </w:rPr>
        <w:t xml:space="preserve">. </w:t>
      </w:r>
      <w:r w:rsidR="00E7537E">
        <w:rPr>
          <w:rFonts w:cs="Times New Roman"/>
          <w:szCs w:val="24"/>
          <w:lang w:val="en-US"/>
        </w:rPr>
        <w:t xml:space="preserve">The governorate </w:t>
      </w:r>
      <w:r>
        <w:rPr>
          <w:rFonts w:cs="Times New Roman"/>
          <w:szCs w:val="24"/>
          <w:lang w:val="en-US"/>
        </w:rPr>
        <w:t xml:space="preserve">is hosting the most important </w:t>
      </w:r>
      <w:r w:rsidR="0094725C">
        <w:rPr>
          <w:rFonts w:cs="Times New Roman"/>
          <w:szCs w:val="24"/>
          <w:lang w:val="en-US"/>
        </w:rPr>
        <w:t>community</w:t>
      </w:r>
      <w:r>
        <w:rPr>
          <w:rFonts w:cs="Times New Roman"/>
          <w:szCs w:val="24"/>
          <w:lang w:val="en-US"/>
        </w:rPr>
        <w:t xml:space="preserve"> of Syrian refugees. </w:t>
      </w:r>
      <w:r w:rsidR="0094725C">
        <w:rPr>
          <w:rFonts w:cs="Times New Roman"/>
          <w:szCs w:val="24"/>
          <w:lang w:val="en-US"/>
        </w:rPr>
        <w:t>A population of 7,462 Syrian refugees, meaning 1.1</w:t>
      </w:r>
      <w:r w:rsidR="006C5E63">
        <w:rPr>
          <w:rFonts w:cs="Times New Roman"/>
          <w:szCs w:val="24"/>
          <w:lang w:val="en-US"/>
        </w:rPr>
        <w:t xml:space="preserve"> per cent</w:t>
      </w:r>
      <w:r w:rsidR="0094725C">
        <w:rPr>
          <w:rFonts w:cs="Times New Roman"/>
          <w:szCs w:val="24"/>
          <w:lang w:val="en-US"/>
        </w:rPr>
        <w:t xml:space="preserve"> of the total registered refugees in Jordan leaves </w:t>
      </w:r>
      <w:r>
        <w:rPr>
          <w:rFonts w:cs="Times New Roman"/>
          <w:szCs w:val="24"/>
          <w:lang w:val="en-US"/>
        </w:rPr>
        <w:t xml:space="preserve">in </w:t>
      </w:r>
      <w:r w:rsidR="0094725C">
        <w:rPr>
          <w:rFonts w:cs="Times New Roman"/>
          <w:szCs w:val="24"/>
          <w:lang w:val="en-US"/>
        </w:rPr>
        <w:t xml:space="preserve">the </w:t>
      </w:r>
      <w:r>
        <w:rPr>
          <w:rFonts w:cs="Times New Roman"/>
          <w:szCs w:val="24"/>
          <w:lang w:val="en-US"/>
        </w:rPr>
        <w:t>Emirati Jordanian refugee camp. At the time up to 27</w:t>
      </w:r>
      <w:r w:rsidR="006C5E63">
        <w:rPr>
          <w:rFonts w:cs="Times New Roman"/>
          <w:szCs w:val="24"/>
          <w:lang w:val="en-US"/>
        </w:rPr>
        <w:t xml:space="preserve"> per cent</w:t>
      </w:r>
      <w:r>
        <w:rPr>
          <w:rFonts w:cs="Times New Roman"/>
          <w:szCs w:val="24"/>
          <w:lang w:val="en-US"/>
        </w:rPr>
        <w:t xml:space="preserve"> of the refugees </w:t>
      </w:r>
      <w:r w:rsidR="0094725C">
        <w:rPr>
          <w:rFonts w:cs="Times New Roman"/>
          <w:szCs w:val="24"/>
          <w:lang w:val="en-US"/>
        </w:rPr>
        <w:t xml:space="preserve">(180 774 Syrians) </w:t>
      </w:r>
      <w:r>
        <w:rPr>
          <w:rFonts w:cs="Times New Roman"/>
          <w:szCs w:val="24"/>
          <w:lang w:val="en-US"/>
        </w:rPr>
        <w:t>live outside camp</w:t>
      </w:r>
      <w:r w:rsidR="0094725C">
        <w:rPr>
          <w:rFonts w:cs="Times New Roman"/>
          <w:szCs w:val="24"/>
          <w:lang w:val="en-US"/>
        </w:rPr>
        <w:t xml:space="preserve"> </w:t>
      </w:r>
      <w:r>
        <w:rPr>
          <w:rFonts w:cs="Times New Roman"/>
          <w:szCs w:val="24"/>
          <w:lang w:val="en-US"/>
        </w:rPr>
        <w:fldChar w:fldCharType="begin"/>
      </w:r>
      <w:r w:rsidR="00D42879">
        <w:rPr>
          <w:rFonts w:cs="Times New Roman"/>
          <w:szCs w:val="24"/>
          <w:lang w:val="en-US"/>
        </w:rPr>
        <w:instrText xml:space="preserve"> ADDIN EN.CITE &lt;EndNote&gt;&lt;Cite&gt;&lt;Author&gt;UNHCR&lt;/Author&gt;&lt;Year&gt;2017&lt;/Year&gt;&lt;RecNum&gt;734&lt;/RecNum&gt;&lt;DisplayText&gt;(UNHCR, 2017)&lt;/DisplayText&gt;&lt;record&gt;&lt;rec-number&gt;734&lt;/rec-number&gt;&lt;foreign-keys&gt;&lt;key app="EN" db-id="a52r52vwspdfrqepfx7pwz0uzaverz5setxs"&gt;734&lt;/key&gt;&lt;/foreign-keys&gt;&lt;ref-type name="Report"&gt;27&lt;/ref-type&gt;&lt;contributors&gt;&lt;authors&gt;&lt;author&gt;UNHCR,&lt;/author&gt;&lt;/authors&gt;&lt;/contributors&gt;&lt;titles&gt;&lt;title&gt;Statistical Report on Registered Syrians Currently Residing in Jordan&lt;/title&gt;&lt;/titles&gt;&lt;dates&gt;&lt;year&gt;2017&lt;/year&gt;&lt;/dates&gt;&lt;pub-location&gt;Amman, Jordan&lt;/pub-location&gt;&lt;urls&gt;&lt;/urls&gt;&lt;/record&gt;&lt;/Cite&gt;&lt;/EndNote&gt;</w:instrText>
      </w:r>
      <w:r>
        <w:rPr>
          <w:rFonts w:cs="Times New Roman"/>
          <w:szCs w:val="24"/>
          <w:lang w:val="en-US"/>
        </w:rPr>
        <w:fldChar w:fldCharType="separate"/>
      </w:r>
      <w:r w:rsidR="00D42879">
        <w:rPr>
          <w:rFonts w:cs="Times New Roman"/>
          <w:noProof/>
          <w:szCs w:val="24"/>
          <w:lang w:val="en-US"/>
        </w:rPr>
        <w:t>(</w:t>
      </w:r>
      <w:hyperlink w:anchor="_ENREF_13" w:tooltip="UNHCR, 2017 #734" w:history="1">
        <w:r w:rsidR="004C58C3">
          <w:rPr>
            <w:rFonts w:cs="Times New Roman"/>
            <w:noProof/>
            <w:szCs w:val="24"/>
            <w:lang w:val="en-US"/>
          </w:rPr>
          <w:t>UNHCR, 2017</w:t>
        </w:r>
      </w:hyperlink>
      <w:r w:rsidR="00D42879">
        <w:rPr>
          <w:rFonts w:cs="Times New Roman"/>
          <w:noProof/>
          <w:szCs w:val="24"/>
          <w:lang w:val="en-US"/>
        </w:rPr>
        <w:t>)</w:t>
      </w:r>
      <w:r>
        <w:rPr>
          <w:rFonts w:cs="Times New Roman"/>
          <w:szCs w:val="24"/>
          <w:lang w:val="en-US"/>
        </w:rPr>
        <w:fldChar w:fldCharType="end"/>
      </w:r>
      <w:r w:rsidR="0012606A">
        <w:rPr>
          <w:rFonts w:cs="Times New Roman"/>
          <w:szCs w:val="24"/>
          <w:lang w:val="en-US"/>
        </w:rPr>
        <w:t>.</w:t>
      </w:r>
      <w:r>
        <w:rPr>
          <w:rFonts w:cs="Times New Roman"/>
          <w:szCs w:val="24"/>
          <w:lang w:val="en-US"/>
        </w:rPr>
        <w:t xml:space="preserve"> </w:t>
      </w:r>
      <w:r w:rsidR="0094725C">
        <w:rPr>
          <w:rFonts w:cs="Times New Roman"/>
          <w:szCs w:val="24"/>
          <w:lang w:val="en-US"/>
        </w:rPr>
        <w:t xml:space="preserve">Agricultural and livestock production are practiced in Amman outskirts, the rural area of the governorate. </w:t>
      </w:r>
      <w:r w:rsidR="00FE4B23">
        <w:rPr>
          <w:rFonts w:cs="Times New Roman"/>
          <w:szCs w:val="24"/>
          <w:lang w:val="en-US"/>
        </w:rPr>
        <w:t>Livestock production represents 18</w:t>
      </w:r>
      <w:r w:rsidR="006C5E63">
        <w:rPr>
          <w:rFonts w:cs="Times New Roman"/>
          <w:szCs w:val="24"/>
          <w:lang w:val="en-US"/>
        </w:rPr>
        <w:t xml:space="preserve"> per cent</w:t>
      </w:r>
      <w:r w:rsidR="00FE4B23">
        <w:rPr>
          <w:rFonts w:cs="Times New Roman"/>
          <w:szCs w:val="24"/>
          <w:lang w:val="en-US"/>
        </w:rPr>
        <w:t xml:space="preserve"> of the national production and is dominated by Sheep production (</w:t>
      </w:r>
      <w:proofErr w:type="spellStart"/>
      <w:r w:rsidR="00FE4B23">
        <w:rPr>
          <w:rFonts w:cs="Times New Roman"/>
          <w:szCs w:val="24"/>
          <w:lang w:val="en-US"/>
        </w:rPr>
        <w:t>DoS</w:t>
      </w:r>
      <w:proofErr w:type="spellEnd"/>
      <w:r w:rsidR="00FE4B23">
        <w:rPr>
          <w:rFonts w:cs="Times New Roman"/>
          <w:szCs w:val="24"/>
          <w:lang w:val="en-US"/>
        </w:rPr>
        <w:t xml:space="preserve">, 2017). </w:t>
      </w:r>
      <w:r w:rsidR="0094725C">
        <w:rPr>
          <w:rFonts w:cs="Times New Roman"/>
          <w:szCs w:val="24"/>
          <w:lang w:val="en-US"/>
        </w:rPr>
        <w:t xml:space="preserve">This </w:t>
      </w:r>
      <w:r w:rsidR="006C5E63">
        <w:rPr>
          <w:rFonts w:cs="Times New Roman"/>
          <w:szCs w:val="24"/>
          <w:lang w:val="en-US"/>
        </w:rPr>
        <w:t xml:space="preserve">Amman Outskirts </w:t>
      </w:r>
      <w:r w:rsidR="0094725C">
        <w:rPr>
          <w:rFonts w:cs="Times New Roman"/>
          <w:szCs w:val="24"/>
          <w:lang w:val="en-US"/>
        </w:rPr>
        <w:t xml:space="preserve">faces the </w:t>
      </w:r>
      <w:r w:rsidR="009D109C" w:rsidRPr="009D109C">
        <w:rPr>
          <w:rFonts w:cs="Times New Roman"/>
          <w:szCs w:val="24"/>
          <w:lang w:val="en-US"/>
        </w:rPr>
        <w:t xml:space="preserve">highest rate of food insecurity </w:t>
      </w:r>
      <w:r w:rsidR="009D109C">
        <w:rPr>
          <w:rFonts w:cs="Times New Roman"/>
          <w:szCs w:val="24"/>
          <w:lang w:val="en-US"/>
        </w:rPr>
        <w:fldChar w:fldCharType="begin"/>
      </w:r>
      <w:r w:rsidR="009D109C">
        <w:rPr>
          <w:rFonts w:cs="Times New Roman"/>
          <w:szCs w:val="24"/>
          <w:lang w:val="en-US"/>
        </w:rPr>
        <w:instrText xml:space="preserve"> ADDIN EN.CITE &lt;EndNote&gt;&lt;Cite&gt;&lt;Author&gt;FAO&lt;/Author&gt;&lt;Year&gt;2014&lt;/Year&gt;&lt;RecNum&gt;733&lt;/RecNum&gt;&lt;DisplayText&gt;(FAO, 2014)&lt;/DisplayText&gt;&lt;record&gt;&lt;rec-number&gt;733&lt;/rec-number&gt;&lt;foreign-keys&gt;&lt;key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Jordan&lt;/publisher&gt;&lt;urls&gt;&lt;/urls&gt;&lt;/record&gt;&lt;/Cite&gt;&lt;/EndNote&gt;</w:instrText>
      </w:r>
      <w:r w:rsidR="009D109C">
        <w:rPr>
          <w:rFonts w:cs="Times New Roman"/>
          <w:szCs w:val="24"/>
          <w:lang w:val="en-US"/>
        </w:rPr>
        <w:fldChar w:fldCharType="separate"/>
      </w:r>
      <w:r w:rsidR="009D109C">
        <w:rPr>
          <w:rFonts w:cs="Times New Roman"/>
          <w:noProof/>
          <w:szCs w:val="24"/>
          <w:lang w:val="en-US"/>
        </w:rPr>
        <w:t>(</w:t>
      </w:r>
      <w:hyperlink w:anchor="_ENREF_7" w:tooltip="FAO, 2014 #733" w:history="1">
        <w:r w:rsidR="004C58C3">
          <w:rPr>
            <w:rFonts w:cs="Times New Roman"/>
            <w:noProof/>
            <w:szCs w:val="24"/>
            <w:lang w:val="en-US"/>
          </w:rPr>
          <w:t>FAO, 2014</w:t>
        </w:r>
      </w:hyperlink>
      <w:r w:rsidR="009D109C">
        <w:rPr>
          <w:rFonts w:cs="Times New Roman"/>
          <w:noProof/>
          <w:szCs w:val="24"/>
          <w:lang w:val="en-US"/>
        </w:rPr>
        <w:t>)</w:t>
      </w:r>
      <w:r w:rsidR="009D109C">
        <w:rPr>
          <w:rFonts w:cs="Times New Roman"/>
          <w:szCs w:val="24"/>
          <w:lang w:val="en-US"/>
        </w:rPr>
        <w:fldChar w:fldCharType="end"/>
      </w:r>
      <w:r w:rsidR="0094725C">
        <w:rPr>
          <w:rFonts w:cs="Times New Roman"/>
          <w:szCs w:val="24"/>
          <w:lang w:val="en-US"/>
        </w:rPr>
        <w:t>.</w:t>
      </w:r>
    </w:p>
    <w:p w14:paraId="4515F508" w14:textId="77777777" w:rsidR="00DA32F2" w:rsidRDefault="00DA32F2" w:rsidP="00DA32F2">
      <w:pPr>
        <w:spacing w:after="0" w:line="276" w:lineRule="auto"/>
        <w:rPr>
          <w:rFonts w:cs="Times New Roman"/>
          <w:szCs w:val="24"/>
          <w:lang w:val="en-US"/>
        </w:rPr>
        <w:sectPr w:rsidR="00DA32F2" w:rsidSect="008716C9">
          <w:headerReference w:type="default" r:id="rId12"/>
          <w:footerReference w:type="default" r:id="rId13"/>
          <w:pgSz w:w="12240" w:h="15840"/>
          <w:pgMar w:top="1703" w:right="1440" w:bottom="1440" w:left="1440" w:header="720" w:footer="720" w:gutter="0"/>
          <w:cols w:space="720"/>
          <w:docGrid w:linePitch="360"/>
        </w:sectPr>
      </w:pPr>
    </w:p>
    <w:p w14:paraId="2FFB80B4" w14:textId="063CAB08" w:rsidR="009118F6" w:rsidRDefault="000C03A1" w:rsidP="00373D53">
      <w:pPr>
        <w:pStyle w:val="Caption"/>
        <w:spacing w:after="0"/>
        <w:jc w:val="center"/>
      </w:pPr>
      <w:r>
        <w:rPr>
          <w:noProof/>
          <w:lang w:eastAsia="en-GB"/>
        </w:rPr>
        <w:lastRenderedPageBreak/>
        <w:drawing>
          <wp:inline distT="0" distB="0" distL="0" distR="0" wp14:anchorId="32DEA82F" wp14:editId="194F9804">
            <wp:extent cx="6657975" cy="4676775"/>
            <wp:effectExtent l="0" t="0" r="9525" b="952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0409" cy="4678485"/>
                    </a:xfrm>
                    <a:prstGeom prst="rect">
                      <a:avLst/>
                    </a:prstGeom>
                    <a:noFill/>
                  </pic:spPr>
                </pic:pic>
              </a:graphicData>
            </a:graphic>
          </wp:inline>
        </w:drawing>
      </w:r>
    </w:p>
    <w:p w14:paraId="765ABDE9" w14:textId="77777777" w:rsidR="00190D36" w:rsidRDefault="00190D36" w:rsidP="00190D36">
      <w:pPr>
        <w:pStyle w:val="Caption"/>
        <w:spacing w:after="0"/>
        <w:jc w:val="left"/>
      </w:pPr>
    </w:p>
    <w:p w14:paraId="3586B445" w14:textId="67D88C77" w:rsidR="000C03A1" w:rsidRDefault="0094725C" w:rsidP="00B35C64">
      <w:pPr>
        <w:spacing w:after="120" w:line="276" w:lineRule="auto"/>
        <w:ind w:left="284" w:hanging="284"/>
        <w:jc w:val="left"/>
        <w:sectPr w:rsidR="000C03A1" w:rsidSect="00373D53">
          <w:pgSz w:w="15840" w:h="12240" w:orient="landscape"/>
          <w:pgMar w:top="1440" w:right="1703" w:bottom="1440" w:left="1440" w:header="432" w:footer="432" w:gutter="0"/>
          <w:cols w:space="720"/>
          <w:docGrid w:linePitch="360"/>
        </w:sectPr>
      </w:pPr>
      <w:bookmarkStart w:id="13" w:name="_Toc483361406"/>
      <w:proofErr w:type="gramStart"/>
      <w:r w:rsidRPr="000F6D9F">
        <w:rPr>
          <w:b/>
        </w:rPr>
        <w:t>Fig.</w:t>
      </w:r>
      <w:proofErr w:type="gramEnd"/>
      <w:r w:rsidR="002A7763" w:rsidRPr="000F6D9F">
        <w:rPr>
          <w:b/>
        </w:rPr>
        <w:t xml:space="preserve"> </w:t>
      </w:r>
      <w:r w:rsidR="002A7763" w:rsidRPr="000F6D9F">
        <w:rPr>
          <w:b/>
        </w:rPr>
        <w:fldChar w:fldCharType="begin"/>
      </w:r>
      <w:r w:rsidR="002A7763" w:rsidRPr="000F6D9F">
        <w:rPr>
          <w:b/>
        </w:rPr>
        <w:instrText xml:space="preserve"> SEQ Figure \* ARABIC </w:instrText>
      </w:r>
      <w:r w:rsidR="002A7763" w:rsidRPr="000F6D9F">
        <w:rPr>
          <w:b/>
        </w:rPr>
        <w:fldChar w:fldCharType="separate"/>
      </w:r>
      <w:r w:rsidR="002A7763" w:rsidRPr="000F6D9F">
        <w:rPr>
          <w:b/>
          <w:noProof/>
        </w:rPr>
        <w:t>1</w:t>
      </w:r>
      <w:r w:rsidR="002A7763" w:rsidRPr="000F6D9F">
        <w:rPr>
          <w:b/>
        </w:rPr>
        <w:fldChar w:fldCharType="end"/>
      </w:r>
      <w:r w:rsidRPr="000F6D9F">
        <w:rPr>
          <w:b/>
        </w:rPr>
        <w:t>.</w:t>
      </w:r>
      <w:r w:rsidR="00190D36" w:rsidRPr="000F6D9F">
        <w:rPr>
          <w:b/>
        </w:rPr>
        <w:t xml:space="preserve"> </w:t>
      </w:r>
      <w:proofErr w:type="gramStart"/>
      <w:r w:rsidR="00093A46" w:rsidRPr="000F6D9F">
        <w:rPr>
          <w:b/>
          <w:lang w:val="en-US"/>
        </w:rPr>
        <w:t xml:space="preserve">Location of the </w:t>
      </w:r>
      <w:r w:rsidR="000F6D9F" w:rsidRPr="000F6D9F">
        <w:rPr>
          <w:b/>
          <w:lang w:val="en-US"/>
        </w:rPr>
        <w:t>stud</w:t>
      </w:r>
      <w:r w:rsidR="000F6D9F">
        <w:rPr>
          <w:b/>
          <w:lang w:val="en-US"/>
        </w:rPr>
        <w:t>y</w:t>
      </w:r>
      <w:r w:rsidR="000F6D9F" w:rsidRPr="000F6D9F">
        <w:rPr>
          <w:b/>
          <w:lang w:val="en-US"/>
        </w:rPr>
        <w:t xml:space="preserve"> </w:t>
      </w:r>
      <w:r w:rsidR="000C03A1" w:rsidRPr="000F6D9F">
        <w:rPr>
          <w:b/>
          <w:lang w:val="en-US"/>
        </w:rPr>
        <w:t>sites</w:t>
      </w:r>
      <w:r w:rsidR="00190D36">
        <w:rPr>
          <w:lang w:val="en-US"/>
        </w:rPr>
        <w:t>.</w:t>
      </w:r>
      <w:proofErr w:type="gramEnd"/>
      <w:r w:rsidR="00190D36">
        <w:rPr>
          <w:lang w:val="en-US"/>
        </w:rPr>
        <w:t xml:space="preserve"> </w:t>
      </w:r>
      <w:r w:rsidR="00190D36">
        <w:t xml:space="preserve">Source: </w:t>
      </w:r>
      <w:r w:rsidR="00B35C64">
        <w:t xml:space="preserve">Construction of the authors. GIS data extracted from </w:t>
      </w:r>
      <w:hyperlink r:id="rId15" w:history="1">
        <w:r w:rsidR="00B35C64" w:rsidRPr="00333006">
          <w:rPr>
            <w:rStyle w:val="Hyperlink"/>
            <w:lang w:val="en-US"/>
          </w:rPr>
          <w:t>http://www.diva-gis.org/gdata</w:t>
        </w:r>
      </w:hyperlink>
      <w:r w:rsidR="00B35C64">
        <w:rPr>
          <w:lang w:val="en-US"/>
        </w:rPr>
        <w:t xml:space="preserve">, and </w:t>
      </w:r>
      <w:hyperlink r:id="rId16" w:history="1">
        <w:r w:rsidR="00B35C64" w:rsidRPr="00333006">
          <w:rPr>
            <w:rStyle w:val="Hyperlink"/>
            <w:lang w:val="en-US"/>
          </w:rPr>
          <w:t>http://download.geofabrik.de/asia/jordan.html</w:t>
        </w:r>
      </w:hyperlink>
      <w:r w:rsidR="00B35C64">
        <w:rPr>
          <w:lang w:val="en-US"/>
        </w:rPr>
        <w:t xml:space="preserve">, accessed on March 21, 2017. </w:t>
      </w:r>
      <w:r w:rsidR="00CD0C68">
        <w:rPr>
          <w:lang w:val="en-US"/>
        </w:rPr>
        <w:t>The r</w:t>
      </w:r>
      <w:r w:rsidR="00B35C64">
        <w:rPr>
          <w:lang w:val="en-US"/>
        </w:rPr>
        <w:t>efugee camps layer</w:t>
      </w:r>
      <w:r w:rsidR="00CD0C68">
        <w:rPr>
          <w:lang w:val="en-US"/>
        </w:rPr>
        <w:t xml:space="preserve"> was</w:t>
      </w:r>
      <w:r w:rsidR="00B35C64">
        <w:rPr>
          <w:lang w:val="en-US"/>
        </w:rPr>
        <w:t xml:space="preserve"> provided by UNHCR.</w:t>
      </w:r>
      <w:bookmarkEnd w:id="13"/>
    </w:p>
    <w:p w14:paraId="6B60532F" w14:textId="5C20A7F8" w:rsidR="008618E9" w:rsidRDefault="008618E9" w:rsidP="00190D36">
      <w:pPr>
        <w:pStyle w:val="Heading3"/>
      </w:pPr>
      <w:bookmarkStart w:id="14" w:name="_Toc483361451"/>
      <w:r w:rsidRPr="008618E9">
        <w:lastRenderedPageBreak/>
        <w:t xml:space="preserve">2.1.2. </w:t>
      </w:r>
      <w:proofErr w:type="spellStart"/>
      <w:r w:rsidRPr="008618E9">
        <w:t>Madaba</w:t>
      </w:r>
      <w:proofErr w:type="spellEnd"/>
      <w:r w:rsidR="00351111">
        <w:t xml:space="preserve"> Governorate</w:t>
      </w:r>
      <w:bookmarkEnd w:id="14"/>
    </w:p>
    <w:p w14:paraId="1CE64490" w14:textId="553CEED5" w:rsidR="00FA003F" w:rsidRPr="00A64E49" w:rsidRDefault="008D24AF" w:rsidP="00137D9E">
      <w:pPr>
        <w:spacing w:after="240" w:line="276" w:lineRule="auto"/>
        <w:rPr>
          <w:lang w:val="en-US"/>
        </w:rPr>
      </w:pPr>
      <w:r>
        <w:t xml:space="preserve">The </w:t>
      </w:r>
      <w:proofErr w:type="spellStart"/>
      <w:r>
        <w:t>Madaba</w:t>
      </w:r>
      <w:proofErr w:type="spellEnd"/>
      <w:r>
        <w:t xml:space="preserve"> Governorate has an area of 2,008 </w:t>
      </w:r>
      <w:proofErr w:type="gramStart"/>
      <w:r>
        <w:t>Km</w:t>
      </w:r>
      <w:r w:rsidRPr="008D24AF">
        <w:rPr>
          <w:vertAlign w:val="superscript"/>
        </w:rPr>
        <w:t>2</w:t>
      </w:r>
      <w:r>
        <w:t xml:space="preserve"> .</w:t>
      </w:r>
      <w:proofErr w:type="gramEnd"/>
      <w:r>
        <w:t xml:space="preserve"> It is located in the mid-southern region of Jordan. </w:t>
      </w:r>
      <w:r w:rsidR="00FA003F">
        <w:t xml:space="preserve">The population of </w:t>
      </w:r>
      <w:proofErr w:type="spellStart"/>
      <w:r w:rsidR="00FA003F">
        <w:t>Madaba</w:t>
      </w:r>
      <w:proofErr w:type="spellEnd"/>
      <w:r w:rsidR="00FA003F">
        <w:t xml:space="preserve"> governorate was estimated in 2015 to be </w:t>
      </w:r>
      <w:r w:rsidR="00A64E49">
        <w:t>189,700</w:t>
      </w:r>
      <w:r w:rsidR="00FA003F">
        <w:t xml:space="preserve"> inhabitants for a population </w:t>
      </w:r>
      <w:r w:rsidR="004A2D58">
        <w:t xml:space="preserve">density </w:t>
      </w:r>
      <w:r w:rsidR="00FA003F">
        <w:t>of</w:t>
      </w:r>
      <w:r w:rsidR="004A2D58">
        <w:t xml:space="preserve"> 201.9 inhabitant/km</w:t>
      </w:r>
      <w:r w:rsidR="004A2D58" w:rsidRPr="004A2D58">
        <w:rPr>
          <w:vertAlign w:val="superscript"/>
        </w:rPr>
        <w:t>2</w:t>
      </w:r>
      <w:r w:rsidR="004A2D58">
        <w:rPr>
          <w:vertAlign w:val="superscript"/>
        </w:rPr>
        <w:t xml:space="preserve">  </w:t>
      </w:r>
      <w:r w:rsidR="00A64E49">
        <w:fldChar w:fldCharType="begin"/>
      </w:r>
      <w:r w:rsidR="00A64E49">
        <w:instrText xml:space="preserve"> ADDIN EN.CITE &lt;EndNote&gt;&lt;Cite&gt;&lt;Author&gt;Department of Statistics&lt;/Author&gt;&lt;Year&gt;2015&lt;/Year&gt;&lt;RecNum&gt;735&lt;/RecNum&gt;&lt;DisplayText&gt;(Department of Statistics, 2015)&lt;/DisplayText&gt;&lt;record&gt;&lt;rec-number&gt;735&lt;/rec-number&gt;&lt;foreign-keys&gt;&lt;key app="EN" db-id="a52r52vwspdfrqepfx7pwz0uzaverz5setxs"&gt;735&lt;/key&gt;&lt;/foreign-keys&gt;&lt;ref-type name="Report"&gt;27&lt;/ref-type&gt;&lt;contributors&gt;&lt;authors&gt;&lt;author&gt;Department of Statistics,&lt;/author&gt;&lt;/authors&gt;&lt;/contributors&gt;&lt;titles&gt;&lt;title&gt;Year book 2015&lt;/title&gt;&lt;/titles&gt;&lt;dates&gt;&lt;year&gt;2015&lt;/year&gt;&lt;/dates&gt;&lt;pub-location&gt;Amman, Jordan&lt;/pub-location&gt;&lt;publisher&gt;Department of Statisitics&lt;/publisher&gt;&lt;urls&gt;&lt;/urls&gt;&lt;/record&gt;&lt;/Cite&gt;&lt;/EndNote&gt;</w:instrText>
      </w:r>
      <w:r w:rsidR="00A64E49">
        <w:fldChar w:fldCharType="separate"/>
      </w:r>
      <w:r w:rsidR="00A64E49">
        <w:rPr>
          <w:noProof/>
        </w:rPr>
        <w:t>(</w:t>
      </w:r>
      <w:hyperlink w:anchor="_ENREF_1" w:tooltip="Department of Statistics, 2015 #735" w:history="1">
        <w:r w:rsidR="004C58C3">
          <w:rPr>
            <w:noProof/>
          </w:rPr>
          <w:t>Department of Statistics, 2015</w:t>
        </w:r>
      </w:hyperlink>
      <w:r w:rsidR="00A64E49">
        <w:rPr>
          <w:noProof/>
        </w:rPr>
        <w:t>)</w:t>
      </w:r>
      <w:r w:rsidR="00A64E49">
        <w:fldChar w:fldCharType="end"/>
      </w:r>
      <w:r w:rsidR="00FA003F">
        <w:t>.</w:t>
      </w:r>
      <w:r w:rsidR="00FA003F" w:rsidRPr="00FA003F">
        <w:t xml:space="preserve"> </w:t>
      </w:r>
      <w:r>
        <w:t>Around 59</w:t>
      </w:r>
      <w:r w:rsidR="006C5E63">
        <w:t xml:space="preserve"> per cent per cent </w:t>
      </w:r>
      <w:r>
        <w:t>of the Governorate population lives in urban areas and 41</w:t>
      </w:r>
      <w:r w:rsidR="006C5E63">
        <w:t xml:space="preserve"> per cent</w:t>
      </w:r>
      <w:r>
        <w:t xml:space="preserve"> reside in rural </w:t>
      </w:r>
      <w:r w:rsidR="00721B9F">
        <w:t xml:space="preserve">areas (The </w:t>
      </w:r>
      <w:proofErr w:type="spellStart"/>
      <w:r w:rsidR="00721B9F">
        <w:t>Wolrld</w:t>
      </w:r>
      <w:proofErr w:type="spellEnd"/>
      <w:r w:rsidR="00721B9F">
        <w:t xml:space="preserve"> Bank, 2005). </w:t>
      </w:r>
      <w:r w:rsidR="00FA003F">
        <w:t xml:space="preserve">The land cover is mostly shrub lands. The sloping is comprised between 9.3 and 9.7 degrees. </w:t>
      </w:r>
      <w:r w:rsidR="00721B9F">
        <w:t>Around 70</w:t>
      </w:r>
      <w:r w:rsidR="006C5E63">
        <w:t xml:space="preserve"> per cent</w:t>
      </w:r>
      <w:r w:rsidR="00721B9F">
        <w:t xml:space="preserve"> of the total area of </w:t>
      </w:r>
      <w:proofErr w:type="spellStart"/>
      <w:r w:rsidR="00721B9F">
        <w:t>Madaba</w:t>
      </w:r>
      <w:proofErr w:type="spellEnd"/>
      <w:r w:rsidR="00721B9F">
        <w:t xml:space="preserve"> Governorate is cultivable land (The World Bank, 2005). </w:t>
      </w:r>
      <w:r w:rsidR="00FA003F">
        <w:rPr>
          <w:lang w:val="en-US"/>
        </w:rPr>
        <w:t xml:space="preserve">Fruits and </w:t>
      </w:r>
      <w:r w:rsidR="00FA003F" w:rsidRPr="00FA003F">
        <w:rPr>
          <w:lang w:val="en-US"/>
        </w:rPr>
        <w:t xml:space="preserve">olive </w:t>
      </w:r>
      <w:r w:rsidR="00FA003F">
        <w:rPr>
          <w:lang w:val="en-US"/>
        </w:rPr>
        <w:t xml:space="preserve">are produced in the </w:t>
      </w:r>
      <w:r w:rsidR="00721B9F">
        <w:rPr>
          <w:lang w:val="en-US"/>
        </w:rPr>
        <w:t>northern</w:t>
      </w:r>
      <w:r w:rsidR="00FA003F">
        <w:rPr>
          <w:lang w:val="en-US"/>
        </w:rPr>
        <w:t xml:space="preserve"> part of the governorate</w:t>
      </w:r>
      <w:r>
        <w:rPr>
          <w:lang w:val="en-US"/>
        </w:rPr>
        <w:t xml:space="preserve">. </w:t>
      </w:r>
      <w:r w:rsidR="00721B9F">
        <w:t>Agriculture</w:t>
      </w:r>
      <w:r>
        <w:t xml:space="preserve"> relies mainly on foreign </w:t>
      </w:r>
      <w:r w:rsidRPr="00137D9E">
        <w:rPr>
          <w:lang w:val="en-US"/>
        </w:rPr>
        <w:t>labor</w:t>
      </w:r>
      <w:r w:rsidR="00721B9F">
        <w:t xml:space="preserve">. </w:t>
      </w:r>
      <w:r w:rsidR="00137D9E">
        <w:t>Like for the rest of Jordan, o</w:t>
      </w:r>
      <w:r w:rsidR="00721B9F">
        <w:t xml:space="preserve">ne of the major </w:t>
      </w:r>
      <w:r w:rsidR="00137D9E">
        <w:t>constraints</w:t>
      </w:r>
      <w:r w:rsidR="00721B9F">
        <w:t xml:space="preserve"> to agricultural </w:t>
      </w:r>
      <w:r w:rsidR="00137D9E">
        <w:t xml:space="preserve">development in </w:t>
      </w:r>
      <w:proofErr w:type="spellStart"/>
      <w:r w:rsidR="00137D9E">
        <w:t>Madaba</w:t>
      </w:r>
      <w:proofErr w:type="spellEnd"/>
      <w:r w:rsidR="00137D9E">
        <w:t xml:space="preserve"> </w:t>
      </w:r>
      <w:r w:rsidR="00721B9F">
        <w:t>is water stress due to low and fluctuating rainfall. High cost of production</w:t>
      </w:r>
      <w:r w:rsidR="00137D9E">
        <w:t xml:space="preserve"> and</w:t>
      </w:r>
      <w:r w:rsidR="00721B9F">
        <w:t xml:space="preserve"> land fragmentation</w:t>
      </w:r>
      <w:r w:rsidR="00137D9E">
        <w:t xml:space="preserve"> are also major constraints to agriculture in the governorate</w:t>
      </w:r>
      <w:r w:rsidR="00721B9F">
        <w:t xml:space="preserve">. Livestock production is practiced </w:t>
      </w:r>
      <w:r w:rsidR="00137D9E">
        <w:t>in the Governorate and the m</w:t>
      </w:r>
      <w:r w:rsidR="00721B9F">
        <w:t>ain raised species are sheep, goats and cattle.</w:t>
      </w:r>
      <w:r w:rsidR="006C5E63">
        <w:t xml:space="preserve"> Amongst the four </w:t>
      </w:r>
      <w:r w:rsidR="00D42064">
        <w:t>governorates</w:t>
      </w:r>
      <w:r w:rsidR="006C5E63">
        <w:t xml:space="preserve"> under this </w:t>
      </w:r>
      <w:r w:rsidR="00D42064">
        <w:t xml:space="preserve">study, </w:t>
      </w:r>
      <w:proofErr w:type="spellStart"/>
      <w:r w:rsidR="00D42064">
        <w:rPr>
          <w:lang w:val="en-US"/>
        </w:rPr>
        <w:t>Madaba</w:t>
      </w:r>
      <w:proofErr w:type="spellEnd"/>
      <w:r w:rsidR="00D42064">
        <w:rPr>
          <w:lang w:val="en-US"/>
        </w:rPr>
        <w:t xml:space="preserve"> </w:t>
      </w:r>
      <w:r w:rsidR="006C5E63">
        <w:t>has the lowest contribution (7.7 per cent) to national livestock production (</w:t>
      </w:r>
      <w:proofErr w:type="spellStart"/>
      <w:r w:rsidR="006C5E63">
        <w:t>DoS</w:t>
      </w:r>
      <w:proofErr w:type="spellEnd"/>
      <w:r w:rsidR="006C5E63">
        <w:t>, 2017)</w:t>
      </w:r>
    </w:p>
    <w:p w14:paraId="4FC5A7FA" w14:textId="75D3A6C3" w:rsidR="008618E9" w:rsidRDefault="008618E9" w:rsidP="00190D36">
      <w:pPr>
        <w:pStyle w:val="Heading3"/>
      </w:pPr>
      <w:bookmarkStart w:id="15" w:name="_Toc483361452"/>
      <w:r w:rsidRPr="008618E9">
        <w:t xml:space="preserve">2.1.3. </w:t>
      </w:r>
      <w:proofErr w:type="spellStart"/>
      <w:r w:rsidRPr="008618E9">
        <w:t>Irbib</w:t>
      </w:r>
      <w:proofErr w:type="spellEnd"/>
      <w:r w:rsidR="00351111">
        <w:t xml:space="preserve"> Governorate</w:t>
      </w:r>
      <w:bookmarkEnd w:id="15"/>
    </w:p>
    <w:p w14:paraId="167351C9" w14:textId="71A58821" w:rsidR="009D109C" w:rsidRPr="00DA32F2" w:rsidRDefault="006F334C" w:rsidP="009625B2">
      <w:pPr>
        <w:spacing w:line="276" w:lineRule="auto"/>
        <w:rPr>
          <w:lang w:val="en-US"/>
        </w:rPr>
      </w:pPr>
      <w:r>
        <w:t xml:space="preserve">The Irbid Governorate is located at the border with Syria in the North-West of Jordan. It lies between the Yarmouk River basin </w:t>
      </w:r>
      <w:r w:rsidR="005F6E55">
        <w:t>and the Jordan Valley</w:t>
      </w:r>
      <w:r>
        <w:t xml:space="preserve">. The total population was estimated to be </w:t>
      </w:r>
      <w:r w:rsidR="00A64E49">
        <w:t>1,775,200</w:t>
      </w:r>
      <w:r w:rsidR="000F2FAA">
        <w:t xml:space="preserve"> at the census in 2015</w:t>
      </w:r>
      <w:r>
        <w:t xml:space="preserve">. Irbid </w:t>
      </w:r>
      <w:r w:rsidR="004A2D58">
        <w:t>is the most densely populated governorate</w:t>
      </w:r>
      <w:r w:rsidR="005F6E55">
        <w:t xml:space="preserve"> in Jordan with </w:t>
      </w:r>
      <w:r w:rsidR="000F2FAA">
        <w:t>1,129.</w:t>
      </w:r>
      <w:r w:rsidR="004A2D58">
        <w:t>4 inhabitant/km</w:t>
      </w:r>
      <w:r w:rsidR="004A2D58" w:rsidRPr="004A2D58">
        <w:rPr>
          <w:vertAlign w:val="superscript"/>
        </w:rPr>
        <w:t>2</w:t>
      </w:r>
      <w:r w:rsidR="004A2D58">
        <w:t xml:space="preserve"> </w:t>
      </w:r>
      <w:r w:rsidR="004A2D58">
        <w:fldChar w:fldCharType="begin"/>
      </w:r>
      <w:r w:rsidR="004C58C3">
        <w:instrText xml:space="preserve"> ADDIN EN.CITE &lt;EndNote&gt;&lt;Cite&gt;&lt;Author&gt;Department of Statistics&lt;/Author&gt;&lt;Year&gt;2015&lt;/Year&gt;&lt;RecNum&gt;735&lt;/RecNum&gt;&lt;DisplayText&gt;(Department of Statistics, 2015, FAO, 2014)&lt;/DisplayText&gt;&lt;record&gt;&lt;rec-number&gt;735&lt;/rec-number&gt;&lt;foreign-keys&gt;&lt;key app="EN" db-id="a52r52vwspdfrqepfx7pwz0uzaverz5setxs"&gt;735&lt;/key&gt;&lt;/foreign-keys&gt;&lt;ref-type name="Report"&gt;27&lt;/ref-type&gt;&lt;contributors&gt;&lt;authors&gt;&lt;author&gt;Department of Statistics,&lt;/author&gt;&lt;/authors&gt;&lt;/contributors&gt;&lt;titles&gt;&lt;title&gt;Year book 2015&lt;/title&gt;&lt;/titles&gt;&lt;dates&gt;&lt;year&gt;2015&lt;/year&gt;&lt;/dates&gt;&lt;pub-location&gt;Amman, Jordan&lt;/pub-location&gt;&lt;publisher&gt;Department of Statisitics&lt;/publisher&gt;&lt;urls&gt;&lt;/urls&gt;&lt;/record&gt;&lt;/Cite&gt;&lt;Cite&gt;&lt;Author&gt;FAO&lt;/Author&gt;&lt;Year&gt;2014&lt;/Year&gt;&lt;RecNum&gt;733&lt;/RecNum&gt;&lt;record&gt;&lt;rec-number&gt;733&lt;/rec-number&gt;&lt;foreign-keys&gt;&lt;key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Jordan&lt;/publisher&gt;&lt;urls&gt;&lt;/urls&gt;&lt;/record&gt;&lt;/Cite&gt;&lt;/EndNote&gt;</w:instrText>
      </w:r>
      <w:r w:rsidR="004A2D58">
        <w:fldChar w:fldCharType="separate"/>
      </w:r>
      <w:r w:rsidR="004C58C3">
        <w:rPr>
          <w:noProof/>
        </w:rPr>
        <w:t>(</w:t>
      </w:r>
      <w:hyperlink w:anchor="_ENREF_1" w:tooltip="Department of Statistics, 2015 #735" w:history="1">
        <w:r w:rsidR="004C58C3">
          <w:rPr>
            <w:noProof/>
          </w:rPr>
          <w:t>Department of Statistics, 2015</w:t>
        </w:r>
      </w:hyperlink>
      <w:r w:rsidR="004C58C3">
        <w:rPr>
          <w:noProof/>
        </w:rPr>
        <w:t xml:space="preserve">, </w:t>
      </w:r>
      <w:hyperlink w:anchor="_ENREF_7" w:tooltip="FAO, 2014 #733" w:history="1">
        <w:r w:rsidR="004C58C3">
          <w:rPr>
            <w:noProof/>
          </w:rPr>
          <w:t>FAO, 2014</w:t>
        </w:r>
      </w:hyperlink>
      <w:r w:rsidR="004C58C3">
        <w:rPr>
          <w:noProof/>
        </w:rPr>
        <w:t>)</w:t>
      </w:r>
      <w:r w:rsidR="004A2D58">
        <w:fldChar w:fldCharType="end"/>
      </w:r>
      <w:r w:rsidR="005F6E55">
        <w:t xml:space="preserve">. </w:t>
      </w:r>
      <w:r w:rsidR="000F2FAA">
        <w:t>He is hosting one of the most important Syrian refugee communities. About 20.80</w:t>
      </w:r>
      <w:r w:rsidR="006C5E63">
        <w:t xml:space="preserve"> per cent</w:t>
      </w:r>
      <w:r w:rsidR="000F2FAA">
        <w:t xml:space="preserve"> of the registered Syrian refugees live in Irbid governorate </w:t>
      </w:r>
      <w:r w:rsidR="000F2FAA">
        <w:fldChar w:fldCharType="begin"/>
      </w:r>
      <w:r w:rsidR="00D42879">
        <w:instrText xml:space="preserve"> ADDIN EN.CITE &lt;EndNote&gt;&lt;Cite&gt;&lt;Author&gt;UNHCR&lt;/Author&gt;&lt;Year&gt;2017&lt;/Year&gt;&lt;RecNum&gt;734&lt;/RecNum&gt;&lt;DisplayText&gt;(UNHCR, 2017)&lt;/DisplayText&gt;&lt;record&gt;&lt;rec-number&gt;734&lt;/rec-number&gt;&lt;foreign-keys&gt;&lt;key app="EN" db-id="a52r52vwspdfrqepfx7pwz0uzaverz5setxs"&gt;734&lt;/key&gt;&lt;/foreign-keys&gt;&lt;ref-type name="Report"&gt;27&lt;/ref-type&gt;&lt;contributors&gt;&lt;authors&gt;&lt;author&gt;UNHCR,&lt;/author&gt;&lt;/authors&gt;&lt;/contributors&gt;&lt;titles&gt;&lt;title&gt;Statistical Report on Registered Syrians Currently Residing in Jordan&lt;/title&gt;&lt;/titles&gt;&lt;dates&gt;&lt;year&gt;2017&lt;/year&gt;&lt;/dates&gt;&lt;pub-location&gt;Amman, Jordan&lt;/pub-location&gt;&lt;urls&gt;&lt;/urls&gt;&lt;/record&gt;&lt;/Cite&gt;&lt;/EndNote&gt;</w:instrText>
      </w:r>
      <w:r w:rsidR="000F2FAA">
        <w:fldChar w:fldCharType="separate"/>
      </w:r>
      <w:r w:rsidR="00D42879">
        <w:rPr>
          <w:noProof/>
        </w:rPr>
        <w:t>(</w:t>
      </w:r>
      <w:hyperlink w:anchor="_ENREF_13" w:tooltip="UNHCR, 2017 #734" w:history="1">
        <w:r w:rsidR="004C58C3">
          <w:rPr>
            <w:noProof/>
          </w:rPr>
          <w:t>UNHCR, 2017</w:t>
        </w:r>
      </w:hyperlink>
      <w:r w:rsidR="00D42879">
        <w:rPr>
          <w:noProof/>
        </w:rPr>
        <w:t>)</w:t>
      </w:r>
      <w:r w:rsidR="000F2FAA">
        <w:fldChar w:fldCharType="end"/>
      </w:r>
      <w:r w:rsidR="005F6E55">
        <w:t>. It hosts the King Abdullah Park one of the four official refugee camps</w:t>
      </w:r>
      <w:r w:rsidR="000F2FAA">
        <w:t xml:space="preserve"> in Jordan</w:t>
      </w:r>
      <w:r w:rsidR="00DA32F2" w:rsidRPr="00DA32F2">
        <w:rPr>
          <w:lang w:val="en-US"/>
        </w:rPr>
        <w:t>.</w:t>
      </w:r>
      <w:r w:rsidR="005F6E55">
        <w:rPr>
          <w:lang w:val="en-US"/>
        </w:rPr>
        <w:t xml:space="preserve"> The general p</w:t>
      </w:r>
      <w:r w:rsidR="00B966CF">
        <w:rPr>
          <w:lang w:val="en-US"/>
        </w:rPr>
        <w:t xml:space="preserve">overty </w:t>
      </w:r>
      <w:r w:rsidR="000F2FAA">
        <w:rPr>
          <w:lang w:val="en-US"/>
        </w:rPr>
        <w:t>amongst the population in</w:t>
      </w:r>
      <w:r w:rsidR="00B966CF">
        <w:rPr>
          <w:lang w:val="en-US"/>
        </w:rPr>
        <w:t xml:space="preserve"> </w:t>
      </w:r>
      <w:r w:rsidR="009D109C" w:rsidRPr="009D109C">
        <w:rPr>
          <w:lang w:val="en-US"/>
        </w:rPr>
        <w:t>Irbid</w:t>
      </w:r>
      <w:r w:rsidR="005F6E55">
        <w:rPr>
          <w:lang w:val="en-US"/>
        </w:rPr>
        <w:t xml:space="preserve"> is estimated to be </w:t>
      </w:r>
      <w:r w:rsidR="00825A04" w:rsidRPr="009D109C">
        <w:rPr>
          <w:lang w:val="en-US"/>
        </w:rPr>
        <w:t xml:space="preserve">17 </w:t>
      </w:r>
      <w:r w:rsidR="00825A04">
        <w:rPr>
          <w:lang w:val="en-US"/>
        </w:rPr>
        <w:t>per</w:t>
      </w:r>
      <w:r w:rsidR="006C5E63">
        <w:rPr>
          <w:lang w:val="en-US"/>
        </w:rPr>
        <w:t xml:space="preserve"> cent</w:t>
      </w:r>
      <w:r w:rsidR="00B966CF">
        <w:rPr>
          <w:lang w:val="en-US"/>
        </w:rPr>
        <w:t xml:space="preserve">. </w:t>
      </w:r>
      <w:r w:rsidR="005F6E55">
        <w:rPr>
          <w:lang w:val="en-US"/>
        </w:rPr>
        <w:t xml:space="preserve">Most of the </w:t>
      </w:r>
      <w:r w:rsidR="000F2FAA">
        <w:rPr>
          <w:lang w:val="en-US"/>
        </w:rPr>
        <w:t>populations of the governorate are</w:t>
      </w:r>
      <w:r w:rsidR="005F6E55">
        <w:rPr>
          <w:lang w:val="en-US"/>
        </w:rPr>
        <w:t xml:space="preserve"> farmers.</w:t>
      </w:r>
      <w:r w:rsidR="00825A04">
        <w:rPr>
          <w:lang w:val="en-US"/>
        </w:rPr>
        <w:t xml:space="preserve"> The governorate I considered as the most active region for agricultural production</w:t>
      </w:r>
      <w:r w:rsidR="00825A04">
        <w:rPr>
          <w:lang w:val="en-US"/>
        </w:rPr>
        <w:fldChar w:fldCharType="begin"/>
      </w:r>
      <w:r w:rsidR="00825A04">
        <w:rPr>
          <w:lang w:val="en-US"/>
        </w:rPr>
        <w:instrText xml:space="preserve"> ADDIN EN.CITE &lt;EndNote&gt;&lt;Cite&gt;&lt;Author&gt;ILO&lt;/Author&gt;&lt;Year&gt;2014&lt;/Year&gt;&lt;RecNum&gt;741&lt;/RecNum&gt;&lt;DisplayText&gt;(ILO, 2014)&lt;/DisplayText&gt;&lt;record&gt;&lt;rec-number&gt;741&lt;/rec-number&gt;&lt;foreign-keys&gt;&lt;key app="EN" db-id="a52r52vwspdfrqepfx7pwz0uzaverz5setxs"&gt;741&lt;/key&gt;&lt;/foreign-keys&gt;&lt;ref-type name="Report"&gt;27&lt;/ref-type&gt;&lt;contributors&gt;&lt;authors&gt;&lt;author&gt;ILO&lt;/author&gt;&lt;/authors&gt;&lt;/contributors&gt;&lt;titles&gt;&lt;title&gt;Market Study and Marketing Strategy of Olive Sector in Irbid&lt;/title&gt;&lt;/titles&gt;&lt;pages&gt;35&lt;/pages&gt;&lt;dates&gt;&lt;year&gt;2014&lt;/year&gt;&lt;/dates&gt;&lt;pub-location&gt;Amman&lt;/pub-location&gt;&lt;publisher&gt;Jordan&lt;/publisher&gt;&lt;urls&gt;&lt;/urls&gt;&lt;/record&gt;&lt;/Cite&gt;&lt;/EndNote&gt;</w:instrText>
      </w:r>
      <w:r w:rsidR="00825A04">
        <w:rPr>
          <w:lang w:val="en-US"/>
        </w:rPr>
        <w:fldChar w:fldCharType="separate"/>
      </w:r>
      <w:r w:rsidR="00825A04">
        <w:rPr>
          <w:noProof/>
          <w:lang w:val="en-US"/>
        </w:rPr>
        <w:t>(</w:t>
      </w:r>
      <w:hyperlink w:anchor="_ENREF_8" w:tooltip="ILO, 2014 #741" w:history="1">
        <w:r w:rsidR="004C58C3">
          <w:rPr>
            <w:noProof/>
            <w:lang w:val="en-US"/>
          </w:rPr>
          <w:t>ILO, 2014</w:t>
        </w:r>
      </w:hyperlink>
      <w:r w:rsidR="00825A04">
        <w:rPr>
          <w:noProof/>
          <w:lang w:val="en-US"/>
        </w:rPr>
        <w:t>)</w:t>
      </w:r>
      <w:r w:rsidR="00825A04">
        <w:rPr>
          <w:lang w:val="en-US"/>
        </w:rPr>
        <w:fldChar w:fldCharType="end"/>
      </w:r>
      <w:r w:rsidR="00825A04">
        <w:rPr>
          <w:lang w:val="en-US"/>
        </w:rPr>
        <w:t xml:space="preserve">. </w:t>
      </w:r>
      <w:r w:rsidR="005F6E55">
        <w:rPr>
          <w:lang w:val="en-US"/>
        </w:rPr>
        <w:t xml:space="preserve">Around </w:t>
      </w:r>
      <w:r w:rsidR="00B966CF" w:rsidRPr="00B966CF">
        <w:rPr>
          <w:lang w:val="en-US"/>
        </w:rPr>
        <w:t>40</w:t>
      </w:r>
      <w:r w:rsidR="006C5E63">
        <w:rPr>
          <w:lang w:val="en-US"/>
        </w:rPr>
        <w:t xml:space="preserve"> per cent</w:t>
      </w:r>
      <w:r w:rsidR="00B966CF" w:rsidRPr="00B966CF">
        <w:rPr>
          <w:lang w:val="en-US"/>
        </w:rPr>
        <w:t xml:space="preserve"> of smallholder farmers from northern Jordan are found in Irbid Governorate</w:t>
      </w:r>
      <w:r w:rsidR="005F6E55">
        <w:rPr>
          <w:lang w:val="en-US"/>
        </w:rPr>
        <w:t xml:space="preserve">. </w:t>
      </w:r>
      <w:r w:rsidR="000F6D9F">
        <w:rPr>
          <w:lang w:val="en-US"/>
        </w:rPr>
        <w:t xml:space="preserve">Irbid governorate </w:t>
      </w:r>
      <w:r w:rsidR="000F6D9F">
        <w:t>lost more than 30.000 ha of agricultural lands in the past decades for the greater Irbid Expansion (</w:t>
      </w:r>
      <w:proofErr w:type="spellStart"/>
      <w:r w:rsidR="000F6D9F">
        <w:t>MoA</w:t>
      </w:r>
      <w:proofErr w:type="spellEnd"/>
      <w:r w:rsidR="000F6D9F">
        <w:t xml:space="preserve">, 2015). </w:t>
      </w:r>
      <w:r w:rsidR="00D42064">
        <w:rPr>
          <w:lang w:val="en-US"/>
        </w:rPr>
        <w:t xml:space="preserve">The </w:t>
      </w:r>
      <w:r w:rsidR="000F6D9F">
        <w:rPr>
          <w:lang w:val="en-US"/>
        </w:rPr>
        <w:t>governorate produces</w:t>
      </w:r>
      <w:r w:rsidR="00D42064">
        <w:rPr>
          <w:lang w:val="en-US"/>
        </w:rPr>
        <w:t xml:space="preserve"> 10 per cent of livestock in Jordan (</w:t>
      </w:r>
      <w:proofErr w:type="spellStart"/>
      <w:r w:rsidR="00D42064">
        <w:rPr>
          <w:lang w:val="en-US"/>
        </w:rPr>
        <w:t>DoS</w:t>
      </w:r>
      <w:proofErr w:type="spellEnd"/>
      <w:r w:rsidR="00D42064">
        <w:rPr>
          <w:lang w:val="en-US"/>
        </w:rPr>
        <w:t>, 2017).</w:t>
      </w:r>
    </w:p>
    <w:p w14:paraId="5724F8B2" w14:textId="5696EAF8" w:rsidR="008618E9" w:rsidRDefault="008618E9" w:rsidP="00190D36">
      <w:pPr>
        <w:pStyle w:val="Heading3"/>
      </w:pPr>
      <w:bookmarkStart w:id="16" w:name="_Toc483361453"/>
      <w:r w:rsidRPr="008618E9">
        <w:t xml:space="preserve">2.1.4. </w:t>
      </w:r>
      <w:proofErr w:type="spellStart"/>
      <w:r w:rsidRPr="008618E9">
        <w:t>Mafraq</w:t>
      </w:r>
      <w:proofErr w:type="spellEnd"/>
      <w:r w:rsidR="00495D52">
        <w:t xml:space="preserve"> Governorate</w:t>
      </w:r>
      <w:bookmarkEnd w:id="16"/>
    </w:p>
    <w:p w14:paraId="4F3AD056" w14:textId="4F1133EE" w:rsidR="009D109C" w:rsidRDefault="000F2FAA" w:rsidP="009625B2">
      <w:pPr>
        <w:spacing w:line="276" w:lineRule="auto"/>
        <w:rPr>
          <w:lang w:val="en-US"/>
        </w:rPr>
      </w:pPr>
      <w:r>
        <w:t>The Al-</w:t>
      </w:r>
      <w:proofErr w:type="spellStart"/>
      <w:r>
        <w:t>Mafraq</w:t>
      </w:r>
      <w:proofErr w:type="spellEnd"/>
      <w:r>
        <w:t xml:space="preserve"> government is located </w:t>
      </w:r>
      <w:r w:rsidR="009A0E7F">
        <w:t>at</w:t>
      </w:r>
      <w:r w:rsidR="009625B2">
        <w:t xml:space="preserve"> the north-east of Amman. </w:t>
      </w:r>
      <w:r w:rsidR="00ED08D6">
        <w:t xml:space="preserve">The governorate comprises </w:t>
      </w:r>
      <w:r w:rsidR="009625B2">
        <w:t>4.5</w:t>
      </w:r>
      <w:r w:rsidR="006C5E63">
        <w:t xml:space="preserve"> per cent</w:t>
      </w:r>
      <w:r w:rsidR="009625B2">
        <w:t xml:space="preserve"> of Jordan’s population</w:t>
      </w:r>
      <w:r w:rsidR="00ED08D6">
        <w:t xml:space="preserve">. </w:t>
      </w:r>
      <w:r w:rsidR="009625B2">
        <w:t>The</w:t>
      </w:r>
      <w:r>
        <w:t xml:space="preserve"> </w:t>
      </w:r>
      <w:r w:rsidR="009A0E7F">
        <w:t xml:space="preserve">total population was estimated to be about </w:t>
      </w:r>
      <w:r w:rsidR="00ED08D6">
        <w:t xml:space="preserve">551,500 </w:t>
      </w:r>
      <w:r w:rsidR="009625B2">
        <w:t>in 2015</w:t>
      </w:r>
      <w:r w:rsidR="009A0E7F">
        <w:t xml:space="preserve">. The population density is </w:t>
      </w:r>
      <w:r w:rsidR="00ED08D6">
        <w:t>very low: 20.8 inhabitants</w:t>
      </w:r>
      <w:r w:rsidR="00351111">
        <w:t xml:space="preserve"> </w:t>
      </w:r>
      <w:r w:rsidR="00ED08D6">
        <w:t>/</w:t>
      </w:r>
      <w:r w:rsidR="00351111">
        <w:t xml:space="preserve"> </w:t>
      </w:r>
      <w:r w:rsidR="00ED08D6">
        <w:t>km</w:t>
      </w:r>
      <w:r w:rsidR="00ED08D6" w:rsidRPr="004A2D58">
        <w:rPr>
          <w:vertAlign w:val="superscript"/>
        </w:rPr>
        <w:t>2</w:t>
      </w:r>
      <w:r w:rsidR="00ED08D6">
        <w:t>. It is</w:t>
      </w:r>
      <w:r w:rsidR="004A2D58">
        <w:t xml:space="preserve"> the </w:t>
      </w:r>
      <w:r w:rsidR="004A2D58">
        <w:lastRenderedPageBreak/>
        <w:t xml:space="preserve">second to last less densely populated </w:t>
      </w:r>
      <w:r w:rsidR="00ED08D6">
        <w:t xml:space="preserve">governorate in Jordan </w:t>
      </w:r>
      <w:r w:rsidR="004A2D58">
        <w:fldChar w:fldCharType="begin"/>
      </w:r>
      <w:r w:rsidR="004A2D58">
        <w:instrText xml:space="preserve"> ADDIN EN.CITE &lt;EndNote&gt;&lt;Cite&gt;&lt;Author&gt;Department of Statistics&lt;/Author&gt;&lt;Year&gt;2015&lt;/Year&gt;&lt;RecNum&gt;735&lt;/RecNum&gt;&lt;DisplayText&gt;(Department of Statistics, 2015)&lt;/DisplayText&gt;&lt;record&gt;&lt;rec-number&gt;735&lt;/rec-number&gt;&lt;foreign-keys&gt;&lt;key app="EN" db-id="a52r52vwspdfrqepfx7pwz0uzaverz5setxs"&gt;735&lt;/key&gt;&lt;/foreign-keys&gt;&lt;ref-type name="Report"&gt;27&lt;/ref-type&gt;&lt;contributors&gt;&lt;authors&gt;&lt;author&gt;Department of Statistics,&lt;/author&gt;&lt;/authors&gt;&lt;/contributors&gt;&lt;titles&gt;&lt;title&gt;Year book 2015&lt;/title&gt;&lt;/titles&gt;&lt;dates&gt;&lt;year&gt;2015&lt;/year&gt;&lt;/dates&gt;&lt;pub-location&gt;Amman, Jordan&lt;/pub-location&gt;&lt;publisher&gt;Department of Statisitics&lt;/publisher&gt;&lt;urls&gt;&lt;/urls&gt;&lt;/record&gt;&lt;/Cite&gt;&lt;/EndNote&gt;</w:instrText>
      </w:r>
      <w:r w:rsidR="004A2D58">
        <w:fldChar w:fldCharType="separate"/>
      </w:r>
      <w:r w:rsidR="004A2D58">
        <w:rPr>
          <w:noProof/>
        </w:rPr>
        <w:t>(</w:t>
      </w:r>
      <w:hyperlink w:anchor="_ENREF_1" w:tooltip="Department of Statistics, 2015 #735" w:history="1">
        <w:r w:rsidR="004C58C3">
          <w:rPr>
            <w:noProof/>
          </w:rPr>
          <w:t>Department of Statistics, 2015</w:t>
        </w:r>
      </w:hyperlink>
      <w:r w:rsidR="004A2D58">
        <w:rPr>
          <w:noProof/>
        </w:rPr>
        <w:t>)</w:t>
      </w:r>
      <w:r w:rsidR="004A2D58">
        <w:fldChar w:fldCharType="end"/>
      </w:r>
      <w:r w:rsidR="009A0E7F">
        <w:t xml:space="preserve">. The </w:t>
      </w:r>
      <w:r w:rsidR="009625B2">
        <w:t>governorate</w:t>
      </w:r>
      <w:r w:rsidR="009A0E7F">
        <w:t xml:space="preserve"> comprises the </w:t>
      </w:r>
      <w:proofErr w:type="spellStart"/>
      <w:r w:rsidR="009A0E7F">
        <w:t>Z</w:t>
      </w:r>
      <w:r w:rsidR="0012606A">
        <w:t>aatari</w:t>
      </w:r>
      <w:proofErr w:type="spellEnd"/>
      <w:r w:rsidR="0012606A">
        <w:t xml:space="preserve"> camp</w:t>
      </w:r>
      <w:r w:rsidR="009625B2">
        <w:t xml:space="preserve">. </w:t>
      </w:r>
      <w:r w:rsidR="00ED08D6">
        <w:t>Syrian refugees living outside camps form 12.1</w:t>
      </w:r>
      <w:r w:rsidR="006C5E63">
        <w:t xml:space="preserve"> per cent</w:t>
      </w:r>
      <w:r w:rsidR="00ED08D6">
        <w:t xml:space="preserve"> of registered refugees </w:t>
      </w:r>
      <w:r w:rsidR="00ED08D6">
        <w:fldChar w:fldCharType="begin"/>
      </w:r>
      <w:r w:rsidR="00D42879">
        <w:instrText xml:space="preserve"> ADDIN EN.CITE &lt;EndNote&gt;&lt;Cite&gt;&lt;Author&gt;UNHCR&lt;/Author&gt;&lt;Year&gt;2017&lt;/Year&gt;&lt;RecNum&gt;734&lt;/RecNum&gt;&lt;DisplayText&gt;(UNHCR, 2017)&lt;/DisplayText&gt;&lt;record&gt;&lt;rec-number&gt;734&lt;/rec-number&gt;&lt;foreign-keys&gt;&lt;key app="EN" db-id="a52r52vwspdfrqepfx7pwz0uzaverz5setxs"&gt;734&lt;/key&gt;&lt;/foreign-keys&gt;&lt;ref-type name="Report"&gt;27&lt;/ref-type&gt;&lt;contributors&gt;&lt;authors&gt;&lt;author&gt;UNHCR,&lt;/author&gt;&lt;/authors&gt;&lt;/contributors&gt;&lt;titles&gt;&lt;title&gt;Statistical Report on Registered Syrians Currently Residing in Jordan&lt;/title&gt;&lt;/titles&gt;&lt;dates&gt;&lt;year&gt;2017&lt;/year&gt;&lt;/dates&gt;&lt;pub-location&gt;Amman, Jordan&lt;/pub-location&gt;&lt;urls&gt;&lt;/urls&gt;&lt;/record&gt;&lt;/Cite&gt;&lt;/EndNote&gt;</w:instrText>
      </w:r>
      <w:r w:rsidR="00ED08D6">
        <w:fldChar w:fldCharType="separate"/>
      </w:r>
      <w:r w:rsidR="00D42879">
        <w:rPr>
          <w:noProof/>
        </w:rPr>
        <w:t>(</w:t>
      </w:r>
      <w:hyperlink w:anchor="_ENREF_13" w:tooltip="UNHCR, 2017 #734" w:history="1">
        <w:r w:rsidR="004C58C3">
          <w:rPr>
            <w:noProof/>
          </w:rPr>
          <w:t>UNHCR, 2017</w:t>
        </w:r>
      </w:hyperlink>
      <w:r w:rsidR="00D42879">
        <w:rPr>
          <w:noProof/>
        </w:rPr>
        <w:t>)</w:t>
      </w:r>
      <w:r w:rsidR="00ED08D6">
        <w:fldChar w:fldCharType="end"/>
      </w:r>
      <w:r w:rsidR="00ED08D6">
        <w:t xml:space="preserve">. </w:t>
      </w:r>
      <w:r w:rsidR="00BF2B01" w:rsidRPr="00BF2B01">
        <w:rPr>
          <w:lang w:val="en-US"/>
        </w:rPr>
        <w:t xml:space="preserve">The </w:t>
      </w:r>
      <w:proofErr w:type="spellStart"/>
      <w:r w:rsidR="00BF2B01" w:rsidRPr="00BF2B01">
        <w:rPr>
          <w:lang w:val="en-US"/>
        </w:rPr>
        <w:t>Mafraq</w:t>
      </w:r>
      <w:proofErr w:type="spellEnd"/>
      <w:r w:rsidR="009625B2">
        <w:rPr>
          <w:lang w:val="en-US"/>
        </w:rPr>
        <w:t xml:space="preserve"> governorate is </w:t>
      </w:r>
      <w:r w:rsidR="00BF2B01" w:rsidRPr="00BF2B01">
        <w:rPr>
          <w:lang w:val="en-US"/>
        </w:rPr>
        <w:t xml:space="preserve">60 </w:t>
      </w:r>
      <w:r w:rsidR="006C5E63">
        <w:rPr>
          <w:lang w:val="en-US"/>
        </w:rPr>
        <w:t xml:space="preserve"> per cent</w:t>
      </w:r>
      <w:r w:rsidR="00BF2B01" w:rsidRPr="00BF2B01">
        <w:rPr>
          <w:lang w:val="en-US"/>
        </w:rPr>
        <w:t xml:space="preserve"> rural</w:t>
      </w:r>
      <w:r w:rsidR="00ED08D6">
        <w:rPr>
          <w:lang w:val="en-US"/>
        </w:rPr>
        <w:t xml:space="preserve"> </w:t>
      </w:r>
      <w:r w:rsidR="00DA32F2">
        <w:rPr>
          <w:lang w:val="en-US"/>
        </w:rPr>
        <w:fldChar w:fldCharType="begin"/>
      </w:r>
      <w:r w:rsidR="00DA32F2">
        <w:rPr>
          <w:lang w:val="en-US"/>
        </w:rPr>
        <w:instrText xml:space="preserve"> ADDIN EN.CITE &lt;EndNote&gt;&lt;Cite&gt;&lt;Author&gt;FAO&lt;/Author&gt;&lt;Year&gt;2014&lt;/Year&gt;&lt;RecNum&gt;733&lt;/RecNum&gt;&lt;DisplayText&gt;(FAO, 2014)&lt;/DisplayText&gt;&lt;record&gt;&lt;rec-number&gt;733&lt;/rec-number&gt;&lt;foreign-keys&gt;&lt;key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Jordan&lt;/publisher&gt;&lt;urls&gt;&lt;/urls&gt;&lt;/record&gt;&lt;/Cite&gt;&lt;Cite&gt;&lt;Author&gt;FAO&lt;/Author&gt;&lt;Year&gt;2014&lt;/Year&gt;&lt;RecNum&gt;733&lt;/RecNum&gt;&lt;record&gt;&lt;rec-number&gt;733&lt;/rec-number&gt;&lt;foreign-keys&gt;&lt;key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Jordan&lt;/publisher&gt;&lt;urls&gt;&lt;/urls&gt;&lt;/record&gt;&lt;/Cite&gt;&lt;/EndNote&gt;</w:instrText>
      </w:r>
      <w:r w:rsidR="00DA32F2">
        <w:rPr>
          <w:lang w:val="en-US"/>
        </w:rPr>
        <w:fldChar w:fldCharType="separate"/>
      </w:r>
      <w:r w:rsidR="00DA32F2">
        <w:rPr>
          <w:noProof/>
          <w:lang w:val="en-US"/>
        </w:rPr>
        <w:t>(</w:t>
      </w:r>
      <w:hyperlink w:anchor="_ENREF_7" w:tooltip="FAO, 2014 #733" w:history="1">
        <w:r w:rsidR="004C58C3">
          <w:rPr>
            <w:noProof/>
            <w:lang w:val="en-US"/>
          </w:rPr>
          <w:t>FAO, 2014</w:t>
        </w:r>
      </w:hyperlink>
      <w:r w:rsidR="00DA32F2">
        <w:rPr>
          <w:noProof/>
          <w:lang w:val="en-US"/>
        </w:rPr>
        <w:t>)</w:t>
      </w:r>
      <w:r w:rsidR="00DA32F2">
        <w:rPr>
          <w:lang w:val="en-US"/>
        </w:rPr>
        <w:fldChar w:fldCharType="end"/>
      </w:r>
      <w:r w:rsidR="00DA32F2">
        <w:rPr>
          <w:lang w:val="en-US"/>
        </w:rPr>
        <w:t xml:space="preserve">. </w:t>
      </w:r>
      <w:r w:rsidR="009625B2">
        <w:rPr>
          <w:lang w:val="en-US"/>
        </w:rPr>
        <w:t>It presents the highest p</w:t>
      </w:r>
      <w:r w:rsidR="004A2D58" w:rsidRPr="00DA32F2">
        <w:rPr>
          <w:lang w:val="en-US"/>
        </w:rPr>
        <w:t xml:space="preserve">overty incidence </w:t>
      </w:r>
      <w:r w:rsidR="009625B2">
        <w:rPr>
          <w:lang w:val="en-US"/>
        </w:rPr>
        <w:t xml:space="preserve">estimated to be </w:t>
      </w:r>
      <w:proofErr w:type="gramStart"/>
      <w:r w:rsidR="00DA32F2" w:rsidRPr="00DA32F2">
        <w:rPr>
          <w:lang w:val="en-US"/>
        </w:rPr>
        <w:t xml:space="preserve">23 </w:t>
      </w:r>
      <w:r w:rsidR="006C5E63">
        <w:rPr>
          <w:lang w:val="en-US"/>
        </w:rPr>
        <w:t xml:space="preserve"> per</w:t>
      </w:r>
      <w:proofErr w:type="gramEnd"/>
      <w:r w:rsidR="006C5E63">
        <w:rPr>
          <w:lang w:val="en-US"/>
        </w:rPr>
        <w:t xml:space="preserve"> cent</w:t>
      </w:r>
      <w:r w:rsidR="00ED08D6">
        <w:rPr>
          <w:lang w:val="en-US"/>
        </w:rPr>
        <w:t>.</w:t>
      </w:r>
      <w:r w:rsidR="00DA32F2" w:rsidRPr="00DA32F2">
        <w:rPr>
          <w:lang w:val="en-US"/>
        </w:rPr>
        <w:t xml:space="preserve"> </w:t>
      </w:r>
      <w:r w:rsidR="009625B2">
        <w:rPr>
          <w:lang w:val="en-US"/>
        </w:rPr>
        <w:t xml:space="preserve">Food </w:t>
      </w:r>
      <w:r w:rsidR="00ED08D6">
        <w:rPr>
          <w:lang w:val="en-US"/>
        </w:rPr>
        <w:t>insecurity prevalence is high a</w:t>
      </w:r>
      <w:r w:rsidR="009625B2">
        <w:rPr>
          <w:lang w:val="en-US"/>
        </w:rPr>
        <w:t xml:space="preserve">s more </w:t>
      </w:r>
      <w:r w:rsidR="00A64E49">
        <w:t xml:space="preserve">than half </w:t>
      </w:r>
      <w:r w:rsidR="009625B2">
        <w:t xml:space="preserve">of </w:t>
      </w:r>
      <w:r w:rsidR="00A64E49">
        <w:t xml:space="preserve">the households in </w:t>
      </w:r>
      <w:r w:rsidR="00ED08D6">
        <w:t>the</w:t>
      </w:r>
      <w:r w:rsidR="00A64E49">
        <w:t xml:space="preserve"> Gover</w:t>
      </w:r>
      <w:r w:rsidR="00ED08D6">
        <w:t>norate received food assistance</w:t>
      </w:r>
      <w:r w:rsidR="00A64E49">
        <w:t xml:space="preserve"> </w:t>
      </w:r>
      <w:r w:rsidR="00A64E49">
        <w:fldChar w:fldCharType="begin"/>
      </w:r>
      <w:r w:rsidR="00A64E49">
        <w:instrText xml:space="preserve"> ADDIN EN.CITE &lt;EndNote&gt;&lt;Cite&gt;&lt;Author&gt;Department of Statistics and World Food Program&lt;/Author&gt;&lt;Year&gt;2016&lt;/Year&gt;&lt;RecNum&gt;736&lt;/RecNum&gt;&lt;DisplayText&gt;(Department of Statistics and World Food Program, 2016)&lt;/DisplayText&gt;&lt;record&gt;&lt;rec-number&gt;736&lt;/rec-number&gt;&lt;foreign-keys&gt;&lt;key app="EN" db-id="a52r52vwspdfrqepfx7pwz0uzaverz5setxs"&gt;736&lt;/key&gt;&lt;/foreign-keys&gt;&lt;ref-type name="Report"&gt;27&lt;/ref-type&gt;&lt;contributors&gt;&lt;authors&gt;&lt;author&gt;Department of Statistics and World Food Program,&lt;/author&gt;&lt;/authors&gt;&lt;/contributors&gt;&lt;titles&gt;&lt;title&gt;The State of Food Security in Jordan (2013–2014). Analytical Report.&lt;/title&gt;&lt;/titles&gt;&lt;pages&gt;41&lt;/pages&gt;&lt;dates&gt;&lt;year&gt;2016&lt;/year&gt;&lt;/dates&gt;&lt;pub-location&gt;Amman, Jordan&lt;/pub-location&gt;&lt;publisher&gt;Department of Statistics&lt;/publisher&gt;&lt;urls&gt;&lt;/urls&gt;&lt;/record&gt;&lt;/Cite&gt;&lt;/EndNote&gt;</w:instrText>
      </w:r>
      <w:r w:rsidR="00A64E49">
        <w:fldChar w:fldCharType="separate"/>
      </w:r>
      <w:r w:rsidR="00A64E49">
        <w:rPr>
          <w:noProof/>
        </w:rPr>
        <w:t>(</w:t>
      </w:r>
      <w:hyperlink w:anchor="_ENREF_2" w:tooltip="Department of Statistics and World Food Program, 2016 #736" w:history="1">
        <w:r w:rsidR="004C58C3">
          <w:rPr>
            <w:noProof/>
          </w:rPr>
          <w:t>Department of Statistics and World Food Program, 2016</w:t>
        </w:r>
      </w:hyperlink>
      <w:r w:rsidR="00A64E49">
        <w:rPr>
          <w:noProof/>
        </w:rPr>
        <w:t>)</w:t>
      </w:r>
      <w:r w:rsidR="00A64E49">
        <w:fldChar w:fldCharType="end"/>
      </w:r>
      <w:r w:rsidR="009625B2">
        <w:t xml:space="preserve">. </w:t>
      </w:r>
      <w:r w:rsidR="009625B2">
        <w:rPr>
          <w:lang w:val="en-US"/>
        </w:rPr>
        <w:t>Vegetables are the main agricultural production of the governorate. T</w:t>
      </w:r>
      <w:r w:rsidR="009D109C" w:rsidRPr="009D109C">
        <w:rPr>
          <w:lang w:val="en-US"/>
        </w:rPr>
        <w:t xml:space="preserve">he area of irrigated vegetables has </w:t>
      </w:r>
      <w:r w:rsidR="00ED08D6" w:rsidRPr="009D109C">
        <w:rPr>
          <w:lang w:val="en-US"/>
        </w:rPr>
        <w:t>significantly increased</w:t>
      </w:r>
      <w:r w:rsidR="009625B2" w:rsidRPr="009D109C">
        <w:rPr>
          <w:lang w:val="en-US"/>
        </w:rPr>
        <w:t xml:space="preserve"> </w:t>
      </w:r>
      <w:r w:rsidR="00ED08D6" w:rsidRPr="009D109C">
        <w:rPr>
          <w:lang w:val="en-US"/>
        </w:rPr>
        <w:t>between 2011 and 2012</w:t>
      </w:r>
      <w:r w:rsidR="00ED08D6">
        <w:rPr>
          <w:lang w:val="en-US"/>
        </w:rPr>
        <w:t xml:space="preserve">. </w:t>
      </w:r>
      <w:r w:rsidR="00E7537E">
        <w:rPr>
          <w:lang w:val="en-US"/>
        </w:rPr>
        <w:t>Lands and water availability limit agricultural production in the governorate</w:t>
      </w:r>
      <w:r w:rsidR="009625B2">
        <w:rPr>
          <w:lang w:val="en-US"/>
        </w:rPr>
        <w:t xml:space="preserve"> </w:t>
      </w:r>
      <w:r w:rsidR="009D109C">
        <w:rPr>
          <w:lang w:val="en-US"/>
        </w:rPr>
        <w:fldChar w:fldCharType="begin"/>
      </w:r>
      <w:r w:rsidR="009D109C">
        <w:rPr>
          <w:lang w:val="en-US"/>
        </w:rPr>
        <w:instrText xml:space="preserve"> ADDIN EN.CITE &lt;EndNote&gt;&lt;Cite&gt;&lt;Author&gt;FAO&lt;/Author&gt;&lt;Year&gt;2014&lt;/Year&gt;&lt;RecNum&gt;733&lt;/RecNum&gt;&lt;DisplayText&gt;(FAO, 2014)&lt;/DisplayText&gt;&lt;record&gt;&lt;rec-number&gt;733&lt;/rec-number&gt;&lt;foreign-keys&gt;&lt;key app="EN" db-id="a52r52vwspdfrqepfx7pwz0uzaverz5setxs"&gt;733&lt;/key&gt;&lt;/foreign-keys&gt;&lt;ref-type name="Report"&gt;27&lt;/ref-type&gt;&lt;contributors&gt;&lt;authors&gt;&lt;author&gt;FAO&lt;/author&gt;&lt;/authors&gt;&lt;tertiary-authors&gt;&lt;author&gt;FAO&lt;/author&gt;&lt;/tertiary-authors&gt;&lt;/contributors&gt;&lt;titles&gt;&lt;title&gt;Plan of action: Jordan 2014–2018. Resilient Livelihoods for Agriculture and Food and Nutrition Security in Areas of Jordan Affected by the Syria Crisis&lt;/title&gt;&lt;/titles&gt;&lt;pages&gt;63&lt;/pages&gt;&lt;dates&gt;&lt;year&gt;2014&lt;/year&gt;&lt;pub-dates&gt;&lt;date&gt;January 2014&lt;/date&gt;&lt;/pub-dates&gt;&lt;/dates&gt;&lt;pub-location&gt;Amman, Jordan&lt;/pub-location&gt;&lt;publisher&gt;FAO Regional Office for the Near East and North Africa, FAO Representation in Jordan&lt;/publisher&gt;&lt;urls&gt;&lt;/urls&gt;&lt;/record&gt;&lt;/Cite&gt;&lt;/EndNote&gt;</w:instrText>
      </w:r>
      <w:r w:rsidR="009D109C">
        <w:rPr>
          <w:lang w:val="en-US"/>
        </w:rPr>
        <w:fldChar w:fldCharType="separate"/>
      </w:r>
      <w:r w:rsidR="009D109C">
        <w:rPr>
          <w:noProof/>
          <w:lang w:val="en-US"/>
        </w:rPr>
        <w:t>(</w:t>
      </w:r>
      <w:hyperlink w:anchor="_ENREF_7" w:tooltip="FAO, 2014 #733" w:history="1">
        <w:r w:rsidR="004C58C3">
          <w:rPr>
            <w:noProof/>
            <w:lang w:val="en-US"/>
          </w:rPr>
          <w:t>FAO, 2014</w:t>
        </w:r>
      </w:hyperlink>
      <w:r w:rsidR="009D109C">
        <w:rPr>
          <w:noProof/>
          <w:lang w:val="en-US"/>
        </w:rPr>
        <w:t>)</w:t>
      </w:r>
      <w:r w:rsidR="009D109C">
        <w:rPr>
          <w:lang w:val="en-US"/>
        </w:rPr>
        <w:fldChar w:fldCharType="end"/>
      </w:r>
      <w:r w:rsidR="00E7537E">
        <w:rPr>
          <w:lang w:val="en-US"/>
        </w:rPr>
        <w:t>.</w:t>
      </w:r>
      <w:r w:rsidR="00D42064">
        <w:rPr>
          <w:lang w:val="en-US"/>
        </w:rPr>
        <w:t xml:space="preserve"> Compared to the Governorates of Amman, </w:t>
      </w:r>
      <w:proofErr w:type="spellStart"/>
      <w:r w:rsidR="00D42064">
        <w:rPr>
          <w:lang w:val="en-US"/>
        </w:rPr>
        <w:t>Madaba</w:t>
      </w:r>
      <w:proofErr w:type="spellEnd"/>
      <w:r w:rsidR="00D42064">
        <w:rPr>
          <w:lang w:val="en-US"/>
        </w:rPr>
        <w:t xml:space="preserve"> and Irbid, </w:t>
      </w:r>
      <w:proofErr w:type="spellStart"/>
      <w:r w:rsidR="00D42064">
        <w:rPr>
          <w:lang w:val="en-US"/>
        </w:rPr>
        <w:t>Mafraq</w:t>
      </w:r>
      <w:proofErr w:type="spellEnd"/>
      <w:r w:rsidR="00D42064">
        <w:rPr>
          <w:lang w:val="en-US"/>
        </w:rPr>
        <w:t xml:space="preserve"> is the biggest production of livestock (Sheep, goats and cattle). Its contribution to the national production is estimated to 22.0 per cent (</w:t>
      </w:r>
      <w:proofErr w:type="spellStart"/>
      <w:r w:rsidR="00D42064">
        <w:rPr>
          <w:lang w:val="en-US"/>
        </w:rPr>
        <w:t>DoS</w:t>
      </w:r>
      <w:proofErr w:type="spellEnd"/>
      <w:r w:rsidR="00D42064">
        <w:rPr>
          <w:lang w:val="en-US"/>
        </w:rPr>
        <w:t>, 2017).</w:t>
      </w:r>
    </w:p>
    <w:p w14:paraId="6CA910A8" w14:textId="77777777" w:rsidR="00490276" w:rsidRPr="00E60353" w:rsidRDefault="00490276" w:rsidP="00190D36">
      <w:pPr>
        <w:pStyle w:val="Heading2"/>
      </w:pPr>
      <w:bookmarkStart w:id="17" w:name="_Toc483361454"/>
      <w:r w:rsidRPr="00E60353">
        <w:t>2.2 Study design</w:t>
      </w:r>
      <w:bookmarkEnd w:id="17"/>
    </w:p>
    <w:p w14:paraId="768B47D9" w14:textId="1E4E2907" w:rsidR="007B1412" w:rsidRPr="008618E9" w:rsidRDefault="008618E9" w:rsidP="00190D36">
      <w:pPr>
        <w:pStyle w:val="Heading3"/>
      </w:pPr>
      <w:bookmarkStart w:id="18" w:name="_Toc483361455"/>
      <w:r w:rsidRPr="008618E9">
        <w:t xml:space="preserve">2.2.1. </w:t>
      </w:r>
      <w:r w:rsidR="007B1412" w:rsidRPr="008618E9">
        <w:t>Conceptual framework of the study</w:t>
      </w:r>
      <w:bookmarkEnd w:id="18"/>
    </w:p>
    <w:p w14:paraId="2FBC5799" w14:textId="0EC8B9F3" w:rsidR="00C00C7E" w:rsidRDefault="007B1412" w:rsidP="00EF3F9A">
      <w:pPr>
        <w:tabs>
          <w:tab w:val="left" w:pos="3807"/>
        </w:tabs>
        <w:spacing w:line="276" w:lineRule="auto"/>
        <w:rPr>
          <w:rFonts w:cs="Times New Roman"/>
          <w:szCs w:val="24"/>
          <w:lang w:val="en-US"/>
        </w:rPr>
      </w:pPr>
      <w:r>
        <w:rPr>
          <w:rFonts w:cs="Times New Roman"/>
          <w:szCs w:val="24"/>
          <w:lang w:val="en-US"/>
        </w:rPr>
        <w:t>The study is built on the conceptual framework of household/farm livelihood sustainability, including its adaptability and resilience in the vulnerability context (Fig.</w:t>
      </w:r>
      <w:r w:rsidR="00C00C7E">
        <w:rPr>
          <w:rFonts w:cs="Times New Roman"/>
          <w:szCs w:val="24"/>
          <w:lang w:val="en-US"/>
        </w:rPr>
        <w:t xml:space="preserve"> 2</w:t>
      </w:r>
      <w:r>
        <w:rPr>
          <w:rFonts w:cs="Times New Roman"/>
          <w:szCs w:val="24"/>
          <w:lang w:val="en-US"/>
        </w:rPr>
        <w:t>).  The Sustainable Livelihood Framework (SLF) descri</w:t>
      </w:r>
      <w:r w:rsidR="00C00C7E">
        <w:rPr>
          <w:rFonts w:cs="Times New Roman"/>
          <w:szCs w:val="24"/>
          <w:lang w:val="en-US"/>
        </w:rPr>
        <w:t>bes</w:t>
      </w:r>
      <w:r>
        <w:rPr>
          <w:rFonts w:cs="Times New Roman"/>
          <w:szCs w:val="24"/>
          <w:lang w:val="en-US"/>
        </w:rPr>
        <w:t xml:space="preserve"> the </w:t>
      </w:r>
      <w:r w:rsidR="00C00C7E">
        <w:rPr>
          <w:rFonts w:cs="Times New Roman"/>
          <w:szCs w:val="24"/>
          <w:lang w:val="en-US"/>
        </w:rPr>
        <w:t xml:space="preserve">essential </w:t>
      </w:r>
      <w:r>
        <w:rPr>
          <w:rFonts w:cs="Times New Roman"/>
          <w:szCs w:val="24"/>
          <w:lang w:val="en-US"/>
        </w:rPr>
        <w:t xml:space="preserve">resources at household/farm disposal and </w:t>
      </w:r>
      <w:r w:rsidR="00C00C7E">
        <w:rPr>
          <w:rFonts w:cs="Times New Roman"/>
          <w:szCs w:val="24"/>
          <w:lang w:val="en-US"/>
        </w:rPr>
        <w:t xml:space="preserve">livelihood </w:t>
      </w:r>
      <w:r>
        <w:rPr>
          <w:rFonts w:cs="Times New Roman"/>
          <w:szCs w:val="24"/>
          <w:lang w:val="en-US"/>
        </w:rPr>
        <w:t>strategies built from these resources in copying with the vulnerability context</w:t>
      </w:r>
      <w:r w:rsidR="00E5032D">
        <w:rPr>
          <w:rFonts w:cs="Times New Roman"/>
          <w:szCs w:val="24"/>
          <w:lang w:val="en-US"/>
        </w:rPr>
        <w:t xml:space="preserve"> </w:t>
      </w:r>
      <w:r w:rsidR="00E5032D">
        <w:rPr>
          <w:rFonts w:cs="Times New Roman"/>
          <w:szCs w:val="24"/>
          <w:lang w:val="en-US"/>
        </w:rPr>
        <w:fldChar w:fldCharType="begin"/>
      </w:r>
      <w:r w:rsidR="00E5032D">
        <w:rPr>
          <w:rFonts w:cs="Times New Roman"/>
          <w:szCs w:val="24"/>
          <w:lang w:val="en-US"/>
        </w:rPr>
        <w:instrText xml:space="preserve"> ADDIN EN.CITE &lt;EndNote&gt;&lt;Cite&gt;&lt;Author&gt;DFID&lt;/Author&gt;&lt;Year&gt;1999&lt;/Year&gt;&lt;RecNum&gt;97&lt;/RecNum&gt;&lt;DisplayText&gt;(DFID, 1999)&lt;/DisplayText&gt;&lt;record&gt;&lt;rec-number&gt;97&lt;/rec-number&gt;&lt;foreign-keys&gt;&lt;key app="EN" db-id="a52r52vwspdfrqepfx7pwz0uzaverz5setxs"&gt;97&lt;/key&gt;&lt;/foreign-keys&gt;&lt;ref-type name="Web Page"&gt;12&lt;/ref-type&gt;&lt;contributors&gt;&lt;authors&gt;&lt;author&gt;DFID&lt;/author&gt;&lt;/authors&gt;&lt;/contributors&gt;&lt;titles&gt;&lt;title&gt;Sustainable livelihoods guidance sheets&lt;/title&gt;&lt;/titles&gt;&lt;volume&gt;2014&lt;/volume&gt;&lt;number&gt;15 February&lt;/number&gt;&lt;dates&gt;&lt;year&gt;1999&lt;/year&gt;&lt;/dates&gt;&lt;urls&gt;&lt;related-urls&gt;&lt;url&gt;http://www.efls.ca/webresources/DFID_Sustainable_livelihoods_guidance_sheet.pdf&lt;/url&gt;&lt;/related-urls&gt;&lt;/urls&gt;&lt;custom1&gt;2014&lt;/custom1&gt;&lt;custom2&gt;15 February&lt;/custom2&gt;&lt;/record&gt;&lt;/Cite&gt;&lt;/EndNote&gt;</w:instrText>
      </w:r>
      <w:r w:rsidR="00E5032D">
        <w:rPr>
          <w:rFonts w:cs="Times New Roman"/>
          <w:szCs w:val="24"/>
          <w:lang w:val="en-US"/>
        </w:rPr>
        <w:fldChar w:fldCharType="separate"/>
      </w:r>
      <w:r w:rsidR="00E5032D">
        <w:rPr>
          <w:rFonts w:cs="Times New Roman"/>
          <w:noProof/>
          <w:szCs w:val="24"/>
          <w:lang w:val="en-US"/>
        </w:rPr>
        <w:t>(</w:t>
      </w:r>
      <w:hyperlink w:anchor="_ENREF_3" w:tooltip="DFID, 1999 #97" w:history="1">
        <w:r w:rsidR="004C58C3">
          <w:rPr>
            <w:rFonts w:cs="Times New Roman"/>
            <w:noProof/>
            <w:szCs w:val="24"/>
            <w:lang w:val="en-US"/>
          </w:rPr>
          <w:t>DFID, 1999</w:t>
        </w:r>
      </w:hyperlink>
      <w:r w:rsidR="00E5032D">
        <w:rPr>
          <w:rFonts w:cs="Times New Roman"/>
          <w:noProof/>
          <w:szCs w:val="24"/>
          <w:lang w:val="en-US"/>
        </w:rPr>
        <w:t>)</w:t>
      </w:r>
      <w:r w:rsidR="00E5032D">
        <w:rPr>
          <w:rFonts w:cs="Times New Roman"/>
          <w:szCs w:val="24"/>
          <w:lang w:val="en-US"/>
        </w:rPr>
        <w:fldChar w:fldCharType="end"/>
      </w:r>
      <w:r w:rsidR="00C00C7E">
        <w:rPr>
          <w:rFonts w:cs="Times New Roman"/>
          <w:szCs w:val="24"/>
          <w:lang w:val="en-US"/>
        </w:rPr>
        <w:t xml:space="preserve"> (see Fig. 2</w:t>
      </w:r>
      <w:r w:rsidR="00E5032D">
        <w:rPr>
          <w:rFonts w:cs="Times New Roman"/>
          <w:szCs w:val="24"/>
          <w:lang w:val="en-US"/>
        </w:rPr>
        <w:t>a)</w:t>
      </w:r>
      <w:r>
        <w:rPr>
          <w:rFonts w:cs="Times New Roman"/>
          <w:szCs w:val="24"/>
          <w:lang w:val="en-US"/>
        </w:rPr>
        <w:t xml:space="preserve">. These resources comprise five types of assets: human </w:t>
      </w:r>
      <w:r w:rsidR="00E5032D">
        <w:rPr>
          <w:rFonts w:cs="Times New Roman"/>
          <w:szCs w:val="24"/>
          <w:lang w:val="en-US"/>
        </w:rPr>
        <w:t>assets</w:t>
      </w:r>
      <w:r>
        <w:rPr>
          <w:rFonts w:cs="Times New Roman"/>
          <w:szCs w:val="24"/>
          <w:lang w:val="en-US"/>
        </w:rPr>
        <w:t xml:space="preserve"> (labor</w:t>
      </w:r>
      <w:r w:rsidR="00E5032D">
        <w:rPr>
          <w:rFonts w:cs="Times New Roman"/>
          <w:szCs w:val="24"/>
          <w:lang w:val="en-US"/>
        </w:rPr>
        <w:t>, health, education</w:t>
      </w:r>
      <w:r>
        <w:rPr>
          <w:rFonts w:cs="Times New Roman"/>
          <w:szCs w:val="24"/>
          <w:lang w:val="en-US"/>
        </w:rPr>
        <w:t xml:space="preserve"> and capabilities), natural asset (</w:t>
      </w:r>
      <w:r w:rsidR="00E5032D">
        <w:rPr>
          <w:rFonts w:cs="Times New Roman"/>
          <w:szCs w:val="24"/>
          <w:lang w:val="en-US"/>
        </w:rPr>
        <w:t>e.g.</w:t>
      </w:r>
      <w:r w:rsidR="00C00C7E">
        <w:rPr>
          <w:rFonts w:cs="Times New Roman"/>
          <w:szCs w:val="24"/>
          <w:lang w:val="en-US"/>
        </w:rPr>
        <w:t xml:space="preserve"> </w:t>
      </w:r>
      <w:r>
        <w:rPr>
          <w:rFonts w:cs="Times New Roman"/>
          <w:szCs w:val="24"/>
          <w:lang w:val="en-US"/>
        </w:rPr>
        <w:t>lands</w:t>
      </w:r>
      <w:r w:rsidR="00E5032D">
        <w:rPr>
          <w:rFonts w:cs="Times New Roman"/>
          <w:szCs w:val="24"/>
          <w:lang w:val="en-US"/>
        </w:rPr>
        <w:t>, livestock and</w:t>
      </w:r>
      <w:r w:rsidR="00C00C7E">
        <w:rPr>
          <w:rFonts w:cs="Times New Roman"/>
          <w:szCs w:val="24"/>
          <w:lang w:val="en-US"/>
        </w:rPr>
        <w:t xml:space="preserve"> </w:t>
      </w:r>
      <w:r>
        <w:rPr>
          <w:rFonts w:cs="Times New Roman"/>
          <w:szCs w:val="24"/>
          <w:lang w:val="en-US"/>
        </w:rPr>
        <w:t>water resources), financial asset (</w:t>
      </w:r>
      <w:r w:rsidR="00E5032D">
        <w:rPr>
          <w:rFonts w:cs="Times New Roman"/>
          <w:szCs w:val="24"/>
          <w:lang w:val="en-US"/>
        </w:rPr>
        <w:t xml:space="preserve">e.g. incomes and </w:t>
      </w:r>
      <w:r>
        <w:rPr>
          <w:rFonts w:cs="Times New Roman"/>
          <w:szCs w:val="24"/>
          <w:lang w:val="en-US"/>
        </w:rPr>
        <w:t>savings</w:t>
      </w:r>
      <w:r w:rsidR="00E5032D">
        <w:rPr>
          <w:rFonts w:cs="Times New Roman"/>
          <w:szCs w:val="24"/>
          <w:lang w:val="en-US"/>
        </w:rPr>
        <w:t xml:space="preserve"> from different sources</w:t>
      </w:r>
      <w:r>
        <w:rPr>
          <w:rFonts w:cs="Times New Roman"/>
          <w:szCs w:val="24"/>
          <w:lang w:val="en-US"/>
        </w:rPr>
        <w:t>), physical asset (</w:t>
      </w:r>
      <w:r w:rsidR="00E5032D">
        <w:rPr>
          <w:rFonts w:cs="Times New Roman"/>
          <w:szCs w:val="24"/>
          <w:lang w:val="en-US"/>
        </w:rPr>
        <w:t>e.g. housing conditions, access to infrastruct</w:t>
      </w:r>
      <w:r w:rsidR="00C00C7E">
        <w:rPr>
          <w:rFonts w:cs="Times New Roman"/>
          <w:szCs w:val="24"/>
          <w:lang w:val="en-US"/>
        </w:rPr>
        <w:t>ure and equipment</w:t>
      </w:r>
      <w:r w:rsidR="00E5032D">
        <w:rPr>
          <w:rFonts w:cs="Times New Roman"/>
          <w:szCs w:val="24"/>
          <w:lang w:val="en-US"/>
        </w:rPr>
        <w:t xml:space="preserve"> for agricultural production</w:t>
      </w:r>
      <w:r>
        <w:rPr>
          <w:rFonts w:cs="Times New Roman"/>
          <w:szCs w:val="24"/>
          <w:lang w:val="en-US"/>
        </w:rPr>
        <w:t>)</w:t>
      </w:r>
      <w:r w:rsidR="00E5032D">
        <w:rPr>
          <w:rFonts w:cs="Times New Roman"/>
          <w:szCs w:val="24"/>
          <w:lang w:val="en-US"/>
        </w:rPr>
        <w:t>,</w:t>
      </w:r>
      <w:r>
        <w:rPr>
          <w:rFonts w:cs="Times New Roman"/>
          <w:szCs w:val="24"/>
          <w:lang w:val="en-US"/>
        </w:rPr>
        <w:t xml:space="preserve"> and social asset</w:t>
      </w:r>
      <w:r w:rsidR="00E5032D">
        <w:rPr>
          <w:rFonts w:cs="Times New Roman"/>
          <w:szCs w:val="24"/>
          <w:lang w:val="en-US"/>
        </w:rPr>
        <w:t xml:space="preserve"> (e.g.</w:t>
      </w:r>
      <w:r>
        <w:rPr>
          <w:rFonts w:cs="Times New Roman"/>
          <w:szCs w:val="24"/>
          <w:lang w:val="en-US"/>
        </w:rPr>
        <w:t xml:space="preserve"> </w:t>
      </w:r>
      <w:r w:rsidR="00E5032D">
        <w:rPr>
          <w:rFonts w:cs="Times New Roman"/>
          <w:szCs w:val="24"/>
          <w:lang w:val="en-US"/>
        </w:rPr>
        <w:t xml:space="preserve">supports from </w:t>
      </w:r>
      <w:r>
        <w:rPr>
          <w:rFonts w:cs="Times New Roman"/>
          <w:szCs w:val="24"/>
          <w:lang w:val="en-US"/>
        </w:rPr>
        <w:t>social network</w:t>
      </w:r>
      <w:r w:rsidR="00E5032D">
        <w:rPr>
          <w:rFonts w:cs="Times New Roman"/>
          <w:szCs w:val="24"/>
          <w:lang w:val="en-US"/>
        </w:rPr>
        <w:t>, positions and</w:t>
      </w:r>
      <w:r w:rsidR="00C00C7E">
        <w:rPr>
          <w:rFonts w:cs="Times New Roman"/>
          <w:szCs w:val="24"/>
          <w:lang w:val="en-US"/>
        </w:rPr>
        <w:t xml:space="preserve"> </w:t>
      </w:r>
      <w:r w:rsidR="00E5032D">
        <w:rPr>
          <w:rFonts w:cs="Times New Roman"/>
          <w:szCs w:val="24"/>
          <w:lang w:val="en-US"/>
        </w:rPr>
        <w:t>projects/</w:t>
      </w:r>
      <w:r>
        <w:rPr>
          <w:rFonts w:cs="Times New Roman"/>
          <w:szCs w:val="24"/>
          <w:lang w:val="en-US"/>
        </w:rPr>
        <w:t>programs</w:t>
      </w:r>
      <w:r w:rsidR="00E5032D">
        <w:rPr>
          <w:rFonts w:cs="Times New Roman"/>
          <w:szCs w:val="24"/>
          <w:lang w:val="en-US"/>
        </w:rPr>
        <w:t>)</w:t>
      </w:r>
      <w:r>
        <w:rPr>
          <w:rFonts w:cs="Times New Roman"/>
          <w:szCs w:val="24"/>
          <w:lang w:val="en-US"/>
        </w:rPr>
        <w:t xml:space="preserve">. The </w:t>
      </w:r>
      <w:r w:rsidR="00C00C7E">
        <w:rPr>
          <w:rFonts w:cs="Times New Roman"/>
          <w:szCs w:val="24"/>
          <w:lang w:val="en-US"/>
        </w:rPr>
        <w:t xml:space="preserve">livelihood </w:t>
      </w:r>
      <w:r>
        <w:rPr>
          <w:rFonts w:cs="Times New Roman"/>
          <w:szCs w:val="24"/>
          <w:lang w:val="en-US"/>
        </w:rPr>
        <w:t>assets are used</w:t>
      </w:r>
      <w:r w:rsidR="00E5032D">
        <w:rPr>
          <w:rFonts w:cs="Times New Roman"/>
          <w:szCs w:val="24"/>
          <w:lang w:val="en-US"/>
        </w:rPr>
        <w:t xml:space="preserve"> to </w:t>
      </w:r>
      <w:r>
        <w:rPr>
          <w:rFonts w:cs="Times New Roman"/>
          <w:szCs w:val="24"/>
          <w:lang w:val="en-US"/>
        </w:rPr>
        <w:t xml:space="preserve">achieve </w:t>
      </w:r>
      <w:r w:rsidR="00C00C7E">
        <w:rPr>
          <w:rFonts w:cs="Times New Roman"/>
          <w:szCs w:val="24"/>
          <w:lang w:val="en-US"/>
        </w:rPr>
        <w:t>households’ or community’s livelihood outcomes</w:t>
      </w:r>
      <w:r>
        <w:rPr>
          <w:rFonts w:cs="Times New Roman"/>
          <w:szCs w:val="24"/>
          <w:lang w:val="en-US"/>
        </w:rPr>
        <w:t>.</w:t>
      </w:r>
      <w:r w:rsidR="007F0CE1">
        <w:rPr>
          <w:rFonts w:cs="Times New Roman"/>
          <w:szCs w:val="24"/>
          <w:lang w:val="en-US"/>
        </w:rPr>
        <w:t xml:space="preserve"> </w:t>
      </w:r>
    </w:p>
    <w:p w14:paraId="2870EA6B" w14:textId="77777777" w:rsidR="007B1412" w:rsidRDefault="007B1412" w:rsidP="0025548D">
      <w:pPr>
        <w:tabs>
          <w:tab w:val="left" w:pos="3807"/>
        </w:tabs>
        <w:spacing w:after="0"/>
        <w:jc w:val="center"/>
        <w:rPr>
          <w:rFonts w:cs="Times New Roman"/>
          <w:b/>
          <w:i/>
          <w:szCs w:val="24"/>
          <w:lang w:val="en-US"/>
        </w:rPr>
      </w:pPr>
      <w:r>
        <w:rPr>
          <w:rFonts w:cs="Times New Roman"/>
          <w:b/>
          <w:i/>
          <w:noProof/>
          <w:szCs w:val="24"/>
          <w:lang w:eastAsia="en-GB"/>
        </w:rPr>
        <w:lastRenderedPageBreak/>
        <w:drawing>
          <wp:inline distT="0" distB="0" distL="0" distR="0" wp14:anchorId="5E70896D" wp14:editId="32EAF7E6">
            <wp:extent cx="4871549" cy="633178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68588" cy="6327940"/>
                    </a:xfrm>
                    <a:prstGeom prst="rect">
                      <a:avLst/>
                    </a:prstGeom>
                    <a:noFill/>
                  </pic:spPr>
                </pic:pic>
              </a:graphicData>
            </a:graphic>
          </wp:inline>
        </w:drawing>
      </w:r>
    </w:p>
    <w:p w14:paraId="70D2B4D7" w14:textId="02BEA485" w:rsidR="007B1412" w:rsidRDefault="002A7763" w:rsidP="00190D36">
      <w:pPr>
        <w:pStyle w:val="Caption"/>
        <w:spacing w:after="0"/>
        <w:rPr>
          <w:lang w:val="en-US"/>
        </w:rPr>
      </w:pPr>
      <w:bookmarkStart w:id="19" w:name="_Toc483361407"/>
      <w:proofErr w:type="gramStart"/>
      <w:r>
        <w:t xml:space="preserve">Figure </w:t>
      </w:r>
      <w:r>
        <w:fldChar w:fldCharType="begin"/>
      </w:r>
      <w:r>
        <w:instrText xml:space="preserve"> SEQ Figure \* ARABIC </w:instrText>
      </w:r>
      <w:r>
        <w:fldChar w:fldCharType="separate"/>
      </w:r>
      <w:r>
        <w:rPr>
          <w:noProof/>
        </w:rPr>
        <w:t>2</w:t>
      </w:r>
      <w:r>
        <w:fldChar w:fldCharType="end"/>
      </w:r>
      <w:r>
        <w:t>.</w:t>
      </w:r>
      <w:proofErr w:type="gramEnd"/>
      <w:r>
        <w:t xml:space="preserve"> </w:t>
      </w:r>
      <w:proofErr w:type="gramStart"/>
      <w:r w:rsidR="007B1412" w:rsidRPr="00466DE4">
        <w:t xml:space="preserve">Conceptual framework of </w:t>
      </w:r>
      <w:r w:rsidR="007F0CE1">
        <w:t>the study being based on Sustainable Livelihood Framework (</w:t>
      </w:r>
      <w:r w:rsidR="007F0CE1" w:rsidRPr="00C3608C">
        <w:rPr>
          <w:rFonts w:cs="Times New Roman"/>
          <w:lang w:val="en-US"/>
        </w:rPr>
        <w:t>DFID. 1999</w:t>
      </w:r>
      <w:r w:rsidR="007F0CE1">
        <w:rPr>
          <w:rFonts w:cs="Times New Roman"/>
          <w:lang w:val="en-US"/>
        </w:rPr>
        <w:t xml:space="preserve">, </w:t>
      </w:r>
      <w:r w:rsidR="00C00C7E">
        <w:rPr>
          <w:rFonts w:cs="Times New Roman"/>
          <w:lang w:val="en-US"/>
        </w:rPr>
        <w:t>figure 2</w:t>
      </w:r>
      <w:r w:rsidR="007F0CE1">
        <w:rPr>
          <w:rFonts w:cs="Times New Roman"/>
          <w:lang w:val="en-US"/>
        </w:rPr>
        <w:t>a</w:t>
      </w:r>
      <w:r w:rsidR="007F0CE1" w:rsidRPr="00C3608C">
        <w:rPr>
          <w:rFonts w:cs="Times New Roman"/>
          <w:lang w:val="en-US"/>
        </w:rPr>
        <w:t xml:space="preserve">), </w:t>
      </w:r>
      <w:r w:rsidR="007F0CE1">
        <w:rPr>
          <w:rFonts w:cs="Times New Roman"/>
          <w:lang w:val="en-US"/>
        </w:rPr>
        <w:t xml:space="preserve">and </w:t>
      </w:r>
      <w:r w:rsidR="00C00C7E">
        <w:t>livelihood resilience (</w:t>
      </w:r>
      <w:proofErr w:type="spellStart"/>
      <w:r w:rsidR="00C00C7E">
        <w:t>Speranza</w:t>
      </w:r>
      <w:proofErr w:type="spellEnd"/>
      <w:r w:rsidR="00C00C7E">
        <w:t xml:space="preserve"> et al., 2014; Figure 2b).</w:t>
      </w:r>
      <w:proofErr w:type="gramEnd"/>
      <w:r w:rsidR="00C00C7E">
        <w:t xml:space="preserve"> </w:t>
      </w:r>
      <w:r w:rsidR="00190D36">
        <w:t xml:space="preserve"> </w:t>
      </w:r>
      <w:r w:rsidR="00C00C7E" w:rsidRPr="00B35C64">
        <w:rPr>
          <w:lang w:val="en-US"/>
        </w:rPr>
        <w:t>Source: F</w:t>
      </w:r>
      <w:r w:rsidR="007B1412" w:rsidRPr="00B35C64">
        <w:rPr>
          <w:lang w:val="en-US"/>
        </w:rPr>
        <w:t>igure</w:t>
      </w:r>
      <w:r w:rsidR="00C00C7E" w:rsidRPr="00B35C64">
        <w:rPr>
          <w:lang w:val="en-US"/>
        </w:rPr>
        <w:t xml:space="preserve"> taken from </w:t>
      </w:r>
      <w:r w:rsidR="007B1412" w:rsidRPr="00B35C64">
        <w:rPr>
          <w:lang w:val="en-US"/>
        </w:rPr>
        <w:t xml:space="preserve">Le et al. </w:t>
      </w:r>
      <w:r w:rsidR="00C00C7E">
        <w:rPr>
          <w:lang w:val="en-US"/>
        </w:rPr>
        <w:t>(</w:t>
      </w:r>
      <w:r w:rsidR="007B1412" w:rsidRPr="00C3608C">
        <w:rPr>
          <w:lang w:val="en-US"/>
        </w:rPr>
        <w:t>in prep.)</w:t>
      </w:r>
      <w:bookmarkEnd w:id="19"/>
    </w:p>
    <w:p w14:paraId="4B1870A9" w14:textId="77777777" w:rsidR="008716C9" w:rsidRPr="008716C9" w:rsidRDefault="008716C9" w:rsidP="008716C9">
      <w:pPr>
        <w:rPr>
          <w:lang w:val="en-US"/>
        </w:rPr>
      </w:pPr>
    </w:p>
    <w:p w14:paraId="793AF7C2" w14:textId="53CF20B0" w:rsidR="00C00C7E" w:rsidRDefault="00C00C7E" w:rsidP="00EF3F9A">
      <w:pPr>
        <w:tabs>
          <w:tab w:val="left" w:pos="3807"/>
        </w:tabs>
        <w:spacing w:line="276" w:lineRule="auto"/>
        <w:rPr>
          <w:rFonts w:cs="Times New Roman"/>
          <w:szCs w:val="24"/>
          <w:lang w:val="en-US"/>
        </w:rPr>
      </w:pPr>
      <w:r>
        <w:rPr>
          <w:rFonts w:cs="Times New Roman"/>
          <w:szCs w:val="24"/>
          <w:lang w:val="en-US"/>
        </w:rPr>
        <w:t xml:space="preserve">From the resilience approach, the five livelihood assets are interactively determining the buffering capacity of the livelihood systems. Furthermore, the adaptability and </w:t>
      </w:r>
      <w:r>
        <w:rPr>
          <w:rFonts w:cs="Times New Roman"/>
          <w:szCs w:val="24"/>
          <w:lang w:val="en-US"/>
        </w:rPr>
        <w:lastRenderedPageBreak/>
        <w:t>transformability of household livelihoods will be determined by its and community’s self-organizing and capacities and learning capacities (</w:t>
      </w:r>
      <w:proofErr w:type="spellStart"/>
      <w:r>
        <w:rPr>
          <w:rFonts w:cs="Times New Roman"/>
          <w:szCs w:val="24"/>
          <w:lang w:val="en-US"/>
        </w:rPr>
        <w:t>Speranza</w:t>
      </w:r>
      <w:proofErr w:type="spellEnd"/>
      <w:r>
        <w:rPr>
          <w:rFonts w:cs="Times New Roman"/>
          <w:szCs w:val="24"/>
          <w:lang w:val="en-US"/>
        </w:rPr>
        <w:t xml:space="preserve"> et al., 2014). The essential elements for household’s and community’s self-organizing and learning capacities in relation with livelihood assets are showed in Figure 3b.</w:t>
      </w:r>
    </w:p>
    <w:p w14:paraId="4C25D162" w14:textId="66BA29A7" w:rsidR="00C00C7E" w:rsidRDefault="00C00C7E" w:rsidP="00EF3F9A">
      <w:pPr>
        <w:spacing w:line="276" w:lineRule="auto"/>
        <w:rPr>
          <w:rFonts w:cs="Times New Roman"/>
          <w:szCs w:val="24"/>
          <w:lang w:val="en-US"/>
        </w:rPr>
      </w:pPr>
      <w:r>
        <w:rPr>
          <w:rFonts w:cs="Times New Roman"/>
          <w:szCs w:val="24"/>
          <w:lang w:val="en-US"/>
        </w:rPr>
        <w:t>This conceptual framework will be used to guide the development of the contents of our livelihood surveys, analyses and assessments.</w:t>
      </w:r>
    </w:p>
    <w:p w14:paraId="2CF0F19F" w14:textId="3788AC70" w:rsidR="006E3546" w:rsidRPr="008618E9" w:rsidRDefault="008618E9" w:rsidP="00190D36">
      <w:pPr>
        <w:pStyle w:val="Heading3"/>
      </w:pPr>
      <w:bookmarkStart w:id="20" w:name="_Toc483361456"/>
      <w:r w:rsidRPr="008618E9">
        <w:t xml:space="preserve">2.2.2. </w:t>
      </w:r>
      <w:r w:rsidR="006E3546" w:rsidRPr="008618E9">
        <w:t>Sampling strategy</w:t>
      </w:r>
      <w:bookmarkEnd w:id="20"/>
    </w:p>
    <w:p w14:paraId="32722C84" w14:textId="5329982C" w:rsidR="00093A46" w:rsidRDefault="00A85FF1" w:rsidP="00EF3F9A">
      <w:pPr>
        <w:spacing w:line="276" w:lineRule="auto"/>
        <w:rPr>
          <w:rFonts w:cs="Times New Roman"/>
          <w:szCs w:val="24"/>
          <w:lang w:val="en-US"/>
        </w:rPr>
      </w:pPr>
      <w:r w:rsidRPr="00093A46">
        <w:rPr>
          <w:rFonts w:cs="Times New Roman"/>
          <w:szCs w:val="24"/>
          <w:lang w:val="en-US"/>
        </w:rPr>
        <w:t>The</w:t>
      </w:r>
      <w:r w:rsidR="00093A46" w:rsidRPr="00093A46">
        <w:rPr>
          <w:rFonts w:cs="Times New Roman"/>
          <w:szCs w:val="24"/>
          <w:lang w:val="en-US"/>
        </w:rPr>
        <w:t xml:space="preserve"> </w:t>
      </w:r>
      <w:r>
        <w:rPr>
          <w:rFonts w:cs="Times New Roman"/>
          <w:szCs w:val="24"/>
          <w:lang w:val="en-US"/>
        </w:rPr>
        <w:t>study target the</w:t>
      </w:r>
      <w:r w:rsidRPr="00093A46">
        <w:rPr>
          <w:rFonts w:cs="Times New Roman"/>
          <w:szCs w:val="24"/>
          <w:lang w:val="en-US"/>
        </w:rPr>
        <w:t xml:space="preserve"> </w:t>
      </w:r>
      <w:r w:rsidR="00093A46" w:rsidRPr="00093A46">
        <w:rPr>
          <w:rFonts w:cs="Times New Roman"/>
          <w:szCs w:val="24"/>
          <w:lang w:val="en-US"/>
        </w:rPr>
        <w:t xml:space="preserve">Syrian </w:t>
      </w:r>
      <w:r w:rsidRPr="00093A46">
        <w:rPr>
          <w:rFonts w:cs="Times New Roman"/>
          <w:szCs w:val="24"/>
          <w:lang w:val="en-US"/>
        </w:rPr>
        <w:t>refugees’</w:t>
      </w:r>
      <w:r w:rsidR="00093A46" w:rsidRPr="00093A46">
        <w:rPr>
          <w:rFonts w:cs="Times New Roman"/>
          <w:szCs w:val="24"/>
          <w:lang w:val="en-US"/>
        </w:rPr>
        <w:t xml:space="preserve"> </w:t>
      </w:r>
      <w:r>
        <w:rPr>
          <w:rFonts w:cs="Times New Roman"/>
          <w:szCs w:val="24"/>
          <w:lang w:val="en-US"/>
        </w:rPr>
        <w:t xml:space="preserve">farm-households </w:t>
      </w:r>
      <w:r w:rsidR="00093A46" w:rsidRPr="00093A46">
        <w:rPr>
          <w:rFonts w:cs="Times New Roman"/>
          <w:szCs w:val="24"/>
          <w:lang w:val="en-US"/>
        </w:rPr>
        <w:t>working in agriculture</w:t>
      </w:r>
      <w:r>
        <w:rPr>
          <w:rFonts w:cs="Times New Roman"/>
          <w:szCs w:val="24"/>
          <w:lang w:val="en-US"/>
        </w:rPr>
        <w:t xml:space="preserve"> and living outside refugees camps in the </w:t>
      </w:r>
      <w:r w:rsidR="00EA6983">
        <w:rPr>
          <w:rFonts w:cs="Times New Roman"/>
          <w:szCs w:val="24"/>
          <w:lang w:val="en-US"/>
        </w:rPr>
        <w:t xml:space="preserve">four locations </w:t>
      </w:r>
      <w:r w:rsidR="008716C9">
        <w:rPr>
          <w:rFonts w:cs="Times New Roman"/>
          <w:szCs w:val="24"/>
          <w:lang w:val="en-US"/>
        </w:rPr>
        <w:t xml:space="preserve">targeted by IFAD project: the Governorates of Amman, </w:t>
      </w:r>
      <w:proofErr w:type="spellStart"/>
      <w:r w:rsidR="008716C9">
        <w:rPr>
          <w:rFonts w:cs="Times New Roman"/>
          <w:szCs w:val="24"/>
          <w:lang w:val="en-US"/>
        </w:rPr>
        <w:t>Madaba</w:t>
      </w:r>
      <w:proofErr w:type="spellEnd"/>
      <w:r w:rsidR="008716C9">
        <w:rPr>
          <w:rFonts w:cs="Times New Roman"/>
          <w:szCs w:val="24"/>
          <w:lang w:val="en-US"/>
        </w:rPr>
        <w:t xml:space="preserve">, Irbid and </w:t>
      </w:r>
      <w:proofErr w:type="spellStart"/>
      <w:r w:rsidR="008716C9">
        <w:rPr>
          <w:rFonts w:cs="Times New Roman"/>
          <w:szCs w:val="24"/>
          <w:lang w:val="en-US"/>
        </w:rPr>
        <w:t>Mafraq</w:t>
      </w:r>
      <w:proofErr w:type="spellEnd"/>
      <w:r w:rsidR="008716C9">
        <w:rPr>
          <w:rFonts w:cs="Times New Roman"/>
          <w:szCs w:val="24"/>
          <w:lang w:val="en-US"/>
        </w:rPr>
        <w:t>.</w:t>
      </w:r>
      <w:r w:rsidR="004F62AC">
        <w:rPr>
          <w:rFonts w:cs="Times New Roman"/>
          <w:szCs w:val="24"/>
          <w:lang w:val="en-US"/>
        </w:rPr>
        <w:t xml:space="preserve"> As shown in the</w:t>
      </w:r>
      <w:r w:rsidR="002E59C4">
        <w:rPr>
          <w:rFonts w:cs="Times New Roman"/>
          <w:szCs w:val="24"/>
          <w:lang w:val="en-US"/>
        </w:rPr>
        <w:t xml:space="preserve"> work</w:t>
      </w:r>
      <w:r w:rsidR="004F62AC">
        <w:rPr>
          <w:rFonts w:cs="Times New Roman"/>
          <w:szCs w:val="24"/>
          <w:lang w:val="en-US"/>
        </w:rPr>
        <w:t xml:space="preserve"> flow</w:t>
      </w:r>
      <w:r w:rsidR="00EA6DC2">
        <w:rPr>
          <w:rFonts w:cs="Times New Roman"/>
          <w:szCs w:val="24"/>
          <w:lang w:val="en-US"/>
        </w:rPr>
        <w:t xml:space="preserve"> (Fig.</w:t>
      </w:r>
      <w:r w:rsidR="002E59C4">
        <w:rPr>
          <w:rFonts w:cs="Times New Roman"/>
          <w:szCs w:val="24"/>
          <w:lang w:val="en-US"/>
        </w:rPr>
        <w:t xml:space="preserve"> 3</w:t>
      </w:r>
      <w:r w:rsidR="00EA6DC2">
        <w:rPr>
          <w:rFonts w:cs="Times New Roman"/>
          <w:szCs w:val="24"/>
          <w:lang w:val="en-US"/>
        </w:rPr>
        <w:t>)</w:t>
      </w:r>
      <w:r w:rsidR="004F62AC">
        <w:rPr>
          <w:rFonts w:cs="Times New Roman"/>
          <w:szCs w:val="24"/>
          <w:lang w:val="en-US"/>
        </w:rPr>
        <w:t xml:space="preserve">, the sampling strategy </w:t>
      </w:r>
      <w:r w:rsidR="008716C9">
        <w:rPr>
          <w:rFonts w:cs="Times New Roman"/>
          <w:szCs w:val="24"/>
          <w:lang w:val="en-US"/>
        </w:rPr>
        <w:t>is</w:t>
      </w:r>
      <w:r w:rsidR="004F62AC">
        <w:rPr>
          <w:rFonts w:cs="Times New Roman"/>
          <w:szCs w:val="24"/>
          <w:lang w:val="en-US"/>
        </w:rPr>
        <w:t xml:space="preserve"> </w:t>
      </w:r>
      <w:r w:rsidR="00EA6DC2">
        <w:rPr>
          <w:rFonts w:cs="Times New Roman"/>
          <w:szCs w:val="24"/>
          <w:lang w:val="en-US"/>
        </w:rPr>
        <w:t>as follow</w:t>
      </w:r>
      <w:r w:rsidR="004F62AC">
        <w:rPr>
          <w:rFonts w:cs="Times New Roman"/>
          <w:szCs w:val="24"/>
          <w:lang w:val="en-US"/>
        </w:rPr>
        <w:t>:</w:t>
      </w:r>
    </w:p>
    <w:p w14:paraId="61228FEE" w14:textId="6CFA8479" w:rsidR="004F62AC" w:rsidRDefault="00EA6DC2" w:rsidP="00EF3F9A">
      <w:pPr>
        <w:pStyle w:val="ListParagraph"/>
        <w:numPr>
          <w:ilvl w:val="0"/>
          <w:numId w:val="2"/>
        </w:numPr>
        <w:spacing w:after="120" w:line="276" w:lineRule="auto"/>
        <w:contextualSpacing w:val="0"/>
        <w:rPr>
          <w:rFonts w:cs="Times New Roman"/>
          <w:szCs w:val="24"/>
          <w:lang w:val="en-US"/>
        </w:rPr>
      </w:pPr>
      <w:r>
        <w:rPr>
          <w:rFonts w:cs="Times New Roman"/>
          <w:i/>
          <w:szCs w:val="24"/>
          <w:lang w:val="en-US"/>
        </w:rPr>
        <w:t>S</w:t>
      </w:r>
      <w:r w:rsidR="00BB08FC">
        <w:rPr>
          <w:rFonts w:cs="Times New Roman"/>
          <w:i/>
          <w:szCs w:val="24"/>
          <w:lang w:val="en-US"/>
        </w:rPr>
        <w:t>ampl</w:t>
      </w:r>
      <w:r>
        <w:rPr>
          <w:rFonts w:cs="Times New Roman"/>
          <w:i/>
          <w:szCs w:val="24"/>
          <w:lang w:val="en-US"/>
        </w:rPr>
        <w:t>ing</w:t>
      </w:r>
      <w:r w:rsidR="00BB08FC">
        <w:rPr>
          <w:rFonts w:cs="Times New Roman"/>
          <w:i/>
          <w:szCs w:val="24"/>
          <w:lang w:val="en-US"/>
        </w:rPr>
        <w:t xml:space="preserve"> for </w:t>
      </w:r>
      <w:r w:rsidR="004F62AC" w:rsidRPr="004F62AC">
        <w:rPr>
          <w:rFonts w:cs="Times New Roman"/>
          <w:i/>
          <w:szCs w:val="24"/>
          <w:lang w:val="en-US"/>
        </w:rPr>
        <w:t>Focus group discussion and key informant interviews</w:t>
      </w:r>
      <w:r w:rsidR="004F62AC">
        <w:rPr>
          <w:rFonts w:cs="Times New Roman"/>
          <w:szCs w:val="24"/>
          <w:lang w:val="en-US"/>
        </w:rPr>
        <w:t xml:space="preserve">: the selection of the sample for the focus group discussion </w:t>
      </w:r>
      <w:r w:rsidR="008716C9">
        <w:rPr>
          <w:rFonts w:cs="Times New Roman"/>
          <w:szCs w:val="24"/>
          <w:lang w:val="en-US"/>
        </w:rPr>
        <w:t>was</w:t>
      </w:r>
      <w:r w:rsidR="004F62AC">
        <w:rPr>
          <w:rFonts w:cs="Times New Roman"/>
          <w:szCs w:val="24"/>
          <w:lang w:val="en-US"/>
        </w:rPr>
        <w:t xml:space="preserve"> guided by information provided by UNCHR as to relevant resource persons within Syrian </w:t>
      </w:r>
      <w:r w:rsidR="00BB08FC">
        <w:rPr>
          <w:rFonts w:cs="Times New Roman"/>
          <w:szCs w:val="24"/>
          <w:lang w:val="en-US"/>
        </w:rPr>
        <w:t>refugees’</w:t>
      </w:r>
      <w:r w:rsidR="004F62AC">
        <w:rPr>
          <w:rFonts w:cs="Times New Roman"/>
          <w:szCs w:val="24"/>
          <w:lang w:val="en-US"/>
        </w:rPr>
        <w:t xml:space="preserve"> population and within Jordanian population. These resources person</w:t>
      </w:r>
      <w:r w:rsidR="00BB08FC">
        <w:rPr>
          <w:rFonts w:cs="Times New Roman"/>
          <w:szCs w:val="24"/>
          <w:lang w:val="en-US"/>
        </w:rPr>
        <w:t>s</w:t>
      </w:r>
      <w:r w:rsidR="004F62AC">
        <w:rPr>
          <w:rFonts w:cs="Times New Roman"/>
          <w:szCs w:val="24"/>
          <w:lang w:val="en-US"/>
        </w:rPr>
        <w:t xml:space="preserve"> are expected to have a very </w:t>
      </w:r>
      <w:r w:rsidR="00BB08FC">
        <w:rPr>
          <w:rFonts w:cs="Times New Roman"/>
          <w:szCs w:val="24"/>
          <w:lang w:val="en-US"/>
        </w:rPr>
        <w:t xml:space="preserve">good </w:t>
      </w:r>
      <w:r w:rsidR="004F62AC">
        <w:rPr>
          <w:rFonts w:cs="Times New Roman"/>
          <w:szCs w:val="24"/>
          <w:lang w:val="en-US"/>
        </w:rPr>
        <w:t xml:space="preserve">understanding of the Syrian </w:t>
      </w:r>
      <w:r w:rsidR="00BB08FC">
        <w:rPr>
          <w:rFonts w:cs="Times New Roman"/>
          <w:szCs w:val="24"/>
          <w:lang w:val="en-US"/>
        </w:rPr>
        <w:t>refugees’</w:t>
      </w:r>
      <w:r w:rsidR="004F62AC">
        <w:rPr>
          <w:rFonts w:cs="Times New Roman"/>
          <w:szCs w:val="24"/>
          <w:lang w:val="en-US"/>
        </w:rPr>
        <w:t xml:space="preserve"> </w:t>
      </w:r>
      <w:r w:rsidR="00BB08FC">
        <w:rPr>
          <w:rFonts w:cs="Times New Roman"/>
          <w:szCs w:val="24"/>
          <w:lang w:val="en-US"/>
        </w:rPr>
        <w:t>socio-economic context, their problems, needs as well as the social, economic and environmental</w:t>
      </w:r>
      <w:r w:rsidR="008716C9">
        <w:rPr>
          <w:rFonts w:cs="Times New Roman"/>
          <w:szCs w:val="24"/>
          <w:lang w:val="en-US"/>
        </w:rPr>
        <w:t xml:space="preserve"> context of a selected location</w:t>
      </w:r>
      <w:r w:rsidR="00BB08FC">
        <w:rPr>
          <w:rFonts w:cs="Times New Roman"/>
          <w:szCs w:val="24"/>
          <w:lang w:val="en-US"/>
        </w:rPr>
        <w:t>;</w:t>
      </w:r>
    </w:p>
    <w:p w14:paraId="05F87E59" w14:textId="6B2E6AF7" w:rsidR="00BB08FC" w:rsidRPr="004F62AC" w:rsidRDefault="00EA6DC2" w:rsidP="00EF3F9A">
      <w:pPr>
        <w:pStyle w:val="ListParagraph"/>
        <w:numPr>
          <w:ilvl w:val="0"/>
          <w:numId w:val="2"/>
        </w:numPr>
        <w:spacing w:line="276" w:lineRule="auto"/>
        <w:rPr>
          <w:rFonts w:cs="Times New Roman"/>
          <w:szCs w:val="24"/>
          <w:lang w:val="en-US"/>
        </w:rPr>
      </w:pPr>
      <w:r>
        <w:rPr>
          <w:rFonts w:cs="Times New Roman"/>
          <w:i/>
          <w:szCs w:val="24"/>
          <w:lang w:val="en-US"/>
        </w:rPr>
        <w:t>S</w:t>
      </w:r>
      <w:r w:rsidR="00BB08FC">
        <w:rPr>
          <w:rFonts w:cs="Times New Roman"/>
          <w:i/>
          <w:szCs w:val="24"/>
          <w:lang w:val="en-US"/>
        </w:rPr>
        <w:t>ampl</w:t>
      </w:r>
      <w:r w:rsidR="00247D8B">
        <w:rPr>
          <w:rFonts w:cs="Times New Roman"/>
          <w:i/>
          <w:szCs w:val="24"/>
          <w:lang w:val="en-US"/>
        </w:rPr>
        <w:t>ing</w:t>
      </w:r>
      <w:r w:rsidR="00BB08FC">
        <w:rPr>
          <w:rFonts w:cs="Times New Roman"/>
          <w:i/>
          <w:szCs w:val="24"/>
          <w:lang w:val="en-US"/>
        </w:rPr>
        <w:t xml:space="preserve"> for household survey</w:t>
      </w:r>
      <w:r w:rsidR="00BB08FC" w:rsidRPr="00BB08FC">
        <w:rPr>
          <w:rFonts w:cs="Times New Roman"/>
          <w:szCs w:val="24"/>
          <w:lang w:val="en-US"/>
        </w:rPr>
        <w:t>:</w:t>
      </w:r>
      <w:r w:rsidR="00BB08FC">
        <w:rPr>
          <w:rFonts w:cs="Times New Roman"/>
          <w:szCs w:val="24"/>
          <w:lang w:val="en-US"/>
        </w:rPr>
        <w:t xml:space="preserve"> </w:t>
      </w:r>
      <w:r w:rsidR="009A2D1A">
        <w:rPr>
          <w:rFonts w:cs="Times New Roman"/>
          <w:szCs w:val="24"/>
          <w:lang w:val="en-US"/>
        </w:rPr>
        <w:t xml:space="preserve">The </w:t>
      </w:r>
      <w:r w:rsidR="009A2D1A" w:rsidRPr="009A2D1A">
        <w:rPr>
          <w:rFonts w:cs="Times New Roman"/>
          <w:szCs w:val="24"/>
          <w:lang w:val="en-US"/>
        </w:rPr>
        <w:t>Focus group discussion and key informant interviews</w:t>
      </w:r>
      <w:r w:rsidR="009A2D1A">
        <w:rPr>
          <w:rFonts w:cs="Times New Roman"/>
          <w:szCs w:val="24"/>
          <w:lang w:val="en-US"/>
        </w:rPr>
        <w:t xml:space="preserve"> allow</w:t>
      </w:r>
      <w:r w:rsidR="008716C9">
        <w:rPr>
          <w:rFonts w:cs="Times New Roman"/>
          <w:szCs w:val="24"/>
          <w:lang w:val="en-US"/>
        </w:rPr>
        <w:t>ed</w:t>
      </w:r>
      <w:r w:rsidR="009A2D1A">
        <w:rPr>
          <w:rFonts w:cs="Times New Roman"/>
          <w:szCs w:val="24"/>
          <w:lang w:val="en-US"/>
        </w:rPr>
        <w:t xml:space="preserve"> identifying main wealth group</w:t>
      </w:r>
      <w:r w:rsidR="00BE75DF">
        <w:rPr>
          <w:rFonts w:cs="Times New Roman"/>
          <w:szCs w:val="24"/>
          <w:lang w:val="en-US"/>
        </w:rPr>
        <w:t>s</w:t>
      </w:r>
      <w:r w:rsidR="009A2D1A">
        <w:rPr>
          <w:rFonts w:cs="Times New Roman"/>
          <w:szCs w:val="24"/>
          <w:lang w:val="en-US"/>
        </w:rPr>
        <w:t xml:space="preserve"> for each location. The criteria of each wealth group membership </w:t>
      </w:r>
      <w:r w:rsidR="008716C9">
        <w:rPr>
          <w:rFonts w:cs="Times New Roman"/>
          <w:szCs w:val="24"/>
          <w:lang w:val="en-US"/>
        </w:rPr>
        <w:t>were defined by the focus group</w:t>
      </w:r>
      <w:r w:rsidR="00BE75DF">
        <w:rPr>
          <w:rFonts w:cs="Times New Roman"/>
          <w:szCs w:val="24"/>
          <w:lang w:val="en-US"/>
        </w:rPr>
        <w:t xml:space="preserve"> participant</w:t>
      </w:r>
      <w:r w:rsidR="008716C9">
        <w:rPr>
          <w:rFonts w:cs="Times New Roman"/>
          <w:szCs w:val="24"/>
          <w:lang w:val="en-US"/>
        </w:rPr>
        <w:t>s</w:t>
      </w:r>
      <w:r w:rsidR="009A2D1A">
        <w:rPr>
          <w:rFonts w:cs="Times New Roman"/>
          <w:szCs w:val="24"/>
          <w:lang w:val="en-US"/>
        </w:rPr>
        <w:t xml:space="preserve">. </w:t>
      </w:r>
      <w:r w:rsidR="008716C9">
        <w:rPr>
          <w:rFonts w:cs="Times New Roman"/>
          <w:szCs w:val="24"/>
          <w:lang w:val="en-US"/>
        </w:rPr>
        <w:t>A</w:t>
      </w:r>
      <w:r w:rsidR="00247D8B">
        <w:rPr>
          <w:rFonts w:cs="Times New Roman"/>
          <w:szCs w:val="24"/>
          <w:lang w:val="en-US"/>
        </w:rPr>
        <w:t xml:space="preserve"> total number of </w:t>
      </w:r>
      <w:r w:rsidR="008716C9">
        <w:rPr>
          <w:rFonts w:cs="Times New Roman"/>
          <w:szCs w:val="24"/>
          <w:lang w:val="en-US"/>
        </w:rPr>
        <w:t xml:space="preserve">374 </w:t>
      </w:r>
      <w:r w:rsidR="00247D8B" w:rsidRPr="00213EDA">
        <w:rPr>
          <w:rFonts w:cs="Times New Roman"/>
          <w:szCs w:val="24"/>
          <w:lang w:val="en-US"/>
        </w:rPr>
        <w:t>households</w:t>
      </w:r>
      <w:r w:rsidR="00247D8B">
        <w:rPr>
          <w:rFonts w:cs="Times New Roman"/>
          <w:szCs w:val="24"/>
          <w:lang w:val="en-US"/>
        </w:rPr>
        <w:t xml:space="preserve"> </w:t>
      </w:r>
      <w:r w:rsidR="008716C9">
        <w:rPr>
          <w:rFonts w:cs="Times New Roman"/>
          <w:szCs w:val="24"/>
          <w:lang w:val="en-US"/>
        </w:rPr>
        <w:t>were surveyed in</w:t>
      </w:r>
      <w:r w:rsidR="00247D8B">
        <w:rPr>
          <w:rFonts w:cs="Times New Roman"/>
          <w:szCs w:val="24"/>
          <w:lang w:val="en-US"/>
        </w:rPr>
        <w:t xml:space="preserve"> the four locations.</w:t>
      </w:r>
    </w:p>
    <w:p w14:paraId="2913CA7D" w14:textId="77777777" w:rsidR="00A06B63" w:rsidRDefault="00A06B63" w:rsidP="00783D52">
      <w:pPr>
        <w:rPr>
          <w:rFonts w:cs="Times New Roman"/>
          <w:szCs w:val="24"/>
          <w:lang w:val="en-US"/>
        </w:rPr>
      </w:pPr>
    </w:p>
    <w:p w14:paraId="379F6CB6" w14:textId="77777777" w:rsidR="0025548D" w:rsidRDefault="0025548D" w:rsidP="00783D52">
      <w:pPr>
        <w:rPr>
          <w:rFonts w:cs="Times New Roman"/>
          <w:szCs w:val="24"/>
          <w:lang w:val="en-US"/>
        </w:rPr>
      </w:pPr>
    </w:p>
    <w:p w14:paraId="5DDF735A" w14:textId="77777777" w:rsidR="0025548D" w:rsidRDefault="0025548D" w:rsidP="0025548D">
      <w:pPr>
        <w:spacing w:after="0"/>
        <w:rPr>
          <w:rFonts w:cs="Times New Roman"/>
          <w:szCs w:val="24"/>
          <w:lang w:val="en-US"/>
        </w:rPr>
      </w:pPr>
    </w:p>
    <w:p w14:paraId="774BF30D" w14:textId="380A426B" w:rsidR="00BE75DF" w:rsidRDefault="00BB73EA" w:rsidP="00BB73EA">
      <w:pPr>
        <w:tabs>
          <w:tab w:val="left" w:pos="3807"/>
        </w:tabs>
        <w:spacing w:after="0"/>
        <w:rPr>
          <w:rFonts w:cs="Times New Roman"/>
          <w:szCs w:val="24"/>
          <w:lang w:val="en-US"/>
        </w:rPr>
      </w:pPr>
      <w:r>
        <w:rPr>
          <w:rFonts w:cs="Times New Roman"/>
          <w:noProof/>
          <w:szCs w:val="24"/>
          <w:lang w:eastAsia="en-GB"/>
        </w:rPr>
        <w:lastRenderedPageBreak/>
        <w:drawing>
          <wp:inline distT="0" distB="0" distL="0" distR="0" wp14:anchorId="19D2DE57" wp14:editId="4D92382E">
            <wp:extent cx="6492240" cy="475224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92240" cy="4752245"/>
                    </a:xfrm>
                    <a:prstGeom prst="rect">
                      <a:avLst/>
                    </a:prstGeom>
                    <a:noFill/>
                  </pic:spPr>
                </pic:pic>
              </a:graphicData>
            </a:graphic>
          </wp:inline>
        </w:drawing>
      </w:r>
    </w:p>
    <w:p w14:paraId="37B82B2A" w14:textId="2F28E4CB" w:rsidR="00E9289D" w:rsidRDefault="002A7763" w:rsidP="002A7763">
      <w:pPr>
        <w:pStyle w:val="Caption"/>
        <w:rPr>
          <w:lang w:val="en-US"/>
        </w:rPr>
      </w:pPr>
      <w:bookmarkStart w:id="21" w:name="_Toc483361408"/>
      <w:proofErr w:type="gramStart"/>
      <w:r>
        <w:t xml:space="preserve">Figure </w:t>
      </w:r>
      <w:r>
        <w:fldChar w:fldCharType="begin"/>
      </w:r>
      <w:r>
        <w:instrText xml:space="preserve"> SEQ Figure \* ARABIC </w:instrText>
      </w:r>
      <w:r>
        <w:fldChar w:fldCharType="separate"/>
      </w:r>
      <w:r>
        <w:rPr>
          <w:noProof/>
        </w:rPr>
        <w:t>3</w:t>
      </w:r>
      <w:r>
        <w:fldChar w:fldCharType="end"/>
      </w:r>
      <w:r w:rsidR="00E9289D" w:rsidRPr="00466DE4">
        <w:rPr>
          <w:lang w:val="en-US"/>
        </w:rPr>
        <w:t>.</w:t>
      </w:r>
      <w:proofErr w:type="gramEnd"/>
      <w:r w:rsidR="00E9289D" w:rsidRPr="00466DE4">
        <w:rPr>
          <w:lang w:val="en-US"/>
        </w:rPr>
        <w:t xml:space="preserve"> </w:t>
      </w:r>
      <w:r w:rsidR="00C00C7E">
        <w:rPr>
          <w:lang w:val="en-US"/>
        </w:rPr>
        <w:t>Work flow of the study</w:t>
      </w:r>
      <w:bookmarkEnd w:id="21"/>
    </w:p>
    <w:p w14:paraId="7AEE08B5" w14:textId="77777777" w:rsidR="00AA7376" w:rsidRPr="00AA7376" w:rsidRDefault="00AA7376" w:rsidP="00AA7376">
      <w:pPr>
        <w:spacing w:after="0"/>
        <w:rPr>
          <w:lang w:val="en-US"/>
        </w:rPr>
      </w:pPr>
    </w:p>
    <w:p w14:paraId="16CEAE27" w14:textId="77777777" w:rsidR="0014725B" w:rsidRPr="00E60353" w:rsidRDefault="00783D52" w:rsidP="00190D36">
      <w:pPr>
        <w:pStyle w:val="Heading2"/>
      </w:pPr>
      <w:bookmarkStart w:id="22" w:name="_Toc483361457"/>
      <w:r w:rsidRPr="00E60353">
        <w:t>2.</w:t>
      </w:r>
      <w:r w:rsidR="00247D8B" w:rsidRPr="00E60353">
        <w:t>3</w:t>
      </w:r>
      <w:r w:rsidRPr="00E60353">
        <w:t xml:space="preserve">. </w:t>
      </w:r>
      <w:r w:rsidR="006E3546" w:rsidRPr="00E60353">
        <w:t xml:space="preserve">Regional </w:t>
      </w:r>
      <w:r w:rsidR="0014725B" w:rsidRPr="00E60353">
        <w:t>Context assessment</w:t>
      </w:r>
      <w:bookmarkEnd w:id="22"/>
    </w:p>
    <w:p w14:paraId="2496441D" w14:textId="4565DD84" w:rsidR="004838F5" w:rsidRDefault="00703A9D" w:rsidP="00EF3F9A">
      <w:pPr>
        <w:spacing w:line="276" w:lineRule="auto"/>
        <w:rPr>
          <w:rFonts w:cs="Times New Roman"/>
          <w:b/>
          <w:szCs w:val="24"/>
          <w:lang w:val="en-US"/>
        </w:rPr>
      </w:pPr>
      <w:r>
        <w:rPr>
          <w:rFonts w:cs="Times New Roman"/>
          <w:szCs w:val="24"/>
        </w:rPr>
        <w:t xml:space="preserve">Focus </w:t>
      </w:r>
      <w:r w:rsidR="002E59C4">
        <w:rPr>
          <w:rFonts w:cs="Times New Roman"/>
          <w:szCs w:val="24"/>
        </w:rPr>
        <w:t>G</w:t>
      </w:r>
      <w:r>
        <w:rPr>
          <w:rFonts w:cs="Times New Roman"/>
          <w:szCs w:val="24"/>
        </w:rPr>
        <w:t xml:space="preserve">roups </w:t>
      </w:r>
      <w:r w:rsidR="002E59C4">
        <w:rPr>
          <w:rFonts w:cs="Times New Roman"/>
          <w:szCs w:val="24"/>
        </w:rPr>
        <w:t>D</w:t>
      </w:r>
      <w:r>
        <w:rPr>
          <w:rFonts w:cs="Times New Roman"/>
          <w:szCs w:val="24"/>
        </w:rPr>
        <w:t>iscussion</w:t>
      </w:r>
      <w:r w:rsidR="00783D52">
        <w:rPr>
          <w:rFonts w:cs="Times New Roman"/>
          <w:szCs w:val="24"/>
        </w:rPr>
        <w:t>s</w:t>
      </w:r>
      <w:r w:rsidR="002E59C4">
        <w:rPr>
          <w:rFonts w:cs="Times New Roman"/>
          <w:szCs w:val="24"/>
        </w:rPr>
        <w:t xml:space="preserve"> (FGD)</w:t>
      </w:r>
      <w:r>
        <w:rPr>
          <w:rFonts w:cs="Times New Roman"/>
          <w:szCs w:val="24"/>
        </w:rPr>
        <w:t xml:space="preserve"> and key informant interviews </w:t>
      </w:r>
      <w:r w:rsidR="00AA7376">
        <w:rPr>
          <w:rFonts w:cs="Times New Roman"/>
          <w:szCs w:val="24"/>
        </w:rPr>
        <w:t>were</w:t>
      </w:r>
      <w:r>
        <w:rPr>
          <w:rFonts w:cs="Times New Roman"/>
          <w:szCs w:val="24"/>
        </w:rPr>
        <w:t xml:space="preserve"> used</w:t>
      </w:r>
      <w:r w:rsidR="009B5CE8">
        <w:rPr>
          <w:rFonts w:cs="Times New Roman"/>
          <w:szCs w:val="24"/>
        </w:rPr>
        <w:t xml:space="preserve"> for the context assessment</w:t>
      </w:r>
      <w:r>
        <w:rPr>
          <w:rFonts w:cs="Times New Roman"/>
          <w:szCs w:val="24"/>
        </w:rPr>
        <w:t>.</w:t>
      </w:r>
      <w:r w:rsidR="00AA7376">
        <w:rPr>
          <w:rFonts w:cs="Times New Roman"/>
          <w:szCs w:val="24"/>
        </w:rPr>
        <w:t xml:space="preserve"> </w:t>
      </w:r>
      <w:r w:rsidR="009B5CE8" w:rsidRPr="009B5CE8">
        <w:rPr>
          <w:rFonts w:cs="Times New Roman"/>
          <w:szCs w:val="24"/>
          <w:lang w:val="en-US"/>
        </w:rPr>
        <w:t xml:space="preserve">The </w:t>
      </w:r>
      <w:r w:rsidR="009B5CE8">
        <w:rPr>
          <w:rFonts w:cs="Times New Roman"/>
          <w:szCs w:val="24"/>
          <w:lang w:val="en-US"/>
        </w:rPr>
        <w:t>group discussion</w:t>
      </w:r>
      <w:r w:rsidR="00F56A17">
        <w:rPr>
          <w:rFonts w:cs="Times New Roman"/>
          <w:szCs w:val="24"/>
          <w:lang w:val="en-US"/>
        </w:rPr>
        <w:t>s</w:t>
      </w:r>
      <w:r w:rsidR="009B5CE8">
        <w:rPr>
          <w:rFonts w:cs="Times New Roman"/>
          <w:szCs w:val="24"/>
          <w:lang w:val="en-US"/>
        </w:rPr>
        <w:t xml:space="preserve"> target</w:t>
      </w:r>
      <w:r w:rsidR="00AA7376">
        <w:rPr>
          <w:rFonts w:cs="Times New Roman"/>
          <w:szCs w:val="24"/>
          <w:lang w:val="en-US"/>
        </w:rPr>
        <w:t>ed</w:t>
      </w:r>
      <w:r w:rsidR="009B5CE8">
        <w:rPr>
          <w:rFonts w:cs="Times New Roman"/>
          <w:szCs w:val="24"/>
          <w:lang w:val="en-US"/>
        </w:rPr>
        <w:t xml:space="preserve"> Syrian refugees. Th</w:t>
      </w:r>
      <w:r w:rsidR="00AA7376">
        <w:rPr>
          <w:rFonts w:cs="Times New Roman"/>
          <w:szCs w:val="24"/>
          <w:lang w:val="en-US"/>
        </w:rPr>
        <w:t>ree main tools wer</w:t>
      </w:r>
      <w:r w:rsidR="009B5CE8">
        <w:rPr>
          <w:rFonts w:cs="Times New Roman"/>
          <w:szCs w:val="24"/>
          <w:lang w:val="en-US"/>
        </w:rPr>
        <w:t xml:space="preserve">e </w:t>
      </w:r>
      <w:r w:rsidR="00AA7376">
        <w:rPr>
          <w:rFonts w:cs="Times New Roman"/>
          <w:szCs w:val="24"/>
          <w:lang w:val="en-US"/>
        </w:rPr>
        <w:t>used</w:t>
      </w:r>
      <w:r w:rsidR="0048420D">
        <w:rPr>
          <w:rFonts w:cs="Times New Roman"/>
          <w:szCs w:val="24"/>
          <w:lang w:val="en-US"/>
        </w:rPr>
        <w:t xml:space="preserve"> (ICRISAT, 2009)</w:t>
      </w:r>
      <w:r w:rsidR="00AA7376">
        <w:rPr>
          <w:rFonts w:cs="Times New Roman"/>
          <w:szCs w:val="24"/>
          <w:lang w:val="en-US"/>
        </w:rPr>
        <w:t xml:space="preserve">: </w:t>
      </w:r>
      <w:r w:rsidR="00F56A17">
        <w:rPr>
          <w:rFonts w:cs="Times New Roman"/>
          <w:szCs w:val="24"/>
          <w:lang w:val="en-US"/>
        </w:rPr>
        <w:t>(</w:t>
      </w:r>
      <w:proofErr w:type="spellStart"/>
      <w:r w:rsidR="00F56A17">
        <w:rPr>
          <w:rFonts w:cs="Times New Roman"/>
          <w:szCs w:val="24"/>
          <w:lang w:val="en-US"/>
        </w:rPr>
        <w:t>i</w:t>
      </w:r>
      <w:proofErr w:type="spellEnd"/>
      <w:r w:rsidR="00F56A17">
        <w:rPr>
          <w:rFonts w:cs="Times New Roman"/>
          <w:szCs w:val="24"/>
          <w:lang w:val="en-US"/>
        </w:rPr>
        <w:t xml:space="preserve">) </w:t>
      </w:r>
      <w:r w:rsidR="009B5CE8">
        <w:rPr>
          <w:rFonts w:cs="Times New Roman"/>
          <w:szCs w:val="24"/>
          <w:lang w:val="en-US"/>
        </w:rPr>
        <w:t xml:space="preserve">wealth </w:t>
      </w:r>
      <w:r w:rsidR="0048420D">
        <w:rPr>
          <w:rFonts w:cs="Times New Roman"/>
          <w:szCs w:val="24"/>
          <w:lang w:val="en-US"/>
        </w:rPr>
        <w:t>groupin</w:t>
      </w:r>
      <w:r w:rsidR="009B5CE8">
        <w:rPr>
          <w:rFonts w:cs="Times New Roman"/>
          <w:szCs w:val="24"/>
          <w:lang w:val="en-US"/>
        </w:rPr>
        <w:t>g to identify wealth groups among Syrian refugees</w:t>
      </w:r>
      <w:r w:rsidR="00F56A17">
        <w:rPr>
          <w:rFonts w:cs="Times New Roman"/>
          <w:szCs w:val="24"/>
          <w:lang w:val="en-US"/>
        </w:rPr>
        <w:t>;</w:t>
      </w:r>
      <w:r w:rsidR="009B5CE8">
        <w:rPr>
          <w:rFonts w:cs="Times New Roman"/>
          <w:szCs w:val="24"/>
          <w:lang w:val="en-US"/>
        </w:rPr>
        <w:t xml:space="preserve"> </w:t>
      </w:r>
      <w:r w:rsidR="00F56A17">
        <w:rPr>
          <w:rFonts w:cs="Times New Roman"/>
          <w:szCs w:val="24"/>
          <w:lang w:val="en-US"/>
        </w:rPr>
        <w:t xml:space="preserve">(ii) </w:t>
      </w:r>
      <w:r w:rsidR="00AA7376">
        <w:rPr>
          <w:rFonts w:cs="Times New Roman"/>
          <w:szCs w:val="24"/>
          <w:lang w:val="en-US"/>
        </w:rPr>
        <w:t>r</w:t>
      </w:r>
      <w:r w:rsidR="00F56A17">
        <w:rPr>
          <w:rFonts w:cs="Times New Roman"/>
          <w:szCs w:val="24"/>
          <w:lang w:val="en-US"/>
        </w:rPr>
        <w:t xml:space="preserve">esources mapping and (ii) </w:t>
      </w:r>
      <w:r w:rsidR="009B5CE8" w:rsidRPr="009B5CE8">
        <w:rPr>
          <w:rFonts w:cs="Times New Roman"/>
          <w:szCs w:val="24"/>
          <w:lang w:val="en-US"/>
        </w:rPr>
        <w:t>Strengths, Weaknesses Opportunities, Threats</w:t>
      </w:r>
      <w:r w:rsidR="009B5CE8">
        <w:rPr>
          <w:rFonts w:cs="Times New Roman"/>
          <w:szCs w:val="24"/>
          <w:lang w:val="en-US"/>
        </w:rPr>
        <w:t xml:space="preserve"> analysis (SWOT analysis</w:t>
      </w:r>
      <w:r w:rsidR="009B5CE8" w:rsidRPr="009B5CE8">
        <w:rPr>
          <w:rFonts w:cs="Times New Roman"/>
          <w:szCs w:val="24"/>
          <w:lang w:val="en-US"/>
        </w:rPr>
        <w:t>)</w:t>
      </w:r>
      <w:r w:rsidR="009B5CE8">
        <w:rPr>
          <w:rFonts w:cs="Times New Roman"/>
          <w:szCs w:val="24"/>
          <w:lang w:val="en-US"/>
        </w:rPr>
        <w:t xml:space="preserve">. </w:t>
      </w:r>
      <w:r w:rsidR="00491552" w:rsidRPr="00703A9D">
        <w:rPr>
          <w:rFonts w:cs="Times New Roman"/>
          <w:szCs w:val="24"/>
          <w:lang w:val="en-US"/>
        </w:rPr>
        <w:t xml:space="preserve">To </w:t>
      </w:r>
      <w:r w:rsidR="00491552">
        <w:rPr>
          <w:rFonts w:cs="Times New Roman"/>
          <w:szCs w:val="24"/>
          <w:lang w:val="en-US"/>
        </w:rPr>
        <w:t xml:space="preserve">better size </w:t>
      </w:r>
      <w:r w:rsidR="00491552" w:rsidRPr="00703A9D">
        <w:rPr>
          <w:rFonts w:cs="Times New Roman"/>
          <w:szCs w:val="24"/>
          <w:lang w:val="en-US"/>
        </w:rPr>
        <w:t>gender aspects, separate group discussion</w:t>
      </w:r>
      <w:r w:rsidR="00491552">
        <w:rPr>
          <w:rFonts w:cs="Times New Roman"/>
          <w:szCs w:val="24"/>
          <w:lang w:val="en-US"/>
        </w:rPr>
        <w:t>s</w:t>
      </w:r>
      <w:r w:rsidR="00491552" w:rsidRPr="00703A9D">
        <w:rPr>
          <w:rFonts w:cs="Times New Roman"/>
          <w:szCs w:val="24"/>
          <w:lang w:val="en-US"/>
        </w:rPr>
        <w:t xml:space="preserve"> </w:t>
      </w:r>
      <w:r w:rsidR="00AA7376">
        <w:rPr>
          <w:rFonts w:cs="Times New Roman"/>
          <w:szCs w:val="24"/>
          <w:lang w:val="en-US"/>
        </w:rPr>
        <w:t xml:space="preserve">were </w:t>
      </w:r>
      <w:r w:rsidR="00491552" w:rsidRPr="00703A9D">
        <w:rPr>
          <w:rFonts w:cs="Times New Roman"/>
          <w:szCs w:val="24"/>
          <w:lang w:val="en-US"/>
        </w:rPr>
        <w:t xml:space="preserve">held for men </w:t>
      </w:r>
      <w:r w:rsidR="00491552">
        <w:rPr>
          <w:rFonts w:cs="Times New Roman"/>
          <w:szCs w:val="24"/>
          <w:lang w:val="en-US"/>
        </w:rPr>
        <w:t xml:space="preserve">and women </w:t>
      </w:r>
      <w:r w:rsidR="00F56A17">
        <w:rPr>
          <w:rFonts w:cs="Times New Roman"/>
          <w:szCs w:val="24"/>
          <w:lang w:val="en-US"/>
        </w:rPr>
        <w:t>for the SWOT analysis</w:t>
      </w:r>
      <w:r w:rsidR="00F148FC">
        <w:rPr>
          <w:rFonts w:cs="Times New Roman"/>
          <w:szCs w:val="24"/>
          <w:lang w:val="en-US"/>
        </w:rPr>
        <w:t>.</w:t>
      </w:r>
      <w:r w:rsidR="00AA7376">
        <w:rPr>
          <w:rFonts w:cs="Times New Roman"/>
          <w:szCs w:val="24"/>
          <w:lang w:val="en-US"/>
        </w:rPr>
        <w:t xml:space="preserve"> </w:t>
      </w:r>
      <w:r w:rsidR="00AA7376">
        <w:t xml:space="preserve">Individual </w:t>
      </w:r>
      <w:r w:rsidR="00213EDA">
        <w:rPr>
          <w:rFonts w:cs="Times New Roman"/>
          <w:szCs w:val="24"/>
          <w:lang w:val="en-US"/>
        </w:rPr>
        <w:t>interviews</w:t>
      </w:r>
      <w:r w:rsidR="002E59C4">
        <w:rPr>
          <w:rFonts w:cs="Times New Roman"/>
          <w:szCs w:val="24"/>
          <w:lang w:val="en-US"/>
        </w:rPr>
        <w:t xml:space="preserve"> </w:t>
      </w:r>
      <w:r w:rsidR="00AA7376">
        <w:rPr>
          <w:rFonts w:cs="Times New Roman"/>
          <w:szCs w:val="24"/>
          <w:lang w:val="en-US"/>
        </w:rPr>
        <w:t>were conducted with</w:t>
      </w:r>
      <w:r w:rsidR="00213EDA">
        <w:rPr>
          <w:rFonts w:cs="Times New Roman"/>
          <w:szCs w:val="24"/>
          <w:lang w:val="en-US"/>
        </w:rPr>
        <w:t xml:space="preserve"> key informants.</w:t>
      </w:r>
    </w:p>
    <w:p w14:paraId="5FCE3DE6" w14:textId="4EF041DB" w:rsidR="0014725B" w:rsidRPr="00E60353" w:rsidRDefault="00213EDA" w:rsidP="00190D36">
      <w:pPr>
        <w:pStyle w:val="Heading2"/>
      </w:pPr>
      <w:bookmarkStart w:id="23" w:name="_Toc483361458"/>
      <w:r w:rsidRPr="00E60353">
        <w:t>2.</w:t>
      </w:r>
      <w:r w:rsidR="00247D8B" w:rsidRPr="00E60353">
        <w:t>4</w:t>
      </w:r>
      <w:r w:rsidRPr="00E60353">
        <w:t xml:space="preserve">. </w:t>
      </w:r>
      <w:r w:rsidR="002E59C4">
        <w:t>Quantitative a</w:t>
      </w:r>
      <w:r w:rsidR="006E3546" w:rsidRPr="00E60353">
        <w:t>gricultural livelihood</w:t>
      </w:r>
      <w:r w:rsidR="00AF3811" w:rsidRPr="00E60353">
        <w:t xml:space="preserve"> assessment</w:t>
      </w:r>
      <w:bookmarkEnd w:id="23"/>
    </w:p>
    <w:p w14:paraId="377C439B" w14:textId="22AD03DF" w:rsidR="00213EDA" w:rsidRPr="00034564" w:rsidRDefault="00213EDA" w:rsidP="00EF3F9A">
      <w:pPr>
        <w:spacing w:line="276" w:lineRule="auto"/>
        <w:rPr>
          <w:rFonts w:cs="Times New Roman"/>
          <w:b/>
          <w:szCs w:val="24"/>
          <w:lang w:val="en-US"/>
        </w:rPr>
      </w:pPr>
      <w:r w:rsidRPr="00213EDA">
        <w:rPr>
          <w:rFonts w:cs="Times New Roman"/>
          <w:szCs w:val="24"/>
          <w:lang w:val="en-US"/>
        </w:rPr>
        <w:t xml:space="preserve">A randomly sampled, representative </w:t>
      </w:r>
      <w:r w:rsidR="00034564" w:rsidRPr="00213EDA">
        <w:rPr>
          <w:rFonts w:cs="Times New Roman"/>
          <w:szCs w:val="24"/>
          <w:lang w:val="en-US"/>
        </w:rPr>
        <w:t>household</w:t>
      </w:r>
      <w:r w:rsidRPr="00213EDA">
        <w:rPr>
          <w:rFonts w:cs="Times New Roman"/>
          <w:szCs w:val="24"/>
          <w:lang w:val="en-US"/>
        </w:rPr>
        <w:t xml:space="preserve"> survey </w:t>
      </w:r>
      <w:r w:rsidR="00D91575">
        <w:rPr>
          <w:rFonts w:cs="Times New Roman"/>
          <w:szCs w:val="24"/>
          <w:lang w:val="en-US"/>
        </w:rPr>
        <w:t>was</w:t>
      </w:r>
      <w:r w:rsidRPr="00213EDA">
        <w:rPr>
          <w:rFonts w:cs="Times New Roman"/>
          <w:szCs w:val="24"/>
          <w:lang w:val="en-US"/>
        </w:rPr>
        <w:t xml:space="preserve"> conducted in the selected target communities. </w:t>
      </w:r>
      <w:r w:rsidR="00034564">
        <w:rPr>
          <w:rFonts w:cs="Times New Roman"/>
          <w:szCs w:val="24"/>
          <w:lang w:val="en-US"/>
        </w:rPr>
        <w:t xml:space="preserve">The </w:t>
      </w:r>
      <w:r w:rsidR="00034564" w:rsidRPr="00034564">
        <w:rPr>
          <w:rFonts w:cs="Times New Roman"/>
          <w:i/>
          <w:szCs w:val="24"/>
          <w:lang w:val="en-US"/>
        </w:rPr>
        <w:t>Refugees</w:t>
      </w:r>
      <w:r w:rsidR="00034564">
        <w:rPr>
          <w:rFonts w:cs="Times New Roman"/>
          <w:i/>
          <w:szCs w:val="24"/>
          <w:lang w:val="en-US"/>
        </w:rPr>
        <w:t xml:space="preserve"> </w:t>
      </w:r>
      <w:r w:rsidR="00034564" w:rsidRPr="00034564">
        <w:rPr>
          <w:rFonts w:cs="Times New Roman"/>
          <w:i/>
          <w:szCs w:val="24"/>
          <w:lang w:val="en-US"/>
        </w:rPr>
        <w:t>Home Visits</w:t>
      </w:r>
      <w:r w:rsidR="00034564">
        <w:rPr>
          <w:rFonts w:cs="Times New Roman"/>
          <w:szCs w:val="24"/>
          <w:lang w:val="en-US"/>
        </w:rPr>
        <w:t xml:space="preserve"> dataset from UNCHR</w:t>
      </w:r>
      <w:r w:rsidR="00181CC3">
        <w:rPr>
          <w:rFonts w:cs="Times New Roman"/>
          <w:szCs w:val="24"/>
          <w:lang w:val="en-US"/>
        </w:rPr>
        <w:t xml:space="preserve"> </w:t>
      </w:r>
      <w:r w:rsidR="008716C9">
        <w:rPr>
          <w:rFonts w:cs="Times New Roman"/>
          <w:szCs w:val="24"/>
          <w:lang w:val="en-US"/>
        </w:rPr>
        <w:t>was</w:t>
      </w:r>
      <w:r w:rsidR="00034564">
        <w:rPr>
          <w:rFonts w:cs="Times New Roman"/>
          <w:szCs w:val="24"/>
          <w:lang w:val="en-US"/>
        </w:rPr>
        <w:t xml:space="preserve"> used to select the </w:t>
      </w:r>
      <w:r w:rsidR="00034564">
        <w:rPr>
          <w:rFonts w:cs="Times New Roman"/>
          <w:szCs w:val="24"/>
          <w:lang w:val="en-US"/>
        </w:rPr>
        <w:lastRenderedPageBreak/>
        <w:t xml:space="preserve">sample. </w:t>
      </w:r>
      <w:r w:rsidR="00D91575">
        <w:rPr>
          <w:rFonts w:cs="Times New Roman"/>
          <w:szCs w:val="24"/>
          <w:lang w:val="en-US"/>
        </w:rPr>
        <w:t xml:space="preserve">The survey collected information on </w:t>
      </w:r>
      <w:r w:rsidR="008716C9">
        <w:rPr>
          <w:rFonts w:cs="Times New Roman"/>
          <w:szCs w:val="24"/>
          <w:lang w:val="en-US"/>
        </w:rPr>
        <w:t>households</w:t>
      </w:r>
      <w:r w:rsidR="00181CC3">
        <w:rPr>
          <w:rFonts w:cs="Times New Roman"/>
          <w:szCs w:val="24"/>
          <w:lang w:val="en-US"/>
        </w:rPr>
        <w:t xml:space="preserve"> </w:t>
      </w:r>
      <w:r w:rsidR="00034564">
        <w:rPr>
          <w:rFonts w:cs="Times New Roman"/>
          <w:szCs w:val="24"/>
          <w:lang w:val="en-US"/>
        </w:rPr>
        <w:t xml:space="preserve">access to agricultural and livestock production resources (land, rangelands, fertilizers, feeds, etc.), production equipment, agricultural and livestock </w:t>
      </w:r>
      <w:r w:rsidRPr="00213EDA">
        <w:rPr>
          <w:rFonts w:cs="Times New Roman"/>
          <w:szCs w:val="24"/>
          <w:lang w:val="en-US"/>
        </w:rPr>
        <w:t>management capacit</w:t>
      </w:r>
      <w:r w:rsidR="00181CC3">
        <w:rPr>
          <w:rFonts w:cs="Times New Roman"/>
          <w:szCs w:val="24"/>
          <w:lang w:val="en-US"/>
        </w:rPr>
        <w:t>ies</w:t>
      </w:r>
      <w:r w:rsidRPr="00213EDA">
        <w:rPr>
          <w:rFonts w:cs="Times New Roman"/>
          <w:szCs w:val="24"/>
          <w:lang w:val="en-US"/>
        </w:rPr>
        <w:t xml:space="preserve">, </w:t>
      </w:r>
      <w:r w:rsidR="00034564">
        <w:rPr>
          <w:rFonts w:cs="Times New Roman"/>
          <w:szCs w:val="24"/>
          <w:lang w:val="en-US"/>
        </w:rPr>
        <w:t>supporting policies</w:t>
      </w:r>
      <w:r w:rsidR="00181CC3">
        <w:rPr>
          <w:rFonts w:cs="Times New Roman"/>
          <w:szCs w:val="24"/>
          <w:lang w:val="en-US"/>
        </w:rPr>
        <w:t xml:space="preserve"> in agricultural development</w:t>
      </w:r>
      <w:r w:rsidR="00034564">
        <w:rPr>
          <w:rFonts w:cs="Times New Roman"/>
          <w:szCs w:val="24"/>
          <w:lang w:val="en-US"/>
        </w:rPr>
        <w:t>, and key constraints and needs</w:t>
      </w:r>
      <w:r w:rsidRPr="00213EDA">
        <w:rPr>
          <w:rFonts w:cs="Times New Roman"/>
          <w:szCs w:val="24"/>
          <w:lang w:val="en-US"/>
        </w:rPr>
        <w:t xml:space="preserve">. </w:t>
      </w:r>
      <w:r w:rsidR="00034564" w:rsidRPr="00034564">
        <w:rPr>
          <w:rFonts w:cs="Times New Roman"/>
          <w:szCs w:val="24"/>
          <w:lang w:val="en-US"/>
        </w:rPr>
        <w:t xml:space="preserve">The household data </w:t>
      </w:r>
      <w:r w:rsidR="00AA7376">
        <w:rPr>
          <w:rFonts w:cs="Times New Roman"/>
          <w:szCs w:val="24"/>
          <w:lang w:val="en-US"/>
        </w:rPr>
        <w:t>was</w:t>
      </w:r>
      <w:r w:rsidR="00034564" w:rsidRPr="00034564">
        <w:rPr>
          <w:rFonts w:cs="Times New Roman"/>
          <w:szCs w:val="24"/>
          <w:lang w:val="en-US"/>
        </w:rPr>
        <w:t xml:space="preserve"> collected using a </w:t>
      </w:r>
      <w:r w:rsidR="00D2782A" w:rsidRPr="00034564">
        <w:rPr>
          <w:rFonts w:cs="Times New Roman"/>
          <w:szCs w:val="24"/>
          <w:lang w:val="en-US"/>
        </w:rPr>
        <w:t>semi-structured questionnaire.</w:t>
      </w:r>
      <w:r w:rsidRPr="00034564">
        <w:rPr>
          <w:rFonts w:cs="Times New Roman"/>
          <w:szCs w:val="24"/>
          <w:lang w:val="en-US"/>
        </w:rPr>
        <w:t xml:space="preserve"> </w:t>
      </w:r>
      <w:r w:rsidR="00034564" w:rsidRPr="00034564">
        <w:rPr>
          <w:rFonts w:cs="Times New Roman"/>
          <w:szCs w:val="24"/>
          <w:lang w:val="en-US"/>
        </w:rPr>
        <w:t>This information help</w:t>
      </w:r>
      <w:r w:rsidR="00D91575">
        <w:rPr>
          <w:rFonts w:cs="Times New Roman"/>
          <w:szCs w:val="24"/>
          <w:lang w:val="en-US"/>
        </w:rPr>
        <w:t>ed</w:t>
      </w:r>
      <w:r w:rsidR="00034564" w:rsidRPr="00034564">
        <w:rPr>
          <w:rFonts w:cs="Times New Roman"/>
          <w:szCs w:val="24"/>
          <w:lang w:val="en-US"/>
        </w:rPr>
        <w:t xml:space="preserve"> triangulating the qualitative data collected in </w:t>
      </w:r>
      <w:r w:rsidR="00D91575">
        <w:rPr>
          <w:rFonts w:cs="Times New Roman"/>
          <w:szCs w:val="24"/>
          <w:lang w:val="en-US"/>
        </w:rPr>
        <w:t xml:space="preserve">focus </w:t>
      </w:r>
      <w:r w:rsidR="00034564" w:rsidRPr="00034564">
        <w:rPr>
          <w:rFonts w:cs="Times New Roman"/>
          <w:szCs w:val="24"/>
          <w:lang w:val="en-US"/>
        </w:rPr>
        <w:t>group discussions</w:t>
      </w:r>
      <w:r w:rsidR="00E83EE0">
        <w:rPr>
          <w:rFonts w:cs="Times New Roman"/>
          <w:szCs w:val="24"/>
          <w:lang w:val="en-US"/>
        </w:rPr>
        <w:t xml:space="preserve"> using cluster and descriptive statistical analyses</w:t>
      </w:r>
      <w:r w:rsidR="00034564" w:rsidRPr="00034564">
        <w:rPr>
          <w:rFonts w:cs="Times New Roman"/>
          <w:szCs w:val="24"/>
          <w:lang w:val="en-US"/>
        </w:rPr>
        <w:t>.</w:t>
      </w:r>
    </w:p>
    <w:p w14:paraId="627A3E07" w14:textId="7A62C6FA" w:rsidR="0069673F" w:rsidRDefault="002E59C4" w:rsidP="00190D36">
      <w:pPr>
        <w:pStyle w:val="Heading2"/>
      </w:pPr>
      <w:bookmarkStart w:id="24" w:name="_Toc483361459"/>
      <w:r>
        <w:t xml:space="preserve">2.5 </w:t>
      </w:r>
      <w:r w:rsidR="00F536FC">
        <w:t xml:space="preserve">Method for </w:t>
      </w:r>
      <w:r w:rsidR="0069673F">
        <w:t>Cluster analysis</w:t>
      </w:r>
      <w:bookmarkEnd w:id="24"/>
    </w:p>
    <w:p w14:paraId="1D471110" w14:textId="3D713E4B" w:rsidR="0069673F" w:rsidRPr="00BE52AC" w:rsidRDefault="009F0F5C" w:rsidP="00103995">
      <w:pPr>
        <w:spacing w:after="240" w:line="276" w:lineRule="auto"/>
        <w:rPr>
          <w:rFonts w:cs="Times New Roman"/>
          <w:szCs w:val="24"/>
          <w:lang w:val="en-US"/>
        </w:rPr>
      </w:pPr>
      <w:r w:rsidRPr="00BE52AC">
        <w:rPr>
          <w:rFonts w:cs="Times New Roman"/>
          <w:szCs w:val="24"/>
          <w:lang w:val="en-US"/>
        </w:rPr>
        <w:t xml:space="preserve">The </w:t>
      </w:r>
      <w:r w:rsidRPr="00103995">
        <w:rPr>
          <w:rFonts w:asciiTheme="majorHAnsi" w:hAnsiTheme="majorHAnsi" w:cs="Times New Roman"/>
          <w:szCs w:val="24"/>
          <w:lang w:val="en-US"/>
        </w:rPr>
        <w:t xml:space="preserve">cluster </w:t>
      </w:r>
      <w:r w:rsidR="00A91B80" w:rsidRPr="00103995">
        <w:rPr>
          <w:rFonts w:asciiTheme="majorHAnsi" w:hAnsiTheme="majorHAnsi" w:cs="Times New Roman"/>
          <w:szCs w:val="24"/>
          <w:lang w:val="en-US"/>
        </w:rPr>
        <w:t xml:space="preserve">analysis was used to build </w:t>
      </w:r>
      <w:r w:rsidR="000C47F3" w:rsidRPr="00103995">
        <w:rPr>
          <w:rFonts w:asciiTheme="majorHAnsi" w:hAnsiTheme="majorHAnsi" w:cs="Times New Roman"/>
          <w:szCs w:val="24"/>
          <w:lang w:val="en-US"/>
        </w:rPr>
        <w:t>a</w:t>
      </w:r>
      <w:r w:rsidR="00A91B80" w:rsidRPr="00103995">
        <w:rPr>
          <w:rFonts w:asciiTheme="majorHAnsi" w:hAnsiTheme="majorHAnsi" w:cs="Times New Roman"/>
          <w:szCs w:val="24"/>
          <w:lang w:val="en-US"/>
        </w:rPr>
        <w:t xml:space="preserve"> wealth </w:t>
      </w:r>
      <w:r w:rsidR="000C47F3" w:rsidRPr="00103995">
        <w:rPr>
          <w:rFonts w:asciiTheme="majorHAnsi" w:hAnsiTheme="majorHAnsi" w:cs="Times New Roman"/>
          <w:szCs w:val="24"/>
          <w:lang w:val="en-US"/>
        </w:rPr>
        <w:t xml:space="preserve">typology </w:t>
      </w:r>
      <w:r w:rsidR="00A91B80" w:rsidRPr="00103995">
        <w:rPr>
          <w:rFonts w:asciiTheme="majorHAnsi" w:hAnsiTheme="majorHAnsi" w:cs="Times New Roman"/>
          <w:szCs w:val="24"/>
          <w:lang w:val="en-US"/>
        </w:rPr>
        <w:t>for triangulating the findings from the participatory wealth groups</w:t>
      </w:r>
      <w:r w:rsidR="00057F09" w:rsidRPr="00103995">
        <w:rPr>
          <w:rFonts w:asciiTheme="majorHAnsi" w:hAnsiTheme="majorHAnsi" w:cs="Times New Roman"/>
          <w:szCs w:val="24"/>
          <w:lang w:val="en-US"/>
        </w:rPr>
        <w:t>’</w:t>
      </w:r>
      <w:r w:rsidR="00A91B80" w:rsidRPr="00103995">
        <w:rPr>
          <w:rFonts w:asciiTheme="majorHAnsi" w:hAnsiTheme="majorHAnsi" w:cs="Times New Roman"/>
          <w:szCs w:val="24"/>
          <w:lang w:val="en-US"/>
        </w:rPr>
        <w:t xml:space="preserve"> identification by Syrian refugees. </w:t>
      </w:r>
      <w:r w:rsidR="00057F09" w:rsidRPr="00103995">
        <w:rPr>
          <w:rFonts w:asciiTheme="majorHAnsi" w:hAnsiTheme="majorHAnsi" w:cs="Times New Roman"/>
          <w:szCs w:val="24"/>
          <w:lang w:val="en-US"/>
        </w:rPr>
        <w:t xml:space="preserve">The </w:t>
      </w:r>
      <w:r w:rsidR="00F536FC" w:rsidRPr="00103995">
        <w:rPr>
          <w:rFonts w:asciiTheme="majorHAnsi" w:hAnsiTheme="majorHAnsi" w:cs="Times New Roman"/>
          <w:szCs w:val="24"/>
          <w:lang w:val="en-US"/>
        </w:rPr>
        <w:t>K-mean Cluster Analysis (K-CA)</w:t>
      </w:r>
      <w:r w:rsidR="00FF2511" w:rsidRPr="00103995">
        <w:rPr>
          <w:rFonts w:asciiTheme="majorHAnsi" w:hAnsiTheme="majorHAnsi" w:cs="Times New Roman"/>
          <w:szCs w:val="24"/>
          <w:lang w:val="en-US"/>
        </w:rPr>
        <w:t xml:space="preserve"> was used. This method is </w:t>
      </w:r>
      <w:r w:rsidR="00057F09" w:rsidRPr="00103995">
        <w:rPr>
          <w:rFonts w:asciiTheme="majorHAnsi" w:hAnsiTheme="majorHAnsi" w:cs="Times New Roman"/>
          <w:szCs w:val="24"/>
          <w:lang w:val="en-US"/>
        </w:rPr>
        <w:t>usually preferred</w:t>
      </w:r>
      <w:r w:rsidR="003D5A72" w:rsidRPr="00103995">
        <w:rPr>
          <w:rFonts w:asciiTheme="majorHAnsi" w:hAnsiTheme="majorHAnsi" w:cs="Times New Roman"/>
          <w:szCs w:val="24"/>
          <w:lang w:val="en-US"/>
        </w:rPr>
        <w:t xml:space="preserve"> to hierarchical clustering methods</w:t>
      </w:r>
      <w:r w:rsidR="00FF2511" w:rsidRPr="00103995">
        <w:rPr>
          <w:rFonts w:asciiTheme="majorHAnsi" w:hAnsiTheme="majorHAnsi" w:cs="Times New Roman"/>
          <w:szCs w:val="24"/>
          <w:lang w:val="en-US"/>
        </w:rPr>
        <w:t xml:space="preserve"> for </w:t>
      </w:r>
      <w:r w:rsidR="00F536FC" w:rsidRPr="00103995">
        <w:rPr>
          <w:rFonts w:asciiTheme="majorHAnsi" w:hAnsiTheme="majorHAnsi" w:cs="Times New Roman"/>
          <w:szCs w:val="24"/>
          <w:lang w:val="en-US"/>
        </w:rPr>
        <w:t>large</w:t>
      </w:r>
      <w:r w:rsidR="00FF2511" w:rsidRPr="00103995">
        <w:rPr>
          <w:rFonts w:asciiTheme="majorHAnsi" w:hAnsiTheme="majorHAnsi" w:cs="Times New Roman"/>
          <w:szCs w:val="24"/>
          <w:lang w:val="en-US"/>
        </w:rPr>
        <w:t xml:space="preserve"> sample </w:t>
      </w:r>
      <w:r w:rsidR="00FF2511" w:rsidRPr="00103995">
        <w:rPr>
          <w:rFonts w:asciiTheme="majorHAnsi" w:hAnsiTheme="majorHAnsi" w:cs="Times New Roman"/>
          <w:szCs w:val="24"/>
          <w:lang w:val="en-US"/>
        </w:rPr>
        <w:fldChar w:fldCharType="begin"/>
      </w:r>
      <w:r w:rsidR="00FF2511" w:rsidRPr="00103995">
        <w:rPr>
          <w:rFonts w:asciiTheme="majorHAnsi" w:hAnsiTheme="majorHAnsi" w:cs="Times New Roman"/>
          <w:szCs w:val="24"/>
          <w:lang w:val="en-US"/>
        </w:rPr>
        <w:instrText xml:space="preserve"> ADDIN EN.CITE &lt;EndNote&gt;&lt;Cite&gt;&lt;Author&gt;Le&lt;/Author&gt;&lt;Year&gt;2005&lt;/Year&gt;&lt;RecNum&gt;182&lt;/RecNum&gt;&lt;DisplayText&gt;(Le, 2005)&lt;/DisplayText&gt;&lt;record&gt;&lt;rec-number&gt;182&lt;/rec-number&gt;&lt;foreign-keys&gt;&lt;key app="EN" db-id="a52r52vwspdfrqepfx7pwz0uzaverz5setxs"&gt;182&lt;/key&gt;&lt;/foreign-keys&gt;&lt;ref-type name="Generic"&gt;13&lt;/ref-type&gt;&lt;contributors&gt;&lt;authors&gt;&lt;author&gt;Quang Bao Le&lt;/author&gt;&lt;/authors&gt;&lt;secondary-authors&gt;&lt;author&gt;Paul L.G.Vlek &lt;/author&gt;&lt;author&gt;Manfred Denich &lt;/author&gt;&lt;author&gt;Christopher Martius&lt;/author&gt;&lt;author&gt;Charles Rodgers &lt;/author&gt;&lt;author&gt;Nick van de Giesen &lt;/author&gt;&lt;/secondary-authors&gt;&lt;/contributors&gt;&lt;titles&gt;&lt;title&gt;Multi-agent system for simulation of land-use and land cover change: A theoretical framework and its first implementation for an upland watershed in the  Central Coast of Vietnam &lt;/title&gt;&lt;short-title&gt;Ecology and Development Series&lt;/short-title&gt;&lt;/titles&gt;&lt;pages&gt;283&lt;/pages&gt;&lt;volume&gt;29&lt;/volume&gt;&lt;dates&gt;&lt;year&gt;2005&lt;/year&gt;&lt;/dates&gt;&lt;pub-location&gt;Bonn&lt;/pub-location&gt;&lt;work-type&gt;PhD thesis&lt;/work-type&gt;&lt;urls&gt;&lt;/urls&gt;&lt;/record&gt;&lt;/Cite&gt;&lt;/EndNote&gt;</w:instrText>
      </w:r>
      <w:r w:rsidR="00FF2511" w:rsidRPr="00103995">
        <w:rPr>
          <w:rFonts w:asciiTheme="majorHAnsi" w:hAnsiTheme="majorHAnsi" w:cs="Times New Roman"/>
          <w:szCs w:val="24"/>
          <w:lang w:val="en-US"/>
        </w:rPr>
        <w:fldChar w:fldCharType="separate"/>
      </w:r>
      <w:r w:rsidR="00FF2511" w:rsidRPr="00103995">
        <w:rPr>
          <w:rFonts w:asciiTheme="majorHAnsi" w:hAnsiTheme="majorHAnsi" w:cs="Times New Roman"/>
          <w:szCs w:val="24"/>
          <w:lang w:val="en-US"/>
        </w:rPr>
        <w:t>(</w:t>
      </w:r>
      <w:hyperlink w:anchor="_ENREF_9" w:tooltip="Le, 2005 #182" w:history="1">
        <w:r w:rsidR="004C58C3" w:rsidRPr="00103995">
          <w:rPr>
            <w:rFonts w:asciiTheme="majorHAnsi" w:hAnsiTheme="majorHAnsi" w:cs="Times New Roman"/>
            <w:szCs w:val="24"/>
            <w:lang w:val="en-US"/>
          </w:rPr>
          <w:t>Le, 2005</w:t>
        </w:r>
      </w:hyperlink>
      <w:r w:rsidR="00FF2511" w:rsidRPr="00103995">
        <w:rPr>
          <w:rFonts w:asciiTheme="majorHAnsi" w:hAnsiTheme="majorHAnsi" w:cs="Times New Roman"/>
          <w:szCs w:val="24"/>
          <w:lang w:val="en-US"/>
        </w:rPr>
        <w:t>)</w:t>
      </w:r>
      <w:r w:rsidR="00FF2511" w:rsidRPr="00103995">
        <w:rPr>
          <w:rFonts w:asciiTheme="majorHAnsi" w:hAnsiTheme="majorHAnsi" w:cs="Times New Roman"/>
          <w:szCs w:val="24"/>
          <w:lang w:val="en-US"/>
        </w:rPr>
        <w:fldChar w:fldCharType="end"/>
      </w:r>
      <w:r w:rsidR="00FF2511" w:rsidRPr="00103995">
        <w:rPr>
          <w:rFonts w:asciiTheme="majorHAnsi" w:hAnsiTheme="majorHAnsi" w:cs="Times New Roman"/>
          <w:szCs w:val="24"/>
          <w:lang w:val="en-US"/>
        </w:rPr>
        <w:t xml:space="preserve"> like in the present study (360 households)</w:t>
      </w:r>
      <w:r w:rsidR="00BC1F5B" w:rsidRPr="00103995">
        <w:rPr>
          <w:rFonts w:asciiTheme="majorHAnsi" w:hAnsiTheme="majorHAnsi" w:cs="Times New Roman"/>
          <w:szCs w:val="24"/>
          <w:lang w:val="en-US"/>
        </w:rPr>
        <w:t xml:space="preserve">. Moreover, the entry variables </w:t>
      </w:r>
      <w:r w:rsidR="00103995" w:rsidRPr="00103995">
        <w:rPr>
          <w:rFonts w:asciiTheme="majorHAnsi" w:hAnsiTheme="majorHAnsi" w:cs="Times New Roman"/>
          <w:szCs w:val="24"/>
          <w:lang w:val="en-US"/>
        </w:rPr>
        <w:t xml:space="preserve">which were </w:t>
      </w:r>
      <w:r w:rsidR="00BC1F5B" w:rsidRPr="00103995">
        <w:rPr>
          <w:rFonts w:asciiTheme="majorHAnsi" w:hAnsiTheme="majorHAnsi" w:cs="Times New Roman"/>
          <w:szCs w:val="24"/>
          <w:lang w:val="en-US"/>
        </w:rPr>
        <w:t xml:space="preserve">derived from the participatory </w:t>
      </w:r>
      <w:r w:rsidR="00103995" w:rsidRPr="00103995">
        <w:rPr>
          <w:rFonts w:asciiTheme="majorHAnsi" w:hAnsiTheme="majorHAnsi" w:cs="Times New Roman"/>
          <w:szCs w:val="24"/>
          <w:lang w:val="en-US"/>
        </w:rPr>
        <w:t>assessment</w:t>
      </w:r>
      <w:r w:rsidR="00BC1F5B" w:rsidRPr="00103995">
        <w:rPr>
          <w:rFonts w:asciiTheme="majorHAnsi" w:hAnsiTheme="majorHAnsi" w:cs="Times New Roman"/>
          <w:szCs w:val="24"/>
          <w:lang w:val="en-US"/>
        </w:rPr>
        <w:t xml:space="preserve"> of the wealth criteria </w:t>
      </w:r>
      <w:r w:rsidR="00103995" w:rsidRPr="00103995">
        <w:rPr>
          <w:rFonts w:asciiTheme="majorHAnsi" w:hAnsiTheme="majorHAnsi" w:cs="Times New Roman"/>
          <w:szCs w:val="24"/>
          <w:lang w:val="en-US"/>
        </w:rPr>
        <w:t xml:space="preserve">and expert knowledge </w:t>
      </w:r>
      <w:r w:rsidR="00BC1F5B" w:rsidRPr="00103995">
        <w:rPr>
          <w:rFonts w:asciiTheme="majorHAnsi" w:hAnsiTheme="majorHAnsi" w:cs="Times New Roman"/>
          <w:szCs w:val="24"/>
          <w:lang w:val="en-US"/>
        </w:rPr>
        <w:t xml:space="preserve">were all quantitative. </w:t>
      </w:r>
      <w:r w:rsidR="00F536FC" w:rsidRPr="00103995">
        <w:rPr>
          <w:rFonts w:asciiTheme="majorHAnsi" w:hAnsiTheme="majorHAnsi" w:cs="Times New Roman"/>
          <w:szCs w:val="24"/>
          <w:lang w:val="en-US"/>
        </w:rPr>
        <w:t xml:space="preserve">The  principle  of  </w:t>
      </w:r>
      <w:r w:rsidR="00103995" w:rsidRPr="00103995">
        <w:rPr>
          <w:rFonts w:asciiTheme="majorHAnsi" w:hAnsiTheme="majorHAnsi" w:cs="Times New Roman"/>
          <w:szCs w:val="24"/>
          <w:lang w:val="en-US"/>
        </w:rPr>
        <w:t>the K-CA  is  ﬁnding  a</w:t>
      </w:r>
      <w:r w:rsidR="00F536FC" w:rsidRPr="00103995">
        <w:rPr>
          <w:rFonts w:asciiTheme="majorHAnsi" w:hAnsiTheme="majorHAnsi" w:cs="Times New Roman"/>
          <w:szCs w:val="24"/>
          <w:lang w:val="en-US"/>
        </w:rPr>
        <w:t xml:space="preserve"> clustering structure  minimizing  the  Sum  of  Squared  Error  (SSE)  of  the  total  squared  Euclidean distance  of  observations  to  their  class  </w:t>
      </w:r>
      <w:r w:rsidR="00BE52AC" w:rsidRPr="00103995">
        <w:rPr>
          <w:rFonts w:asciiTheme="majorHAnsi" w:hAnsiTheme="majorHAnsi" w:cs="Times New Roman"/>
          <w:szCs w:val="24"/>
          <w:lang w:val="en-US"/>
        </w:rPr>
        <w:t>centers</w:t>
      </w:r>
      <w:r w:rsidR="00F536FC" w:rsidRPr="00103995">
        <w:rPr>
          <w:rFonts w:asciiTheme="majorHAnsi" w:hAnsiTheme="majorHAnsi" w:cs="Times New Roman"/>
          <w:szCs w:val="24"/>
          <w:lang w:val="en-US"/>
        </w:rPr>
        <w:t xml:space="preserve">  </w:t>
      </w:r>
      <w:r w:rsidR="00BE52AC" w:rsidRPr="00103995">
        <w:rPr>
          <w:rFonts w:asciiTheme="majorHAnsi" w:hAnsiTheme="majorHAnsi" w:cs="Times New Roman"/>
          <w:szCs w:val="24"/>
          <w:lang w:val="en-US"/>
        </w:rPr>
        <w:fldChar w:fldCharType="begin"/>
      </w:r>
      <w:r w:rsidR="00BE52AC" w:rsidRPr="00103995">
        <w:rPr>
          <w:rFonts w:asciiTheme="majorHAnsi" w:hAnsiTheme="majorHAnsi" w:cs="Times New Roman"/>
          <w:szCs w:val="24"/>
          <w:lang w:val="en-US"/>
        </w:rPr>
        <w:instrText xml:space="preserve"> ADDIN EN.CITE &lt;EndNote&gt;&lt;Cite&gt;&lt;Author&gt;Maimon&lt;/Author&gt;&lt;Year&gt;2010&lt;/Year&gt;&lt;RecNum&gt;183&lt;/RecNum&gt;&lt;DisplayText&gt;(Maimon and Rokach, 2010)&lt;/DisplayText&gt;&lt;record&gt;&lt;rec-number&gt;183&lt;/rec-number&gt;&lt;foreign-keys&gt;&lt;key app="EN" db-id="a52r52vwspdfrqepfx7pwz0uzaverz5setxs"&gt;183&lt;/key&gt;&lt;/foreign-keys&gt;&lt;ref-type name="Book"&gt;6&lt;/ref-type&gt;&lt;contributors&gt;&lt;authors&gt;&lt;author&gt;Maimon, Oded&lt;/author&gt;&lt;author&gt;Rokach, Lior&lt;/author&gt;&lt;/authors&gt;&lt;/contributors&gt;&lt;titles&gt;&lt;title&gt;Data Mining and Knowledge Discovery Handbook&lt;/title&gt;&lt;/titles&gt;&lt;volume&gt;20&lt;/volume&gt;&lt;edition&gt;2nd ed.&lt;/edition&gt;&lt;section&gt;1285&lt;/section&gt;&lt;dates&gt;&lt;year&gt;2010&lt;/year&gt;&lt;/dates&gt;&lt;urls&gt;&lt;/urls&gt;&lt;/record&gt;&lt;/Cite&gt;&lt;/EndNote&gt;</w:instrText>
      </w:r>
      <w:r w:rsidR="00BE52AC" w:rsidRPr="00103995">
        <w:rPr>
          <w:rFonts w:asciiTheme="majorHAnsi" w:hAnsiTheme="majorHAnsi" w:cs="Times New Roman"/>
          <w:szCs w:val="24"/>
          <w:lang w:val="en-US"/>
        </w:rPr>
        <w:fldChar w:fldCharType="separate"/>
      </w:r>
      <w:r w:rsidR="00BE52AC" w:rsidRPr="00103995">
        <w:rPr>
          <w:rFonts w:asciiTheme="majorHAnsi" w:hAnsiTheme="majorHAnsi" w:cs="Times New Roman"/>
          <w:szCs w:val="24"/>
          <w:lang w:val="en-US"/>
        </w:rPr>
        <w:t>(</w:t>
      </w:r>
      <w:hyperlink w:anchor="_ENREF_10" w:tooltip="Maimon, 2010 #183" w:history="1">
        <w:r w:rsidR="004C58C3" w:rsidRPr="00103995">
          <w:rPr>
            <w:rFonts w:asciiTheme="majorHAnsi" w:hAnsiTheme="majorHAnsi" w:cs="Times New Roman"/>
            <w:szCs w:val="24"/>
            <w:lang w:val="en-US"/>
          </w:rPr>
          <w:t>Maimon and Rokach, 2010</w:t>
        </w:r>
      </w:hyperlink>
      <w:r w:rsidR="00BE52AC" w:rsidRPr="00103995">
        <w:rPr>
          <w:rFonts w:asciiTheme="majorHAnsi" w:hAnsiTheme="majorHAnsi" w:cs="Times New Roman"/>
          <w:szCs w:val="24"/>
          <w:lang w:val="en-US"/>
        </w:rPr>
        <w:t>)</w:t>
      </w:r>
      <w:r w:rsidR="00BE52AC" w:rsidRPr="00103995">
        <w:rPr>
          <w:rFonts w:asciiTheme="majorHAnsi" w:hAnsiTheme="majorHAnsi" w:cs="Times New Roman"/>
          <w:szCs w:val="24"/>
          <w:lang w:val="en-US"/>
        </w:rPr>
        <w:fldChar w:fldCharType="end"/>
      </w:r>
      <w:r w:rsidR="00F536FC" w:rsidRPr="00103995">
        <w:rPr>
          <w:rFonts w:asciiTheme="majorHAnsi" w:hAnsiTheme="majorHAnsi" w:cs="Times New Roman"/>
          <w:szCs w:val="24"/>
          <w:lang w:val="en-US"/>
        </w:rPr>
        <w:t xml:space="preserve">. The number of clusters was decided using the knee method. </w:t>
      </w:r>
      <w:r w:rsidR="00103995" w:rsidRPr="00103995">
        <w:rPr>
          <w:rFonts w:asciiTheme="majorHAnsi" w:hAnsiTheme="majorHAnsi" w:cs="Times New Roman"/>
          <w:szCs w:val="24"/>
          <w:lang w:val="en-US"/>
        </w:rPr>
        <w:t xml:space="preserve">This method consists in plotting a </w:t>
      </w:r>
      <w:r w:rsidR="00F536FC" w:rsidRPr="00103995">
        <w:rPr>
          <w:rFonts w:asciiTheme="majorHAnsi" w:hAnsiTheme="majorHAnsi" w:cs="Times New Roman"/>
          <w:szCs w:val="24"/>
          <w:lang w:val="en-US"/>
        </w:rPr>
        <w:t xml:space="preserve">curve representing the sum of distances to clusters’ </w:t>
      </w:r>
      <w:proofErr w:type="spellStart"/>
      <w:r w:rsidR="00F536FC" w:rsidRPr="00103995">
        <w:rPr>
          <w:rFonts w:asciiTheme="majorHAnsi" w:hAnsiTheme="majorHAnsi" w:cs="Times New Roman"/>
          <w:szCs w:val="24"/>
          <w:lang w:val="en-US"/>
        </w:rPr>
        <w:t>centre</w:t>
      </w:r>
      <w:proofErr w:type="spellEnd"/>
      <w:r w:rsidR="00F536FC" w:rsidRPr="00103995">
        <w:rPr>
          <w:rFonts w:asciiTheme="majorHAnsi" w:hAnsiTheme="majorHAnsi" w:cs="Times New Roman"/>
          <w:szCs w:val="24"/>
          <w:lang w:val="en-US"/>
        </w:rPr>
        <w:t xml:space="preserve"> against the number of clusters</w:t>
      </w:r>
      <w:r w:rsidR="00103995" w:rsidRPr="00103995">
        <w:rPr>
          <w:rFonts w:asciiTheme="majorHAnsi" w:hAnsiTheme="majorHAnsi" w:cs="Times New Roman"/>
          <w:szCs w:val="24"/>
          <w:lang w:val="en-US"/>
        </w:rPr>
        <w:t xml:space="preserve">. The </w:t>
      </w:r>
      <w:r w:rsidR="00F536FC" w:rsidRPr="00103995">
        <w:rPr>
          <w:rFonts w:asciiTheme="majorHAnsi" w:hAnsiTheme="majorHAnsi" w:cs="Times New Roman"/>
          <w:szCs w:val="24"/>
          <w:lang w:val="en-US"/>
        </w:rPr>
        <w:t>optimal number</w:t>
      </w:r>
      <w:r w:rsidR="00F536FC" w:rsidRPr="000C47F3">
        <w:rPr>
          <w:rFonts w:cs="Times New Roman"/>
          <w:szCs w:val="24"/>
          <w:lang w:val="en-US"/>
        </w:rPr>
        <w:t xml:space="preserve"> of clusters is decided at the inflexion point</w:t>
      </w:r>
      <w:r w:rsidR="00BE52AC" w:rsidRPr="00103995">
        <w:rPr>
          <w:rFonts w:cs="Times New Roman"/>
          <w:szCs w:val="24"/>
          <w:lang w:val="en-US"/>
        </w:rPr>
        <w:t xml:space="preserve"> </w:t>
      </w:r>
      <w:r w:rsidR="00BE52AC" w:rsidRPr="00BE52AC">
        <w:rPr>
          <w:rFonts w:cs="Times New Roman"/>
          <w:szCs w:val="24"/>
          <w:lang w:val="en-US"/>
        </w:rPr>
        <w:fldChar w:fldCharType="begin"/>
      </w:r>
      <w:r w:rsidR="00BE52AC" w:rsidRPr="00A368C9">
        <w:rPr>
          <w:rFonts w:cs="Times New Roman"/>
          <w:szCs w:val="24"/>
          <w:lang w:val="en-US"/>
        </w:rPr>
        <w:instrText xml:space="preserve"> ADDIN EN.CITE &lt;EndNote&gt;&lt;Cite&gt;&lt;Author&gt;Thiombiano&lt;/Author&gt;&lt;Year&gt;2015&lt;/Year&gt;&lt;RecNum&gt;531&lt;/RecNum&gt;&lt;DisplayText&gt;(Thiombiano, 2015)&lt;/DisplayText&gt;&lt;record&gt;&lt;rec-number&gt;531&lt;/rec-number&gt;&lt;foreign-keys&gt;&lt;key app="EN" db-id="a52r52vwspdfrqepfx7pwz0uzaverz5setxs"&gt;531&lt;/key&gt;&lt;/foreign-keys&gt;&lt;ref-type name="Thesis"&gt;32&lt;/ref-type&gt;&lt;contributors&gt;&lt;authors&gt;&lt;author&gt;Thiombiano, Boundia Alexandre&lt;/author&gt;&lt;/authors&gt;&lt;/contributors&gt;&lt;titles&gt;&lt;title&gt;Exploring soil nutrient management and production performances to support building smallholder farms’ resilience to climate change: case of South-Western Burkina Faso&lt;/title&gt;&lt;secondary-title&gt;Department of Civil Engineering&lt;/secondary-title&gt;&lt;/titles&gt;&lt;volume&gt;PhD in Climate Change and Land Use&lt;/volume&gt;&lt;dates&gt;&lt;year&gt;2015&lt;/year&gt;&lt;/dates&gt;&lt;pub-location&gt;Kumasi, Ghana&lt;/pub-location&gt;&lt;publisher&gt;Kwame Nkrumah University of Science and Technology (KNUST)&lt;/publisher&gt;&lt;work-type&gt;Dissertation&lt;/work-type&gt;&lt;urls&gt;&lt;/urls&gt;&lt;/record&gt;&lt;/Cite&gt;&lt;/EndNote&gt;</w:instrText>
      </w:r>
      <w:r w:rsidR="00BE52AC" w:rsidRPr="00A368C9">
        <w:rPr>
          <w:rFonts w:cs="Times New Roman"/>
          <w:szCs w:val="24"/>
          <w:lang w:val="en-US"/>
        </w:rPr>
        <w:fldChar w:fldCharType="separate"/>
      </w:r>
      <w:r w:rsidR="00BE52AC" w:rsidRPr="00103995">
        <w:rPr>
          <w:rFonts w:cs="Times New Roman"/>
          <w:szCs w:val="24"/>
          <w:lang w:val="en-US"/>
        </w:rPr>
        <w:t>(</w:t>
      </w:r>
      <w:hyperlink w:anchor="_ENREF_12" w:tooltip="Thiombiano, 2015 #531" w:history="1">
        <w:r w:rsidR="004C58C3" w:rsidRPr="00103995">
          <w:rPr>
            <w:rFonts w:cs="Times New Roman"/>
            <w:szCs w:val="24"/>
            <w:lang w:val="en-US"/>
          </w:rPr>
          <w:t>Thiombiano, 2015</w:t>
        </w:r>
      </w:hyperlink>
      <w:r w:rsidR="00BE52AC" w:rsidRPr="00103995">
        <w:rPr>
          <w:rFonts w:cs="Times New Roman"/>
          <w:szCs w:val="24"/>
          <w:lang w:val="en-US"/>
        </w:rPr>
        <w:t>)</w:t>
      </w:r>
      <w:r w:rsidR="00BE52AC" w:rsidRPr="00BE52AC">
        <w:rPr>
          <w:rFonts w:cs="Times New Roman"/>
          <w:szCs w:val="24"/>
          <w:lang w:val="en-US"/>
        </w:rPr>
        <w:fldChar w:fldCharType="end"/>
      </w:r>
      <w:r w:rsidR="00F536FC" w:rsidRPr="00BE52AC">
        <w:rPr>
          <w:rFonts w:cs="Times New Roman"/>
          <w:szCs w:val="24"/>
          <w:lang w:val="en-US"/>
        </w:rPr>
        <w:t xml:space="preserve">. </w:t>
      </w:r>
    </w:p>
    <w:p w14:paraId="073097C2" w14:textId="77777777" w:rsidR="00FD74A9" w:rsidRDefault="00FD74A9">
      <w:pPr>
        <w:spacing w:line="276" w:lineRule="auto"/>
        <w:jc w:val="left"/>
        <w:rPr>
          <w:rFonts w:eastAsiaTheme="majorEastAsia" w:cstheme="majorBidi"/>
          <w:b/>
          <w:szCs w:val="24"/>
          <w:lang w:val="en-US"/>
        </w:rPr>
      </w:pPr>
      <w:r>
        <w:br w:type="page"/>
      </w:r>
    </w:p>
    <w:p w14:paraId="1B98202E" w14:textId="4AADC377" w:rsidR="00247D8B" w:rsidRDefault="0069673F" w:rsidP="00190D36">
      <w:pPr>
        <w:pStyle w:val="Heading2"/>
      </w:pPr>
      <w:bookmarkStart w:id="25" w:name="_Toc483361460"/>
      <w:r>
        <w:lastRenderedPageBreak/>
        <w:t xml:space="preserve">2.6. </w:t>
      </w:r>
      <w:r w:rsidR="00247D8B">
        <w:t>Data collection strategy</w:t>
      </w:r>
      <w:r w:rsidR="004C1446">
        <w:t xml:space="preserve"> and training of enumerators</w:t>
      </w:r>
      <w:bookmarkEnd w:id="25"/>
    </w:p>
    <w:p w14:paraId="492BD52B" w14:textId="140FC17A" w:rsidR="00D91575" w:rsidRPr="00D91575" w:rsidRDefault="00D91575" w:rsidP="00732178">
      <w:pPr>
        <w:pStyle w:val="Caption"/>
        <w:keepNext/>
        <w:rPr>
          <w:b w:val="0"/>
        </w:rPr>
      </w:pPr>
      <w:bookmarkStart w:id="26" w:name="_Ref477617780"/>
      <w:r w:rsidRPr="00D91575">
        <w:rPr>
          <w:b w:val="0"/>
        </w:rPr>
        <w:t xml:space="preserve">The </w:t>
      </w:r>
      <w:r>
        <w:rPr>
          <w:b w:val="0"/>
        </w:rPr>
        <w:t xml:space="preserve">data collection tools as well as the composition of informant are summarized in </w:t>
      </w:r>
      <w:r w:rsidRPr="00D91575">
        <w:rPr>
          <w:b w:val="0"/>
        </w:rPr>
        <w:fldChar w:fldCharType="begin"/>
      </w:r>
      <w:r w:rsidRPr="00D91575">
        <w:rPr>
          <w:b w:val="0"/>
        </w:rPr>
        <w:instrText xml:space="preserve"> REF _Ref477628842  \* MERGEFORMAT </w:instrText>
      </w:r>
      <w:r w:rsidRPr="00D91575">
        <w:rPr>
          <w:b w:val="0"/>
        </w:rPr>
        <w:fldChar w:fldCharType="separate"/>
      </w:r>
      <w:r w:rsidRPr="00D91575">
        <w:rPr>
          <w:b w:val="0"/>
        </w:rPr>
        <w:t xml:space="preserve">Table </w:t>
      </w:r>
      <w:r w:rsidRPr="00D91575">
        <w:rPr>
          <w:b w:val="0"/>
          <w:noProof/>
        </w:rPr>
        <w:t>1</w:t>
      </w:r>
      <w:r w:rsidRPr="00D91575">
        <w:rPr>
          <w:b w:val="0"/>
        </w:rPr>
        <w:fldChar w:fldCharType="end"/>
      </w:r>
      <w:r>
        <w:rPr>
          <w:b w:val="0"/>
        </w:rPr>
        <w:t>.</w:t>
      </w:r>
    </w:p>
    <w:p w14:paraId="36173557" w14:textId="4130DB1C" w:rsidR="00197649" w:rsidRDefault="00732178" w:rsidP="00732178">
      <w:pPr>
        <w:pStyle w:val="Caption"/>
        <w:keepNext/>
        <w:rPr>
          <w:lang w:val="en-US"/>
        </w:rPr>
      </w:pPr>
      <w:bookmarkStart w:id="27" w:name="_Ref477628842"/>
      <w:bookmarkStart w:id="28" w:name="_Toc483361425"/>
      <w:r>
        <w:t xml:space="preserve">Table </w:t>
      </w:r>
      <w:r>
        <w:fldChar w:fldCharType="begin"/>
      </w:r>
      <w:r>
        <w:instrText xml:space="preserve"> SEQ Table \* ARABIC </w:instrText>
      </w:r>
      <w:r>
        <w:fldChar w:fldCharType="separate"/>
      </w:r>
      <w:r w:rsidR="00533232">
        <w:rPr>
          <w:noProof/>
        </w:rPr>
        <w:t>1</w:t>
      </w:r>
      <w:r>
        <w:fldChar w:fldCharType="end"/>
      </w:r>
      <w:bookmarkEnd w:id="26"/>
      <w:bookmarkEnd w:id="27"/>
      <w:r>
        <w:t xml:space="preserve">: </w:t>
      </w:r>
      <w:r w:rsidR="00197649" w:rsidRPr="00466DE4">
        <w:rPr>
          <w:b w:val="0"/>
          <w:lang w:val="en-US"/>
        </w:rPr>
        <w:t xml:space="preserve"> </w:t>
      </w:r>
      <w:r w:rsidR="00197649" w:rsidRPr="00466DE4">
        <w:rPr>
          <w:lang w:val="en-US"/>
        </w:rPr>
        <w:t>Data collection strategy</w:t>
      </w:r>
      <w:bookmarkEnd w:id="28"/>
    </w:p>
    <w:tbl>
      <w:tblPr>
        <w:tblStyle w:val="TableGrid"/>
        <w:tblW w:w="1027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
        <w:gridCol w:w="2055"/>
        <w:gridCol w:w="1836"/>
        <w:gridCol w:w="5936"/>
      </w:tblGrid>
      <w:tr w:rsidR="00D91575" w:rsidRPr="004E334A" w14:paraId="08D6AB02" w14:textId="77777777" w:rsidTr="00302064">
        <w:trPr>
          <w:trHeight w:val="432"/>
        </w:trPr>
        <w:tc>
          <w:tcPr>
            <w:tcW w:w="0" w:type="auto"/>
            <w:tcBorders>
              <w:bottom w:val="single" w:sz="4" w:space="0" w:color="auto"/>
            </w:tcBorders>
            <w:vAlign w:val="center"/>
          </w:tcPr>
          <w:p w14:paraId="69C62C06" w14:textId="079FABB4" w:rsidR="00FF4C9E" w:rsidRPr="004E334A" w:rsidRDefault="00FF4C9E" w:rsidP="00EF3F9A">
            <w:pPr>
              <w:rPr>
                <w:rFonts w:eastAsiaTheme="majorEastAsia" w:cstheme="majorBidi"/>
                <w:i/>
                <w:color w:val="243F60" w:themeColor="accent1" w:themeShade="7F"/>
                <w:lang w:val="en-US"/>
              </w:rPr>
            </w:pPr>
            <w:r>
              <w:rPr>
                <w:rFonts w:eastAsiaTheme="majorEastAsia" w:cstheme="majorBidi"/>
                <w:i/>
                <w:color w:val="243F60" w:themeColor="accent1" w:themeShade="7F"/>
                <w:lang w:val="en-US"/>
              </w:rPr>
              <w:t>ID</w:t>
            </w:r>
          </w:p>
        </w:tc>
        <w:tc>
          <w:tcPr>
            <w:tcW w:w="2055" w:type="dxa"/>
            <w:tcBorders>
              <w:bottom w:val="single" w:sz="4" w:space="0" w:color="auto"/>
            </w:tcBorders>
            <w:vAlign w:val="center"/>
          </w:tcPr>
          <w:p w14:paraId="7293D2F2" w14:textId="77777777" w:rsidR="00FF4C9E" w:rsidRPr="004E334A" w:rsidRDefault="00FF4C9E" w:rsidP="00EF3F9A">
            <w:pPr>
              <w:rPr>
                <w:rFonts w:eastAsiaTheme="majorEastAsia" w:cstheme="majorBidi"/>
                <w:i/>
                <w:color w:val="243F60" w:themeColor="accent1" w:themeShade="7F"/>
                <w:lang w:val="en-US"/>
              </w:rPr>
            </w:pPr>
            <w:r w:rsidRPr="004E334A">
              <w:rPr>
                <w:rFonts w:eastAsiaTheme="majorEastAsia" w:cstheme="majorBidi"/>
                <w:i/>
                <w:color w:val="243F60" w:themeColor="accent1" w:themeShade="7F"/>
                <w:lang w:val="en-US"/>
              </w:rPr>
              <w:t xml:space="preserve">Activity </w:t>
            </w:r>
          </w:p>
        </w:tc>
        <w:tc>
          <w:tcPr>
            <w:tcW w:w="1836" w:type="dxa"/>
            <w:tcBorders>
              <w:bottom w:val="single" w:sz="4" w:space="0" w:color="auto"/>
            </w:tcBorders>
            <w:vAlign w:val="center"/>
          </w:tcPr>
          <w:p w14:paraId="2C1075EB" w14:textId="77777777" w:rsidR="00FF4C9E" w:rsidRPr="004E334A" w:rsidRDefault="00FF4C9E" w:rsidP="00EF3F9A">
            <w:pPr>
              <w:rPr>
                <w:rFonts w:eastAsiaTheme="majorEastAsia" w:cstheme="majorBidi"/>
                <w:i/>
                <w:color w:val="243F60" w:themeColor="accent1" w:themeShade="7F"/>
                <w:lang w:val="en-US"/>
              </w:rPr>
            </w:pPr>
            <w:r w:rsidRPr="004E334A">
              <w:rPr>
                <w:rFonts w:eastAsiaTheme="majorEastAsia" w:cstheme="majorBidi"/>
                <w:i/>
                <w:color w:val="243F60" w:themeColor="accent1" w:themeShade="7F"/>
                <w:lang w:val="en-US"/>
              </w:rPr>
              <w:t>Group</w:t>
            </w:r>
          </w:p>
        </w:tc>
        <w:tc>
          <w:tcPr>
            <w:tcW w:w="0" w:type="auto"/>
            <w:tcBorders>
              <w:bottom w:val="single" w:sz="4" w:space="0" w:color="auto"/>
            </w:tcBorders>
            <w:vAlign w:val="center"/>
          </w:tcPr>
          <w:p w14:paraId="0E887059" w14:textId="4B9BF6DF" w:rsidR="00FF4C9E" w:rsidRPr="004E334A" w:rsidRDefault="00D91575" w:rsidP="00EF3F9A">
            <w:pPr>
              <w:rPr>
                <w:rFonts w:eastAsiaTheme="majorEastAsia" w:cstheme="majorBidi"/>
                <w:i/>
                <w:color w:val="243F60" w:themeColor="accent1" w:themeShade="7F"/>
                <w:lang w:val="en-US"/>
              </w:rPr>
            </w:pPr>
            <w:r>
              <w:rPr>
                <w:rFonts w:eastAsiaTheme="majorEastAsia" w:cstheme="majorBidi"/>
                <w:i/>
                <w:color w:val="243F60" w:themeColor="accent1" w:themeShade="7F"/>
                <w:lang w:val="en-US"/>
              </w:rPr>
              <w:t>Composition</w:t>
            </w:r>
            <w:r w:rsidR="00FF4C9E" w:rsidRPr="004E334A">
              <w:rPr>
                <w:rFonts w:eastAsiaTheme="majorEastAsia" w:cstheme="majorBidi"/>
                <w:i/>
                <w:color w:val="243F60" w:themeColor="accent1" w:themeShade="7F"/>
                <w:lang w:val="en-US"/>
              </w:rPr>
              <w:t xml:space="preserve"> </w:t>
            </w:r>
          </w:p>
        </w:tc>
      </w:tr>
      <w:tr w:rsidR="00D91575" w:rsidRPr="00F511A5" w14:paraId="3C0ADA70" w14:textId="77777777" w:rsidTr="00302064">
        <w:trPr>
          <w:trHeight w:val="432"/>
        </w:trPr>
        <w:tc>
          <w:tcPr>
            <w:tcW w:w="0" w:type="auto"/>
            <w:tcBorders>
              <w:top w:val="single" w:sz="4" w:space="0" w:color="auto"/>
              <w:bottom w:val="nil"/>
            </w:tcBorders>
            <w:vAlign w:val="center"/>
          </w:tcPr>
          <w:p w14:paraId="2E6B2400" w14:textId="4DB64117"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1</w:t>
            </w:r>
          </w:p>
        </w:tc>
        <w:tc>
          <w:tcPr>
            <w:tcW w:w="2055" w:type="dxa"/>
            <w:tcBorders>
              <w:top w:val="single" w:sz="4" w:space="0" w:color="auto"/>
              <w:bottom w:val="nil"/>
            </w:tcBorders>
            <w:vAlign w:val="center"/>
          </w:tcPr>
          <w:p w14:paraId="5F50EE47" w14:textId="77777777"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Wealth ranking</w:t>
            </w:r>
          </w:p>
        </w:tc>
        <w:tc>
          <w:tcPr>
            <w:tcW w:w="1836" w:type="dxa"/>
            <w:tcBorders>
              <w:top w:val="single" w:sz="4" w:space="0" w:color="auto"/>
              <w:bottom w:val="nil"/>
            </w:tcBorders>
            <w:vAlign w:val="center"/>
          </w:tcPr>
          <w:p w14:paraId="3ED20607" w14:textId="77777777"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FGD 1</w:t>
            </w:r>
          </w:p>
        </w:tc>
        <w:tc>
          <w:tcPr>
            <w:tcW w:w="0" w:type="auto"/>
            <w:tcBorders>
              <w:top w:val="single" w:sz="4" w:space="0" w:color="auto"/>
              <w:bottom w:val="nil"/>
            </w:tcBorders>
            <w:vAlign w:val="center"/>
          </w:tcPr>
          <w:p w14:paraId="59F16D29" w14:textId="395A96F0" w:rsidR="00FF4C9E" w:rsidRPr="00FF4C9E" w:rsidRDefault="00FF4C9E" w:rsidP="00EF3F9A">
            <w:pPr>
              <w:ind w:left="-55"/>
              <w:jc w:val="left"/>
              <w:rPr>
                <w:rFonts w:ascii="Times New Roman" w:hAnsi="Times New Roman" w:cs="Times New Roman"/>
                <w:lang w:val="en-US"/>
              </w:rPr>
            </w:pPr>
            <w:r w:rsidRPr="00FF4C9E">
              <w:rPr>
                <w:rFonts w:ascii="Times New Roman" w:hAnsi="Times New Roman" w:cs="Times New Roman"/>
                <w:lang w:val="en-US"/>
              </w:rPr>
              <w:t>4 males</w:t>
            </w:r>
            <w:r w:rsidR="00D91575">
              <w:rPr>
                <w:rFonts w:ascii="Times New Roman" w:hAnsi="Times New Roman" w:cs="Times New Roman"/>
                <w:lang w:val="en-US"/>
              </w:rPr>
              <w:t xml:space="preserve"> +</w:t>
            </w:r>
            <w:r w:rsidRPr="00FF4C9E">
              <w:rPr>
                <w:rFonts w:ascii="Times New Roman" w:hAnsi="Times New Roman" w:cs="Times New Roman"/>
                <w:lang w:val="en-US"/>
              </w:rPr>
              <w:t>4 females</w:t>
            </w:r>
            <w:r w:rsidR="00D91575">
              <w:rPr>
                <w:rFonts w:ascii="Times New Roman" w:hAnsi="Times New Roman" w:cs="Times New Roman"/>
                <w:lang w:val="en-US"/>
              </w:rPr>
              <w:t xml:space="preserve"> households heads</w:t>
            </w:r>
          </w:p>
        </w:tc>
      </w:tr>
      <w:tr w:rsidR="00D91575" w:rsidRPr="00F511A5" w14:paraId="1C83829C" w14:textId="77777777" w:rsidTr="00302064">
        <w:trPr>
          <w:trHeight w:val="432"/>
        </w:trPr>
        <w:tc>
          <w:tcPr>
            <w:tcW w:w="0" w:type="auto"/>
            <w:tcBorders>
              <w:top w:val="nil"/>
            </w:tcBorders>
            <w:vAlign w:val="center"/>
          </w:tcPr>
          <w:p w14:paraId="076ADC66" w14:textId="6B02247B"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2</w:t>
            </w:r>
          </w:p>
        </w:tc>
        <w:tc>
          <w:tcPr>
            <w:tcW w:w="2055" w:type="dxa"/>
            <w:tcBorders>
              <w:top w:val="nil"/>
            </w:tcBorders>
            <w:vAlign w:val="center"/>
          </w:tcPr>
          <w:p w14:paraId="2995E323" w14:textId="77777777"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Resource mapping</w:t>
            </w:r>
          </w:p>
        </w:tc>
        <w:tc>
          <w:tcPr>
            <w:tcW w:w="1836" w:type="dxa"/>
            <w:tcBorders>
              <w:top w:val="nil"/>
            </w:tcBorders>
            <w:vAlign w:val="center"/>
          </w:tcPr>
          <w:p w14:paraId="76378463" w14:textId="2E71BFF4"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 xml:space="preserve">FGD </w:t>
            </w:r>
            <w:r>
              <w:rPr>
                <w:rFonts w:ascii="Times New Roman" w:hAnsi="Times New Roman" w:cs="Times New Roman"/>
                <w:lang w:val="en-US"/>
              </w:rPr>
              <w:t>2</w:t>
            </w:r>
          </w:p>
        </w:tc>
        <w:tc>
          <w:tcPr>
            <w:tcW w:w="0" w:type="auto"/>
            <w:tcBorders>
              <w:top w:val="nil"/>
            </w:tcBorders>
            <w:vAlign w:val="center"/>
          </w:tcPr>
          <w:p w14:paraId="5E6677BB" w14:textId="4373A96A" w:rsidR="00FF4C9E" w:rsidRPr="00FF4C9E" w:rsidRDefault="00FF4C9E" w:rsidP="00EF3F9A">
            <w:pPr>
              <w:ind w:left="-55"/>
              <w:jc w:val="left"/>
              <w:rPr>
                <w:rFonts w:ascii="Times New Roman" w:hAnsi="Times New Roman" w:cs="Times New Roman"/>
                <w:lang w:val="en-US"/>
              </w:rPr>
            </w:pPr>
            <w:r w:rsidRPr="00FF4C9E">
              <w:rPr>
                <w:rFonts w:ascii="Times New Roman" w:hAnsi="Times New Roman" w:cs="Times New Roman"/>
                <w:lang w:val="en-US"/>
              </w:rPr>
              <w:t>4 males</w:t>
            </w:r>
            <w:r w:rsidR="00D91575">
              <w:rPr>
                <w:rFonts w:ascii="Times New Roman" w:hAnsi="Times New Roman" w:cs="Times New Roman"/>
                <w:lang w:val="en-US"/>
              </w:rPr>
              <w:t xml:space="preserve"> + </w:t>
            </w:r>
            <w:r w:rsidRPr="00FF4C9E">
              <w:rPr>
                <w:rFonts w:ascii="Times New Roman" w:hAnsi="Times New Roman" w:cs="Times New Roman"/>
                <w:lang w:val="en-US"/>
              </w:rPr>
              <w:t>4 females</w:t>
            </w:r>
            <w:r w:rsidR="00D91575">
              <w:rPr>
                <w:rFonts w:ascii="Times New Roman" w:hAnsi="Times New Roman" w:cs="Times New Roman"/>
                <w:lang w:val="en-US"/>
              </w:rPr>
              <w:t xml:space="preserve"> </w:t>
            </w:r>
            <w:r w:rsidR="00D91575" w:rsidRPr="00D91575">
              <w:rPr>
                <w:rFonts w:ascii="Times New Roman" w:hAnsi="Times New Roman" w:cs="Times New Roman"/>
                <w:lang w:val="en-US"/>
              </w:rPr>
              <w:t>households heads</w:t>
            </w:r>
          </w:p>
        </w:tc>
      </w:tr>
      <w:tr w:rsidR="00D91575" w:rsidRPr="00F511A5" w14:paraId="463F4A85" w14:textId="77777777" w:rsidTr="00302064">
        <w:trPr>
          <w:trHeight w:val="432"/>
        </w:trPr>
        <w:tc>
          <w:tcPr>
            <w:tcW w:w="0" w:type="auto"/>
            <w:vAlign w:val="center"/>
          </w:tcPr>
          <w:p w14:paraId="7C366D77" w14:textId="151BF10B"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3</w:t>
            </w:r>
          </w:p>
        </w:tc>
        <w:tc>
          <w:tcPr>
            <w:tcW w:w="2055" w:type="dxa"/>
            <w:vAlign w:val="center"/>
          </w:tcPr>
          <w:p w14:paraId="4F12636B" w14:textId="77777777"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SWOT analysis</w:t>
            </w:r>
          </w:p>
        </w:tc>
        <w:tc>
          <w:tcPr>
            <w:tcW w:w="1836" w:type="dxa"/>
            <w:vAlign w:val="center"/>
          </w:tcPr>
          <w:p w14:paraId="0F7CDD03" w14:textId="41A855CF" w:rsidR="00FF4C9E" w:rsidRPr="00F511A5" w:rsidRDefault="00FF4C9E" w:rsidP="00EF3F9A">
            <w:pPr>
              <w:jc w:val="left"/>
              <w:rPr>
                <w:rFonts w:ascii="Times New Roman" w:hAnsi="Times New Roman" w:cs="Times New Roman"/>
              </w:rPr>
            </w:pPr>
            <w:r w:rsidRPr="00F511A5">
              <w:rPr>
                <w:rFonts w:ascii="Times New Roman" w:hAnsi="Times New Roman" w:cs="Times New Roman"/>
                <w:lang w:val="en-US"/>
              </w:rPr>
              <w:t xml:space="preserve">FGD </w:t>
            </w:r>
            <w:r>
              <w:rPr>
                <w:rFonts w:ascii="Times New Roman" w:hAnsi="Times New Roman" w:cs="Times New Roman"/>
                <w:lang w:val="en-US"/>
              </w:rPr>
              <w:t>3</w:t>
            </w:r>
          </w:p>
        </w:tc>
        <w:tc>
          <w:tcPr>
            <w:tcW w:w="0" w:type="auto"/>
            <w:vAlign w:val="center"/>
          </w:tcPr>
          <w:p w14:paraId="44376719" w14:textId="5745463D" w:rsidR="00FF4C9E" w:rsidRPr="00F511A5" w:rsidRDefault="00FF4C9E" w:rsidP="00EF3F9A">
            <w:pPr>
              <w:ind w:left="-54"/>
              <w:jc w:val="left"/>
              <w:rPr>
                <w:rFonts w:ascii="Times New Roman" w:hAnsi="Times New Roman" w:cs="Times New Roman"/>
                <w:lang w:val="en-US"/>
              </w:rPr>
            </w:pPr>
            <w:r w:rsidRPr="00F511A5">
              <w:rPr>
                <w:rFonts w:ascii="Times New Roman" w:hAnsi="Times New Roman" w:cs="Times New Roman"/>
                <w:lang w:val="en-US"/>
              </w:rPr>
              <w:t xml:space="preserve">8 males </w:t>
            </w:r>
            <w:r w:rsidR="00D91575" w:rsidRPr="00D91575">
              <w:rPr>
                <w:rFonts w:ascii="Times New Roman" w:hAnsi="Times New Roman" w:cs="Times New Roman"/>
                <w:lang w:val="en-US"/>
              </w:rPr>
              <w:t>households heads</w:t>
            </w:r>
          </w:p>
        </w:tc>
      </w:tr>
      <w:tr w:rsidR="00D91575" w:rsidRPr="00F511A5" w14:paraId="0DB4669E" w14:textId="77777777" w:rsidTr="00302064">
        <w:trPr>
          <w:trHeight w:val="432"/>
        </w:trPr>
        <w:tc>
          <w:tcPr>
            <w:tcW w:w="0" w:type="auto"/>
            <w:vAlign w:val="center"/>
          </w:tcPr>
          <w:p w14:paraId="051AAA62" w14:textId="17A9F09E"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4</w:t>
            </w:r>
          </w:p>
        </w:tc>
        <w:tc>
          <w:tcPr>
            <w:tcW w:w="2055" w:type="dxa"/>
            <w:vAlign w:val="center"/>
          </w:tcPr>
          <w:p w14:paraId="6B0731D0" w14:textId="77777777"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SWOT analysis</w:t>
            </w:r>
          </w:p>
        </w:tc>
        <w:tc>
          <w:tcPr>
            <w:tcW w:w="1836" w:type="dxa"/>
            <w:vAlign w:val="center"/>
          </w:tcPr>
          <w:p w14:paraId="0E0EEBF5" w14:textId="39D66A65" w:rsidR="00FF4C9E" w:rsidRPr="00F511A5" w:rsidRDefault="00FF4C9E" w:rsidP="00EF3F9A">
            <w:pPr>
              <w:jc w:val="left"/>
              <w:rPr>
                <w:rFonts w:ascii="Times New Roman" w:hAnsi="Times New Roman" w:cs="Times New Roman"/>
              </w:rPr>
            </w:pPr>
            <w:r w:rsidRPr="00F511A5">
              <w:rPr>
                <w:rFonts w:ascii="Times New Roman" w:hAnsi="Times New Roman" w:cs="Times New Roman"/>
                <w:lang w:val="en-US"/>
              </w:rPr>
              <w:t xml:space="preserve">FGD </w:t>
            </w:r>
            <w:r>
              <w:rPr>
                <w:rFonts w:ascii="Times New Roman" w:hAnsi="Times New Roman" w:cs="Times New Roman"/>
                <w:lang w:val="en-US"/>
              </w:rPr>
              <w:t>4</w:t>
            </w:r>
          </w:p>
        </w:tc>
        <w:tc>
          <w:tcPr>
            <w:tcW w:w="0" w:type="auto"/>
            <w:vAlign w:val="center"/>
          </w:tcPr>
          <w:p w14:paraId="6D7EBEFD" w14:textId="406ADB4E" w:rsidR="00FF4C9E" w:rsidRPr="00F511A5" w:rsidRDefault="00FF4C9E" w:rsidP="00EF3F9A">
            <w:pPr>
              <w:jc w:val="left"/>
              <w:rPr>
                <w:rFonts w:ascii="Times New Roman" w:hAnsi="Times New Roman" w:cs="Times New Roman"/>
                <w:lang w:val="en-US"/>
              </w:rPr>
            </w:pPr>
            <w:r w:rsidRPr="00F511A5">
              <w:rPr>
                <w:rFonts w:ascii="Times New Roman" w:hAnsi="Times New Roman" w:cs="Times New Roman"/>
                <w:lang w:val="en-US"/>
              </w:rPr>
              <w:t xml:space="preserve">8 females </w:t>
            </w:r>
            <w:r w:rsidR="00D91575" w:rsidRPr="00D91575">
              <w:rPr>
                <w:rFonts w:ascii="Times New Roman" w:hAnsi="Times New Roman" w:cs="Times New Roman"/>
                <w:lang w:val="en-US"/>
              </w:rPr>
              <w:t>households heads</w:t>
            </w:r>
          </w:p>
        </w:tc>
      </w:tr>
      <w:tr w:rsidR="00D91575" w:rsidRPr="00F511A5" w14:paraId="2625C215" w14:textId="77777777" w:rsidTr="00302064">
        <w:trPr>
          <w:trHeight w:val="432"/>
        </w:trPr>
        <w:tc>
          <w:tcPr>
            <w:tcW w:w="0" w:type="auto"/>
            <w:vAlign w:val="center"/>
          </w:tcPr>
          <w:p w14:paraId="5CD18174" w14:textId="79DAE0AE" w:rsidR="00FF4C9E" w:rsidRPr="00F511A5" w:rsidRDefault="00FF4C9E" w:rsidP="00EF3F9A">
            <w:pPr>
              <w:jc w:val="left"/>
              <w:rPr>
                <w:rFonts w:ascii="Times New Roman" w:hAnsi="Times New Roman" w:cs="Times New Roman"/>
                <w:lang w:val="en-US"/>
              </w:rPr>
            </w:pPr>
            <w:r>
              <w:rPr>
                <w:rFonts w:ascii="Times New Roman" w:hAnsi="Times New Roman" w:cs="Times New Roman"/>
                <w:lang w:val="en-US"/>
              </w:rPr>
              <w:t>5</w:t>
            </w:r>
          </w:p>
        </w:tc>
        <w:tc>
          <w:tcPr>
            <w:tcW w:w="2055" w:type="dxa"/>
            <w:vAlign w:val="center"/>
          </w:tcPr>
          <w:p w14:paraId="6C6038F9" w14:textId="77777777" w:rsidR="00FF4C9E" w:rsidRPr="00F511A5" w:rsidRDefault="00FF4C9E" w:rsidP="00EF3F9A">
            <w:pPr>
              <w:jc w:val="left"/>
              <w:rPr>
                <w:rFonts w:ascii="Times New Roman" w:hAnsi="Times New Roman" w:cs="Times New Roman"/>
                <w:lang w:val="en-US"/>
              </w:rPr>
            </w:pPr>
            <w:r>
              <w:rPr>
                <w:rFonts w:ascii="Times New Roman" w:hAnsi="Times New Roman" w:cs="Times New Roman"/>
                <w:lang w:val="en-US"/>
              </w:rPr>
              <w:t>Key informant interviews</w:t>
            </w:r>
          </w:p>
        </w:tc>
        <w:tc>
          <w:tcPr>
            <w:tcW w:w="1836" w:type="dxa"/>
            <w:vAlign w:val="center"/>
          </w:tcPr>
          <w:p w14:paraId="42768FA2" w14:textId="77777777" w:rsidR="00FF4C9E" w:rsidRPr="00F511A5" w:rsidRDefault="00FF4C9E" w:rsidP="00EF3F9A">
            <w:pPr>
              <w:jc w:val="left"/>
              <w:rPr>
                <w:rFonts w:ascii="Times New Roman" w:hAnsi="Times New Roman" w:cs="Times New Roman"/>
                <w:lang w:val="en-US"/>
              </w:rPr>
            </w:pPr>
            <w:r>
              <w:rPr>
                <w:rFonts w:ascii="Times New Roman" w:hAnsi="Times New Roman" w:cs="Times New Roman"/>
                <w:lang w:val="en-US"/>
              </w:rPr>
              <w:t>KI</w:t>
            </w:r>
          </w:p>
        </w:tc>
        <w:tc>
          <w:tcPr>
            <w:tcW w:w="0" w:type="auto"/>
            <w:vAlign w:val="center"/>
          </w:tcPr>
          <w:p w14:paraId="62BF76F4" w14:textId="209026A9" w:rsidR="00FF4C9E" w:rsidRPr="00D91575" w:rsidRDefault="00D91575" w:rsidP="00EF3F9A">
            <w:pPr>
              <w:jc w:val="left"/>
              <w:rPr>
                <w:rFonts w:ascii="Times New Roman" w:hAnsi="Times New Roman" w:cs="Times New Roman"/>
                <w:lang w:val="en-US"/>
              </w:rPr>
            </w:pPr>
            <w:r>
              <w:rPr>
                <w:rFonts w:ascii="Times New Roman" w:hAnsi="Times New Roman" w:cs="Times New Roman"/>
                <w:lang w:val="en-US"/>
              </w:rPr>
              <w:t xml:space="preserve">Syrian refugees community leaders, </w:t>
            </w:r>
            <w:proofErr w:type="spellStart"/>
            <w:r>
              <w:rPr>
                <w:rFonts w:ascii="Times New Roman" w:hAnsi="Times New Roman" w:cs="Times New Roman"/>
                <w:lang w:val="en-US"/>
              </w:rPr>
              <w:t>Agri</w:t>
            </w:r>
            <w:proofErr w:type="spellEnd"/>
            <w:r>
              <w:rPr>
                <w:rFonts w:ascii="Times New Roman" w:hAnsi="Times New Roman" w:cs="Times New Roman"/>
                <w:lang w:val="en-US"/>
              </w:rPr>
              <w:t>-Jordan which is a private company in agricultural production, the International Labor Organization, the Ministry of Agriculture</w:t>
            </w:r>
          </w:p>
        </w:tc>
      </w:tr>
      <w:tr w:rsidR="00D91575" w:rsidRPr="00F511A5" w14:paraId="07BF066E" w14:textId="77777777" w:rsidTr="00302064">
        <w:trPr>
          <w:trHeight w:val="432"/>
        </w:trPr>
        <w:tc>
          <w:tcPr>
            <w:tcW w:w="0" w:type="auto"/>
            <w:vAlign w:val="center"/>
          </w:tcPr>
          <w:p w14:paraId="22941FB1" w14:textId="17061AFD" w:rsidR="00FF4C9E" w:rsidRDefault="00FF4C9E" w:rsidP="00EF3F9A">
            <w:pPr>
              <w:jc w:val="left"/>
              <w:rPr>
                <w:rFonts w:ascii="Times New Roman" w:hAnsi="Times New Roman" w:cs="Times New Roman"/>
                <w:lang w:val="en-US"/>
              </w:rPr>
            </w:pPr>
            <w:r>
              <w:rPr>
                <w:rFonts w:ascii="Times New Roman" w:hAnsi="Times New Roman" w:cs="Times New Roman"/>
                <w:lang w:val="en-US"/>
              </w:rPr>
              <w:t>6</w:t>
            </w:r>
          </w:p>
        </w:tc>
        <w:tc>
          <w:tcPr>
            <w:tcW w:w="2055" w:type="dxa"/>
            <w:vAlign w:val="center"/>
          </w:tcPr>
          <w:p w14:paraId="2790908F" w14:textId="3D6D36CD" w:rsidR="00FF4C9E" w:rsidRDefault="00FF4C9E" w:rsidP="00EF3F9A">
            <w:pPr>
              <w:jc w:val="left"/>
              <w:rPr>
                <w:rFonts w:ascii="Times New Roman" w:hAnsi="Times New Roman" w:cs="Times New Roman"/>
                <w:lang w:val="en-US"/>
              </w:rPr>
            </w:pPr>
            <w:r w:rsidRPr="00FC6E51">
              <w:rPr>
                <w:rFonts w:ascii="Times New Roman" w:hAnsi="Times New Roman" w:cs="Times New Roman"/>
                <w:lang w:val="en-US"/>
              </w:rPr>
              <w:t>Household survey</w:t>
            </w:r>
          </w:p>
        </w:tc>
        <w:tc>
          <w:tcPr>
            <w:tcW w:w="1836" w:type="dxa"/>
            <w:vAlign w:val="center"/>
          </w:tcPr>
          <w:p w14:paraId="70068DD2" w14:textId="331376B5" w:rsidR="00FF4C9E" w:rsidRDefault="00D91575" w:rsidP="00302064">
            <w:pPr>
              <w:jc w:val="left"/>
              <w:rPr>
                <w:rFonts w:ascii="Times New Roman" w:hAnsi="Times New Roman" w:cs="Times New Roman"/>
                <w:lang w:val="en-US"/>
              </w:rPr>
            </w:pPr>
            <w:r>
              <w:rPr>
                <w:rFonts w:ascii="Times New Roman" w:hAnsi="Times New Roman" w:cs="Times New Roman"/>
                <w:lang w:val="en-US"/>
              </w:rPr>
              <w:t>3</w:t>
            </w:r>
            <w:r w:rsidR="00302064">
              <w:rPr>
                <w:rFonts w:ascii="Times New Roman" w:hAnsi="Times New Roman" w:cs="Times New Roman"/>
                <w:lang w:val="en-US"/>
              </w:rPr>
              <w:t>60</w:t>
            </w:r>
            <w:r w:rsidR="00FF4C9E">
              <w:rPr>
                <w:rFonts w:ascii="Times New Roman" w:hAnsi="Times New Roman" w:cs="Times New Roman"/>
                <w:lang w:val="en-US"/>
              </w:rPr>
              <w:t xml:space="preserve"> households</w:t>
            </w:r>
          </w:p>
        </w:tc>
        <w:tc>
          <w:tcPr>
            <w:tcW w:w="0" w:type="auto"/>
            <w:vAlign w:val="center"/>
          </w:tcPr>
          <w:p w14:paraId="467BA341" w14:textId="22A20431" w:rsidR="00FF4C9E" w:rsidRPr="00FC6E51" w:rsidRDefault="00FF4C9E" w:rsidP="00EF3F9A">
            <w:pPr>
              <w:ind w:left="-55"/>
              <w:jc w:val="left"/>
              <w:rPr>
                <w:rFonts w:ascii="Times New Roman" w:hAnsi="Times New Roman" w:cs="Times New Roman"/>
                <w:lang w:val="en-US"/>
              </w:rPr>
            </w:pPr>
            <w:r w:rsidRPr="00FC6E51">
              <w:rPr>
                <w:rFonts w:ascii="Times New Roman" w:hAnsi="Times New Roman" w:cs="Times New Roman"/>
                <w:lang w:val="en-US"/>
              </w:rPr>
              <w:t>Household heads</w:t>
            </w:r>
            <w:r>
              <w:rPr>
                <w:rFonts w:ascii="Times New Roman" w:hAnsi="Times New Roman" w:cs="Times New Roman"/>
                <w:lang w:val="en-US"/>
              </w:rPr>
              <w:t xml:space="preserve"> and other relevant members</w:t>
            </w:r>
          </w:p>
        </w:tc>
      </w:tr>
    </w:tbl>
    <w:p w14:paraId="3A03DD7B" w14:textId="77777777" w:rsidR="00043A9A" w:rsidRDefault="00043A9A" w:rsidP="004C1446">
      <w:pPr>
        <w:spacing w:after="0"/>
      </w:pPr>
    </w:p>
    <w:p w14:paraId="20B10A8C" w14:textId="1B1585DC" w:rsidR="004C1446" w:rsidRDefault="004C1446" w:rsidP="0048420D">
      <w:pPr>
        <w:spacing w:line="276" w:lineRule="auto"/>
      </w:pPr>
      <w:r>
        <w:t>A total number of 12 enumerators were hired and trained on the questionnaire to ensure th</w:t>
      </w:r>
      <w:r w:rsidR="00E00BB9">
        <w:t>at th</w:t>
      </w:r>
      <w:r>
        <w:t>ey fully understand the purpose of the study and the content of the questionnaire. The questionnaire were loaded on tablets and pre-tested.</w:t>
      </w:r>
    </w:p>
    <w:p w14:paraId="05A638EF" w14:textId="77777777" w:rsidR="004C1446" w:rsidRPr="004C1446" w:rsidRDefault="004C1446" w:rsidP="00466DE4"/>
    <w:p w14:paraId="61856A6D" w14:textId="77777777" w:rsidR="00197649" w:rsidRPr="00D75C16" w:rsidRDefault="00197649" w:rsidP="00197649">
      <w:pPr>
        <w:spacing w:after="0"/>
        <w:rPr>
          <w:rFonts w:cs="Times New Roman"/>
          <w:b/>
          <w:i/>
          <w:szCs w:val="24"/>
        </w:rPr>
      </w:pPr>
    </w:p>
    <w:p w14:paraId="28124780" w14:textId="6F459D20" w:rsidR="008F069D" w:rsidRDefault="008F069D">
      <w:pPr>
        <w:rPr>
          <w:rFonts w:asciiTheme="majorHAnsi" w:eastAsiaTheme="majorEastAsia" w:hAnsiTheme="majorHAnsi" w:cstheme="majorBidi"/>
          <w:color w:val="365F91" w:themeColor="accent1" w:themeShade="BF"/>
          <w:sz w:val="32"/>
          <w:szCs w:val="32"/>
          <w:lang w:val="it-IT"/>
        </w:rPr>
      </w:pPr>
      <w:r>
        <w:br w:type="page"/>
      </w:r>
    </w:p>
    <w:p w14:paraId="5650C48B" w14:textId="0EF6AB32" w:rsidR="00C3608C" w:rsidRPr="00197649" w:rsidRDefault="00197649" w:rsidP="00E60353">
      <w:pPr>
        <w:pStyle w:val="Heading1"/>
      </w:pPr>
      <w:bookmarkStart w:id="29" w:name="_Toc483361461"/>
      <w:r>
        <w:lastRenderedPageBreak/>
        <w:t>References</w:t>
      </w:r>
      <w:bookmarkEnd w:id="29"/>
    </w:p>
    <w:p w14:paraId="7B773A8B" w14:textId="075CC475" w:rsidR="004C58C3" w:rsidRDefault="004C58C3" w:rsidP="00BE52AC">
      <w:pPr>
        <w:spacing w:after="0"/>
        <w:rPr>
          <w:lang w:val="en-US"/>
        </w:rPr>
      </w:pPr>
    </w:p>
    <w:p w14:paraId="25E254E4" w14:textId="77777777" w:rsidR="004C58C3" w:rsidRPr="004C58C3" w:rsidRDefault="00D75C16" w:rsidP="004C58C3">
      <w:pPr>
        <w:spacing w:after="0"/>
        <w:ind w:left="720" w:hanging="720"/>
        <w:rPr>
          <w:rFonts w:asciiTheme="majorHAnsi" w:eastAsiaTheme="majorEastAsia" w:hAnsiTheme="majorHAnsi" w:cstheme="majorBidi"/>
          <w:noProof/>
          <w:szCs w:val="24"/>
          <w:lang w:val="it-IT"/>
        </w:rPr>
      </w:pPr>
      <w:r>
        <w:rPr>
          <w:rFonts w:asciiTheme="majorHAnsi" w:eastAsiaTheme="majorEastAsia" w:hAnsiTheme="majorHAnsi" w:cstheme="majorBidi"/>
          <w:color w:val="365F91" w:themeColor="accent1" w:themeShade="BF"/>
          <w:sz w:val="32"/>
          <w:szCs w:val="32"/>
          <w:lang w:val="it-IT"/>
        </w:rPr>
        <w:fldChar w:fldCharType="begin"/>
      </w:r>
      <w:r>
        <w:rPr>
          <w:rFonts w:asciiTheme="majorHAnsi" w:eastAsiaTheme="majorEastAsia" w:hAnsiTheme="majorHAnsi" w:cstheme="majorBidi"/>
          <w:color w:val="365F91" w:themeColor="accent1" w:themeShade="BF"/>
          <w:sz w:val="32"/>
          <w:szCs w:val="32"/>
          <w:lang w:val="it-IT"/>
        </w:rPr>
        <w:instrText xml:space="preserve"> ADDIN EN.REFLIST </w:instrText>
      </w:r>
      <w:r>
        <w:rPr>
          <w:rFonts w:asciiTheme="majorHAnsi" w:eastAsiaTheme="majorEastAsia" w:hAnsiTheme="majorHAnsi" w:cstheme="majorBidi"/>
          <w:color w:val="365F91" w:themeColor="accent1" w:themeShade="BF"/>
          <w:sz w:val="32"/>
          <w:szCs w:val="32"/>
          <w:lang w:val="it-IT"/>
        </w:rPr>
        <w:fldChar w:fldCharType="separate"/>
      </w:r>
      <w:bookmarkStart w:id="30" w:name="_ENREF_1"/>
      <w:r w:rsidR="004C58C3" w:rsidRPr="004C58C3">
        <w:rPr>
          <w:rFonts w:asciiTheme="majorHAnsi" w:eastAsiaTheme="majorEastAsia" w:hAnsiTheme="majorHAnsi" w:cstheme="majorBidi"/>
          <w:noProof/>
          <w:szCs w:val="24"/>
          <w:lang w:val="it-IT"/>
        </w:rPr>
        <w:t>DEPARTMENT OF STATISTICS 2015. Year book 2015. Amman, Jordan: Department of Statisitics.</w:t>
      </w:r>
      <w:bookmarkEnd w:id="30"/>
    </w:p>
    <w:p w14:paraId="7374B460" w14:textId="77777777" w:rsidR="004C58C3" w:rsidRPr="004C58C3" w:rsidRDefault="004C58C3" w:rsidP="004C58C3">
      <w:pPr>
        <w:spacing w:after="0"/>
        <w:ind w:left="720" w:hanging="720"/>
        <w:rPr>
          <w:rFonts w:asciiTheme="majorHAnsi" w:eastAsiaTheme="majorEastAsia" w:hAnsiTheme="majorHAnsi" w:cstheme="majorBidi"/>
          <w:noProof/>
          <w:szCs w:val="24"/>
          <w:lang w:val="it-IT"/>
        </w:rPr>
      </w:pPr>
      <w:bookmarkStart w:id="31" w:name="_ENREF_2"/>
      <w:r w:rsidRPr="004C58C3">
        <w:rPr>
          <w:rFonts w:asciiTheme="majorHAnsi" w:eastAsiaTheme="majorEastAsia" w:hAnsiTheme="majorHAnsi" w:cstheme="majorBidi"/>
          <w:noProof/>
          <w:szCs w:val="24"/>
          <w:lang w:val="it-IT"/>
        </w:rPr>
        <w:t>DEPARTMENT OF STATISTICS AND WORLD FOOD PROGRAM 2016. The State of Food Security in Jordan (2013–2014). Analytical Report. Amman, Jordan: Department of Statistics.</w:t>
      </w:r>
      <w:bookmarkEnd w:id="31"/>
    </w:p>
    <w:p w14:paraId="435BDEE9" w14:textId="35FB9E04" w:rsidR="004C58C3" w:rsidRPr="004C58C3" w:rsidRDefault="004C58C3" w:rsidP="004C58C3">
      <w:pPr>
        <w:spacing w:after="0"/>
        <w:ind w:left="720" w:hanging="720"/>
        <w:rPr>
          <w:rFonts w:asciiTheme="majorHAnsi" w:eastAsiaTheme="majorEastAsia" w:hAnsiTheme="majorHAnsi" w:cstheme="majorBidi"/>
          <w:noProof/>
          <w:szCs w:val="24"/>
          <w:lang w:val="it-IT"/>
        </w:rPr>
      </w:pPr>
      <w:bookmarkStart w:id="32" w:name="_ENREF_3"/>
      <w:r w:rsidRPr="004C58C3">
        <w:rPr>
          <w:rFonts w:asciiTheme="majorHAnsi" w:eastAsiaTheme="majorEastAsia" w:hAnsiTheme="majorHAnsi" w:cstheme="majorBidi"/>
          <w:noProof/>
          <w:szCs w:val="24"/>
          <w:lang w:val="it-IT"/>
        </w:rPr>
        <w:t xml:space="preserve">DFID. 1999. </w:t>
      </w:r>
      <w:r w:rsidRPr="004C58C3">
        <w:rPr>
          <w:rFonts w:asciiTheme="majorHAnsi" w:eastAsiaTheme="majorEastAsia" w:hAnsiTheme="majorHAnsi" w:cstheme="majorBidi"/>
          <w:i/>
          <w:noProof/>
          <w:szCs w:val="24"/>
          <w:lang w:val="it-IT"/>
        </w:rPr>
        <w:t xml:space="preserve">Sustainable livelihoods guidance sheets </w:t>
      </w:r>
      <w:r w:rsidRPr="004C58C3">
        <w:rPr>
          <w:rFonts w:asciiTheme="majorHAnsi" w:eastAsiaTheme="majorEastAsia" w:hAnsiTheme="majorHAnsi" w:cstheme="majorBidi"/>
          <w:noProof/>
          <w:szCs w:val="24"/>
          <w:lang w:val="it-IT"/>
        </w:rPr>
        <w:t xml:space="preserve">[Online]. Available: </w:t>
      </w:r>
      <w:hyperlink r:id="rId19" w:history="1">
        <w:r w:rsidRPr="00A368C9">
          <w:rPr>
            <w:rStyle w:val="Hyperlink"/>
            <w:rFonts w:asciiTheme="majorHAnsi" w:eastAsiaTheme="majorEastAsia" w:hAnsiTheme="majorHAnsi" w:cstheme="majorBidi"/>
            <w:noProof/>
            <w:color w:val="auto"/>
            <w:szCs w:val="24"/>
            <w:lang w:val="it-IT"/>
          </w:rPr>
          <w:t>http://www.efls.ca/webresources/DFID_Sustainable_livelihoods_guidance_sheet.pdf</w:t>
        </w:r>
      </w:hyperlink>
      <w:r w:rsidRPr="004C58C3">
        <w:rPr>
          <w:rFonts w:asciiTheme="majorHAnsi" w:eastAsiaTheme="majorEastAsia" w:hAnsiTheme="majorHAnsi" w:cstheme="majorBidi"/>
          <w:noProof/>
          <w:szCs w:val="24"/>
          <w:lang w:val="it-IT"/>
        </w:rPr>
        <w:t xml:space="preserve"> [Accessed 15 February 2014].</w:t>
      </w:r>
      <w:bookmarkEnd w:id="32"/>
    </w:p>
    <w:p w14:paraId="4A3D448B" w14:textId="06CEC83F" w:rsidR="004C58C3" w:rsidRPr="004C58C3" w:rsidRDefault="004C58C3" w:rsidP="004C58C3">
      <w:pPr>
        <w:spacing w:after="0"/>
        <w:ind w:left="720" w:hanging="720"/>
        <w:rPr>
          <w:rFonts w:asciiTheme="majorHAnsi" w:eastAsiaTheme="majorEastAsia" w:hAnsiTheme="majorHAnsi" w:cstheme="majorBidi"/>
          <w:noProof/>
          <w:szCs w:val="24"/>
          <w:lang w:val="it-IT"/>
        </w:rPr>
      </w:pPr>
      <w:bookmarkStart w:id="33" w:name="_ENREF_4"/>
      <w:r w:rsidRPr="004C58C3">
        <w:rPr>
          <w:rFonts w:asciiTheme="majorHAnsi" w:eastAsiaTheme="majorEastAsia" w:hAnsiTheme="majorHAnsi" w:cstheme="majorBidi"/>
          <w:noProof/>
          <w:szCs w:val="24"/>
          <w:lang w:val="it-IT"/>
        </w:rPr>
        <w:t xml:space="preserve">DOS. 2017a. </w:t>
      </w:r>
      <w:r w:rsidRPr="004C58C3">
        <w:rPr>
          <w:rFonts w:asciiTheme="majorHAnsi" w:eastAsiaTheme="majorEastAsia" w:hAnsiTheme="majorHAnsi" w:cstheme="majorBidi"/>
          <w:i/>
          <w:noProof/>
          <w:szCs w:val="24"/>
          <w:lang w:val="it-IT"/>
        </w:rPr>
        <w:t xml:space="preserve">Domestic Exports by Commodity DuringJanuary 2016 and 2017 </w:t>
      </w:r>
      <w:r w:rsidRPr="004C58C3">
        <w:rPr>
          <w:rFonts w:asciiTheme="majorHAnsi" w:eastAsiaTheme="majorEastAsia" w:hAnsiTheme="majorHAnsi" w:cstheme="majorBidi"/>
          <w:noProof/>
          <w:szCs w:val="24"/>
          <w:lang w:val="it-IT"/>
        </w:rPr>
        <w:t xml:space="preserve">[Online]. Amman, Jordan: Department of Statistics of Jordan. Available: </w:t>
      </w:r>
      <w:hyperlink r:id="rId20" w:history="1">
        <w:r w:rsidRPr="00A368C9">
          <w:rPr>
            <w:rStyle w:val="Hyperlink"/>
            <w:rFonts w:asciiTheme="majorHAnsi" w:eastAsiaTheme="majorEastAsia" w:hAnsiTheme="majorHAnsi" w:cstheme="majorBidi"/>
            <w:noProof/>
            <w:color w:val="auto"/>
            <w:szCs w:val="24"/>
            <w:lang w:val="it-IT"/>
          </w:rPr>
          <w:t>http://www.dos.gov.jo/dos_home_e/main/linked-html/ex_trad.htm</w:t>
        </w:r>
      </w:hyperlink>
      <w:r w:rsidRPr="004C58C3">
        <w:rPr>
          <w:rFonts w:asciiTheme="majorHAnsi" w:eastAsiaTheme="majorEastAsia" w:hAnsiTheme="majorHAnsi" w:cstheme="majorBidi"/>
          <w:noProof/>
          <w:szCs w:val="24"/>
          <w:lang w:val="it-IT"/>
        </w:rPr>
        <w:t xml:space="preserve"> [Accessed May 8, 2017 2017].</w:t>
      </w:r>
      <w:bookmarkEnd w:id="33"/>
    </w:p>
    <w:p w14:paraId="3524BCEA" w14:textId="1480067E"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34" w:name="_ENREF_5"/>
      <w:r w:rsidRPr="004C58C3">
        <w:rPr>
          <w:rFonts w:asciiTheme="majorHAnsi" w:eastAsiaTheme="majorEastAsia" w:hAnsiTheme="majorHAnsi" w:cstheme="majorBidi"/>
          <w:noProof/>
          <w:szCs w:val="24"/>
          <w:lang w:val="it-IT"/>
        </w:rPr>
        <w:t xml:space="preserve">DOS. 2017b. </w:t>
      </w:r>
      <w:r w:rsidRPr="004C58C3">
        <w:rPr>
          <w:rFonts w:asciiTheme="majorHAnsi" w:eastAsiaTheme="majorEastAsia" w:hAnsiTheme="majorHAnsi" w:cstheme="majorBidi"/>
          <w:i/>
          <w:noProof/>
          <w:szCs w:val="24"/>
          <w:lang w:val="it-IT"/>
        </w:rPr>
        <w:t xml:space="preserve">Main Indicators of Jordan </w:t>
      </w:r>
      <w:r w:rsidRPr="004C58C3">
        <w:rPr>
          <w:rFonts w:asciiTheme="majorHAnsi" w:eastAsiaTheme="majorEastAsia" w:hAnsiTheme="majorHAnsi" w:cstheme="majorBidi"/>
          <w:noProof/>
          <w:szCs w:val="24"/>
          <w:lang w:val="it-IT"/>
        </w:rPr>
        <w:t xml:space="preserve">[Online]. Amman, Jordan. Available: </w:t>
      </w:r>
      <w:hyperlink r:id="rId21" w:history="1">
        <w:r w:rsidRPr="00A368C9">
          <w:rPr>
            <w:rStyle w:val="Hyperlink"/>
            <w:rFonts w:asciiTheme="majorHAnsi" w:eastAsiaTheme="majorEastAsia" w:hAnsiTheme="majorHAnsi" w:cstheme="majorBidi"/>
            <w:noProof/>
            <w:color w:val="auto"/>
            <w:szCs w:val="24"/>
            <w:lang w:val="it-IT"/>
          </w:rPr>
          <w:t>http://web.dos.gov.jo</w:t>
        </w:r>
      </w:hyperlink>
      <w:r w:rsidRPr="004C58C3">
        <w:rPr>
          <w:rFonts w:asciiTheme="majorHAnsi" w:eastAsiaTheme="majorEastAsia" w:hAnsiTheme="majorHAnsi" w:cstheme="majorBidi"/>
          <w:noProof/>
          <w:szCs w:val="24"/>
          <w:lang w:val="it-IT"/>
        </w:rPr>
        <w:t xml:space="preserve"> [Accessed Mai 8, 2017 2017].</w:t>
      </w:r>
      <w:bookmarkEnd w:id="34"/>
    </w:p>
    <w:p w14:paraId="661123C6" w14:textId="2C27A1D6"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35" w:name="_ENREF_6"/>
      <w:r w:rsidRPr="004C58C3">
        <w:rPr>
          <w:rFonts w:asciiTheme="majorHAnsi" w:eastAsiaTheme="majorEastAsia" w:hAnsiTheme="majorHAnsi" w:cstheme="majorBidi"/>
          <w:noProof/>
          <w:szCs w:val="24"/>
          <w:lang w:val="it-IT"/>
        </w:rPr>
        <w:t xml:space="preserve">DOS. 2017c. </w:t>
      </w:r>
      <w:r w:rsidRPr="004C58C3">
        <w:rPr>
          <w:rFonts w:asciiTheme="majorHAnsi" w:eastAsiaTheme="majorEastAsia" w:hAnsiTheme="majorHAnsi" w:cstheme="majorBidi"/>
          <w:i/>
          <w:noProof/>
          <w:szCs w:val="24"/>
          <w:lang w:val="it-IT"/>
        </w:rPr>
        <w:t xml:space="preserve">Number of Employees in the Livestock Activity aged 16 Years and Above by Kind of Labor, Sex and Nationality in the Kingdom 2015 </w:t>
      </w:r>
      <w:r w:rsidRPr="004C58C3">
        <w:rPr>
          <w:rFonts w:asciiTheme="majorHAnsi" w:eastAsiaTheme="majorEastAsia" w:hAnsiTheme="majorHAnsi" w:cstheme="majorBidi"/>
          <w:noProof/>
          <w:szCs w:val="24"/>
          <w:lang w:val="it-IT"/>
        </w:rPr>
        <w:t xml:space="preserve">[Online]. Amman, Jordan. Available: </w:t>
      </w:r>
      <w:hyperlink r:id="rId22" w:history="1">
        <w:r w:rsidRPr="00A368C9">
          <w:rPr>
            <w:rStyle w:val="Hyperlink"/>
            <w:rFonts w:asciiTheme="majorHAnsi" w:eastAsiaTheme="majorEastAsia" w:hAnsiTheme="majorHAnsi" w:cstheme="majorBidi"/>
            <w:noProof/>
            <w:color w:val="auto"/>
            <w:szCs w:val="24"/>
            <w:lang w:val="it-IT"/>
          </w:rPr>
          <w:t>http://www.dos.gov.jo/owa-user/owa/FOCAL_AGR_anm.show_param?LANG=E&amp;dis=6</w:t>
        </w:r>
      </w:hyperlink>
      <w:r w:rsidRPr="004C58C3">
        <w:rPr>
          <w:rFonts w:asciiTheme="majorHAnsi" w:eastAsiaTheme="majorEastAsia" w:hAnsiTheme="majorHAnsi" w:cstheme="majorBidi"/>
          <w:noProof/>
          <w:szCs w:val="24"/>
          <w:lang w:val="it-IT"/>
        </w:rPr>
        <w:t xml:space="preserve"> [Accessed Mai 8, 2017 2017].</w:t>
      </w:r>
      <w:bookmarkEnd w:id="35"/>
    </w:p>
    <w:p w14:paraId="4B298729" w14:textId="77777777"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36" w:name="_ENREF_7"/>
      <w:r w:rsidRPr="004C58C3">
        <w:rPr>
          <w:rFonts w:asciiTheme="majorHAnsi" w:eastAsiaTheme="majorEastAsia" w:hAnsiTheme="majorHAnsi" w:cstheme="majorBidi"/>
          <w:noProof/>
          <w:szCs w:val="24"/>
          <w:lang w:val="it-IT"/>
        </w:rPr>
        <w:t>FAO 2014. Plan of action: Jordan 2014–2018. Resilient Livelihoods for Agriculture and Food and Nutrition Security in Areas of Jordan Affected by the Syria Crisis. Amman, Jordan: FAO Regional Office for the Near East and North Africa, FAO Representation in Jordan.</w:t>
      </w:r>
      <w:bookmarkEnd w:id="36"/>
    </w:p>
    <w:p w14:paraId="280942F8" w14:textId="77777777"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37" w:name="_ENREF_8"/>
      <w:r w:rsidRPr="004C58C3">
        <w:rPr>
          <w:rFonts w:asciiTheme="majorHAnsi" w:eastAsiaTheme="majorEastAsia" w:hAnsiTheme="majorHAnsi" w:cstheme="majorBidi"/>
          <w:noProof/>
          <w:szCs w:val="24"/>
          <w:lang w:val="it-IT"/>
        </w:rPr>
        <w:t>ILO 2014. Market Study and Marketing Strategy of Olive Sector in Irbid. Amman: Jordan.</w:t>
      </w:r>
      <w:bookmarkEnd w:id="37"/>
    </w:p>
    <w:p w14:paraId="0B69E530" w14:textId="77777777"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38" w:name="_ENREF_9"/>
      <w:r w:rsidRPr="004C58C3">
        <w:rPr>
          <w:rFonts w:asciiTheme="majorHAnsi" w:eastAsiaTheme="majorEastAsia" w:hAnsiTheme="majorHAnsi" w:cstheme="majorBidi"/>
          <w:noProof/>
          <w:szCs w:val="24"/>
          <w:lang w:val="it-IT"/>
        </w:rPr>
        <w:t xml:space="preserve">LE, Q. B. 2005. Multi-agent system for simulation of land-use and land cover change: A theoretical framework and its first implementation for an upland watershed in the  Central Coast of Vietnam </w:t>
      </w:r>
      <w:r w:rsidRPr="004C58C3">
        <w:rPr>
          <w:rFonts w:asciiTheme="majorHAnsi" w:eastAsiaTheme="majorEastAsia" w:hAnsiTheme="majorHAnsi" w:cstheme="majorBidi"/>
          <w:i/>
          <w:noProof/>
          <w:szCs w:val="24"/>
          <w:lang w:val="it-IT"/>
        </w:rPr>
        <w:t>In:</w:t>
      </w:r>
      <w:r w:rsidRPr="004C58C3">
        <w:rPr>
          <w:rFonts w:asciiTheme="majorHAnsi" w:eastAsiaTheme="majorEastAsia" w:hAnsiTheme="majorHAnsi" w:cstheme="majorBidi"/>
          <w:noProof/>
          <w:szCs w:val="24"/>
          <w:lang w:val="it-IT"/>
        </w:rPr>
        <w:t xml:space="preserve"> L.G.VLEK, P., DENICH, M., MARTIUS, C., RODGERS, C. &amp; GIESEN, N. V. D. (eds.). Bonn.</w:t>
      </w:r>
      <w:bookmarkEnd w:id="38"/>
    </w:p>
    <w:p w14:paraId="62669B79" w14:textId="77777777"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39" w:name="_ENREF_10"/>
      <w:r w:rsidRPr="004C58C3">
        <w:rPr>
          <w:rFonts w:asciiTheme="majorHAnsi" w:eastAsiaTheme="majorEastAsia" w:hAnsiTheme="majorHAnsi" w:cstheme="majorBidi"/>
          <w:noProof/>
          <w:szCs w:val="24"/>
          <w:lang w:val="it-IT"/>
        </w:rPr>
        <w:t xml:space="preserve">MAIMON, O. &amp; ROKACH, L. 2010. </w:t>
      </w:r>
      <w:r w:rsidRPr="004C58C3">
        <w:rPr>
          <w:rFonts w:asciiTheme="majorHAnsi" w:eastAsiaTheme="majorEastAsia" w:hAnsiTheme="majorHAnsi" w:cstheme="majorBidi"/>
          <w:i/>
          <w:noProof/>
          <w:szCs w:val="24"/>
          <w:lang w:val="it-IT"/>
        </w:rPr>
        <w:t>Data Mining and Knowledge Discovery Handbook</w:t>
      </w:r>
      <w:r w:rsidRPr="004C58C3">
        <w:rPr>
          <w:rFonts w:asciiTheme="majorHAnsi" w:eastAsiaTheme="majorEastAsia" w:hAnsiTheme="majorHAnsi" w:cstheme="majorBidi"/>
          <w:noProof/>
          <w:szCs w:val="24"/>
          <w:lang w:val="it-IT"/>
        </w:rPr>
        <w:t>.</w:t>
      </w:r>
      <w:bookmarkEnd w:id="39"/>
    </w:p>
    <w:p w14:paraId="22D5FFDB" w14:textId="77777777"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40" w:name="_ENREF_11"/>
      <w:r w:rsidRPr="004C58C3">
        <w:rPr>
          <w:rFonts w:asciiTheme="majorHAnsi" w:eastAsiaTheme="majorEastAsia" w:hAnsiTheme="majorHAnsi" w:cstheme="majorBidi"/>
          <w:noProof/>
          <w:szCs w:val="24"/>
          <w:lang w:val="it-IT"/>
        </w:rPr>
        <w:t xml:space="preserve">MOA 2015. Status of Soil Resources and Priorities towards Sustainable Soil Management Challenges, Opportunities, National Policies and Institutional Mechanisms </w:t>
      </w:r>
      <w:r w:rsidRPr="004C58C3">
        <w:rPr>
          <w:rFonts w:asciiTheme="majorHAnsi" w:eastAsiaTheme="majorEastAsia" w:hAnsiTheme="majorHAnsi" w:cstheme="majorBidi"/>
          <w:i/>
          <w:noProof/>
          <w:szCs w:val="24"/>
          <w:lang w:val="it-IT"/>
        </w:rPr>
        <w:t>NENA Soil Partnership Conference: towards a regional implementation plan on sustainable management of soil resources.</w:t>
      </w:r>
      <w:r w:rsidRPr="004C58C3">
        <w:rPr>
          <w:rFonts w:asciiTheme="majorHAnsi" w:eastAsiaTheme="majorEastAsia" w:hAnsiTheme="majorHAnsi" w:cstheme="majorBidi"/>
          <w:noProof/>
          <w:szCs w:val="24"/>
          <w:lang w:val="it-IT"/>
        </w:rPr>
        <w:t xml:space="preserve"> 1-3 June 2015, Amman, Jordan.</w:t>
      </w:r>
      <w:bookmarkEnd w:id="40"/>
    </w:p>
    <w:p w14:paraId="30F4D1CA" w14:textId="77777777" w:rsidR="004C58C3" w:rsidRPr="004C58C3" w:rsidRDefault="004C58C3" w:rsidP="00A368C9">
      <w:pPr>
        <w:spacing w:after="0"/>
        <w:ind w:left="720" w:hanging="720"/>
        <w:rPr>
          <w:rFonts w:asciiTheme="majorHAnsi" w:eastAsiaTheme="majorEastAsia" w:hAnsiTheme="majorHAnsi" w:cstheme="majorBidi"/>
          <w:noProof/>
          <w:szCs w:val="24"/>
          <w:lang w:val="it-IT"/>
        </w:rPr>
      </w:pPr>
      <w:bookmarkStart w:id="41" w:name="_ENREF_12"/>
      <w:r w:rsidRPr="004C58C3">
        <w:rPr>
          <w:rFonts w:asciiTheme="majorHAnsi" w:eastAsiaTheme="majorEastAsia" w:hAnsiTheme="majorHAnsi" w:cstheme="majorBidi"/>
          <w:noProof/>
          <w:szCs w:val="24"/>
          <w:lang w:val="it-IT"/>
        </w:rPr>
        <w:t xml:space="preserve">THIOMBIANO, B. A. 2015. </w:t>
      </w:r>
      <w:r w:rsidRPr="004C58C3">
        <w:rPr>
          <w:rFonts w:asciiTheme="majorHAnsi" w:eastAsiaTheme="majorEastAsia" w:hAnsiTheme="majorHAnsi" w:cstheme="majorBidi"/>
          <w:i/>
          <w:noProof/>
          <w:szCs w:val="24"/>
          <w:lang w:val="it-IT"/>
        </w:rPr>
        <w:t>Exploring soil nutrient management and production performances to support building smallholder farms’ resilience to climate change: case of South-Western Burkina Faso.</w:t>
      </w:r>
      <w:r w:rsidRPr="004C58C3">
        <w:rPr>
          <w:rFonts w:asciiTheme="majorHAnsi" w:eastAsiaTheme="majorEastAsia" w:hAnsiTheme="majorHAnsi" w:cstheme="majorBidi"/>
          <w:noProof/>
          <w:szCs w:val="24"/>
          <w:lang w:val="it-IT"/>
        </w:rPr>
        <w:t xml:space="preserve"> PhD in Climate Change and Land Use Dissertation, Kwame Nkrumah University of Science and Technology (KNUST).</w:t>
      </w:r>
      <w:bookmarkEnd w:id="41"/>
    </w:p>
    <w:p w14:paraId="7C1B6CAE" w14:textId="77777777" w:rsidR="004C58C3" w:rsidRPr="004C58C3" w:rsidRDefault="004C58C3" w:rsidP="00A368C9">
      <w:pPr>
        <w:ind w:left="720" w:hanging="720"/>
        <w:rPr>
          <w:rFonts w:asciiTheme="majorHAnsi" w:eastAsiaTheme="majorEastAsia" w:hAnsiTheme="majorHAnsi" w:cstheme="majorBidi"/>
          <w:noProof/>
          <w:szCs w:val="24"/>
          <w:lang w:val="it-IT"/>
        </w:rPr>
      </w:pPr>
      <w:bookmarkStart w:id="42" w:name="_ENREF_13"/>
      <w:r w:rsidRPr="004C58C3">
        <w:rPr>
          <w:rFonts w:asciiTheme="majorHAnsi" w:eastAsiaTheme="majorEastAsia" w:hAnsiTheme="majorHAnsi" w:cstheme="majorBidi"/>
          <w:noProof/>
          <w:szCs w:val="24"/>
          <w:lang w:val="it-IT"/>
        </w:rPr>
        <w:t>UNHCR 2017. Statistical Report on Registered Syrians Currently Residing in Jordan. Amman, Jordan.</w:t>
      </w:r>
      <w:bookmarkEnd w:id="42"/>
    </w:p>
    <w:p w14:paraId="4AEC70E8" w14:textId="77777777" w:rsidR="004C58C3" w:rsidRPr="00D93760" w:rsidRDefault="004C58C3" w:rsidP="004C58C3">
      <w:pPr>
        <w:spacing w:after="120"/>
        <w:ind w:left="284" w:hanging="284"/>
        <w:rPr>
          <w:rFonts w:cs="Times New Roman"/>
          <w:b/>
          <w:i/>
          <w:szCs w:val="24"/>
          <w:lang w:val="en-US"/>
        </w:rPr>
      </w:pPr>
      <w:r w:rsidRPr="00D93760">
        <w:rPr>
          <w:rFonts w:cs="Times New Roman"/>
          <w:b/>
          <w:i/>
          <w:szCs w:val="24"/>
          <w:lang w:val="en-US"/>
        </w:rPr>
        <w:lastRenderedPageBreak/>
        <w:t>Websites</w:t>
      </w:r>
    </w:p>
    <w:p w14:paraId="6BB44BCC" w14:textId="77777777" w:rsidR="004C58C3" w:rsidRDefault="004C58C3" w:rsidP="004C58C3">
      <w:pPr>
        <w:spacing w:after="120"/>
        <w:ind w:left="284" w:hanging="284"/>
        <w:rPr>
          <w:rStyle w:val="Hyperlink"/>
        </w:rPr>
      </w:pPr>
      <w:r>
        <w:rPr>
          <w:rFonts w:cs="Times New Roman"/>
          <w:szCs w:val="24"/>
          <w:lang w:val="en-US"/>
        </w:rPr>
        <w:t xml:space="preserve">The World Bank: </w:t>
      </w:r>
      <w:hyperlink r:id="rId23" w:history="1">
        <w:r w:rsidRPr="00747DEA">
          <w:rPr>
            <w:rStyle w:val="Hyperlink"/>
          </w:rPr>
          <w:t>http://www.tradingeconomics.com</w:t>
        </w:r>
      </w:hyperlink>
    </w:p>
    <w:p w14:paraId="7ECCB0F0" w14:textId="77777777" w:rsidR="004C58C3" w:rsidRDefault="004C58C3" w:rsidP="004C58C3">
      <w:pPr>
        <w:spacing w:after="120"/>
        <w:ind w:left="284" w:hanging="284"/>
        <w:jc w:val="left"/>
        <w:rPr>
          <w:rFonts w:cs="Times New Roman"/>
          <w:szCs w:val="24"/>
          <w:lang w:val="en-US"/>
        </w:rPr>
      </w:pPr>
      <w:r>
        <w:rPr>
          <w:rStyle w:val="Hyperlink"/>
        </w:rPr>
        <w:t>Department of Statistics, Jordan [</w:t>
      </w:r>
      <w:proofErr w:type="spellStart"/>
      <w:r>
        <w:rPr>
          <w:rStyle w:val="Hyperlink"/>
        </w:rPr>
        <w:t>DoS</w:t>
      </w:r>
      <w:proofErr w:type="spellEnd"/>
      <w:r>
        <w:rPr>
          <w:rStyle w:val="Hyperlink"/>
        </w:rPr>
        <w:t>], 2017: h</w:t>
      </w:r>
      <w:r w:rsidRPr="006C5E63">
        <w:rPr>
          <w:rStyle w:val="Hyperlink"/>
        </w:rPr>
        <w:t>ttp://web.dos.gov.jo/sectors/economic/agriculture</w:t>
      </w:r>
      <w:r>
        <w:rPr>
          <w:rStyle w:val="Hyperlink"/>
        </w:rPr>
        <w:t xml:space="preserve"> </w:t>
      </w:r>
    </w:p>
    <w:p w14:paraId="561DA915" w14:textId="77777777" w:rsidR="004C58C3" w:rsidRPr="004C58C3" w:rsidRDefault="004C58C3" w:rsidP="004C58C3">
      <w:pPr>
        <w:rPr>
          <w:rFonts w:ascii="Calibri" w:eastAsiaTheme="majorEastAsia" w:hAnsi="Calibri" w:cstheme="majorBidi"/>
          <w:noProof/>
          <w:color w:val="365F91" w:themeColor="accent1" w:themeShade="BF"/>
          <w:sz w:val="22"/>
          <w:szCs w:val="32"/>
          <w:lang w:val="en-US"/>
        </w:rPr>
      </w:pPr>
    </w:p>
    <w:p w14:paraId="61A646DA" w14:textId="0B485070" w:rsidR="004C58C3" w:rsidRPr="00D93760" w:rsidRDefault="00D75C16" w:rsidP="004C58C3">
      <w:pPr>
        <w:spacing w:after="120"/>
        <w:ind w:left="284" w:hanging="284"/>
        <w:rPr>
          <w:b/>
          <w:i/>
          <w:lang w:val="en-US"/>
        </w:rPr>
      </w:pPr>
      <w:r>
        <w:rPr>
          <w:rFonts w:asciiTheme="majorHAnsi" w:eastAsiaTheme="majorEastAsia" w:hAnsiTheme="majorHAnsi" w:cstheme="majorBidi"/>
          <w:color w:val="365F91" w:themeColor="accent1" w:themeShade="BF"/>
          <w:sz w:val="32"/>
          <w:szCs w:val="32"/>
          <w:lang w:val="it-IT"/>
        </w:rPr>
        <w:fldChar w:fldCharType="end"/>
      </w:r>
      <w:r w:rsidR="004C58C3" w:rsidRPr="004C58C3">
        <w:rPr>
          <w:b/>
          <w:i/>
          <w:lang w:val="en-US"/>
        </w:rPr>
        <w:t xml:space="preserve"> </w:t>
      </w:r>
      <w:r w:rsidR="004C58C3" w:rsidRPr="00D93760">
        <w:rPr>
          <w:b/>
          <w:i/>
          <w:lang w:val="en-US"/>
        </w:rPr>
        <w:t>GIS data source</w:t>
      </w:r>
    </w:p>
    <w:p w14:paraId="42F90564" w14:textId="77777777" w:rsidR="004C58C3" w:rsidRDefault="004C58C3" w:rsidP="004C58C3">
      <w:pPr>
        <w:spacing w:after="120"/>
        <w:ind w:left="284" w:hanging="284"/>
        <w:rPr>
          <w:lang w:val="en-US"/>
        </w:rPr>
      </w:pPr>
      <w:hyperlink r:id="rId24" w:history="1">
        <w:r w:rsidRPr="00333006">
          <w:rPr>
            <w:rStyle w:val="Hyperlink"/>
            <w:lang w:val="en-US"/>
          </w:rPr>
          <w:t>http://www.diva-gis.org/gdata</w:t>
        </w:r>
      </w:hyperlink>
      <w:r>
        <w:rPr>
          <w:lang w:val="en-US"/>
        </w:rPr>
        <w:t>, accessed on March 21, 2017</w:t>
      </w:r>
    </w:p>
    <w:p w14:paraId="6650B241" w14:textId="77777777" w:rsidR="004C58C3" w:rsidRDefault="004C58C3" w:rsidP="004C58C3">
      <w:pPr>
        <w:spacing w:after="0"/>
        <w:rPr>
          <w:lang w:val="en-US"/>
        </w:rPr>
      </w:pPr>
      <w:hyperlink r:id="rId25" w:history="1">
        <w:r w:rsidRPr="00333006">
          <w:rPr>
            <w:rStyle w:val="Hyperlink"/>
            <w:lang w:val="en-US"/>
          </w:rPr>
          <w:t>http://download.geofabrik.de/asia/jordan.html</w:t>
        </w:r>
      </w:hyperlink>
      <w:r>
        <w:rPr>
          <w:lang w:val="en-US"/>
        </w:rPr>
        <w:t>, accessed on March 21, 2017</w:t>
      </w:r>
    </w:p>
    <w:p w14:paraId="5C23C43D" w14:textId="2BB0F491" w:rsidR="00BB73EA" w:rsidRDefault="00BB73EA">
      <w:pPr>
        <w:rPr>
          <w:rFonts w:asciiTheme="majorHAnsi" w:eastAsiaTheme="majorEastAsia" w:hAnsiTheme="majorHAnsi" w:cstheme="majorBidi"/>
          <w:color w:val="365F91" w:themeColor="accent1" w:themeShade="BF"/>
          <w:sz w:val="32"/>
          <w:szCs w:val="32"/>
          <w:lang w:val="it-IT"/>
        </w:rPr>
      </w:pPr>
      <w:bookmarkStart w:id="43" w:name="_GoBack"/>
      <w:bookmarkEnd w:id="43"/>
    </w:p>
    <w:sectPr w:rsidR="00BB73EA" w:rsidSect="008716C9">
      <w:pgSz w:w="12240" w:h="15840"/>
      <w:pgMar w:top="1703"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EE0A83" w15:done="0"/>
  <w15:commentEx w15:paraId="4CF03449" w15:done="0"/>
  <w15:commentEx w15:paraId="52E86086" w15:done="0"/>
  <w15:commentEx w15:paraId="5180514B" w15:done="0"/>
  <w15:commentEx w15:paraId="061813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FF14E" w14:textId="77777777" w:rsidR="001A7D14" w:rsidRDefault="001A7D14" w:rsidP="00E60353">
      <w:pPr>
        <w:spacing w:after="0"/>
      </w:pPr>
      <w:r>
        <w:separator/>
      </w:r>
    </w:p>
  </w:endnote>
  <w:endnote w:type="continuationSeparator" w:id="0">
    <w:p w14:paraId="35C98670" w14:textId="77777777" w:rsidR="001A7D14" w:rsidRDefault="001A7D14" w:rsidP="00E603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686208"/>
      <w:docPartObj>
        <w:docPartGallery w:val="Page Numbers (Bottom of Page)"/>
        <w:docPartUnique/>
      </w:docPartObj>
    </w:sdtPr>
    <w:sdtEndPr>
      <w:rPr>
        <w:color w:val="7F7F7F" w:themeColor="background1" w:themeShade="7F"/>
        <w:spacing w:val="60"/>
      </w:rPr>
    </w:sdtEndPr>
    <w:sdtContent>
      <w:p w14:paraId="13DA9702" w14:textId="77777777" w:rsidR="00D42879" w:rsidRDefault="00D42879">
        <w:pPr>
          <w:pStyle w:val="Footer"/>
          <w:pBdr>
            <w:top w:val="single" w:sz="4" w:space="1" w:color="D9D9D9" w:themeColor="background1" w:themeShade="D9"/>
          </w:pBdr>
          <w:jc w:val="right"/>
        </w:pPr>
        <w:r>
          <w:fldChar w:fldCharType="begin"/>
        </w:r>
        <w:r>
          <w:instrText xml:space="preserve"> PAGE   \* MERGEFORMAT </w:instrText>
        </w:r>
        <w:r>
          <w:fldChar w:fldCharType="separate"/>
        </w:r>
        <w:r w:rsidR="005620F4">
          <w:rPr>
            <w:noProof/>
          </w:rPr>
          <w:t>1</w:t>
        </w:r>
        <w:r>
          <w:rPr>
            <w:noProof/>
          </w:rPr>
          <w:fldChar w:fldCharType="end"/>
        </w:r>
        <w:r>
          <w:t xml:space="preserve"> | </w:t>
        </w:r>
        <w:r>
          <w:rPr>
            <w:color w:val="7F7F7F" w:themeColor="background1" w:themeShade="7F"/>
            <w:spacing w:val="60"/>
          </w:rPr>
          <w:t>Page</w:t>
        </w:r>
      </w:p>
    </w:sdtContent>
  </w:sdt>
  <w:p w14:paraId="43DFF341" w14:textId="77777777" w:rsidR="00D42879" w:rsidRDefault="00D428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E07DE3" w14:textId="77777777" w:rsidR="001A7D14" w:rsidRDefault="001A7D14" w:rsidP="00E60353">
      <w:pPr>
        <w:spacing w:after="0"/>
      </w:pPr>
      <w:r>
        <w:separator/>
      </w:r>
    </w:p>
  </w:footnote>
  <w:footnote w:type="continuationSeparator" w:id="0">
    <w:p w14:paraId="49E960AA" w14:textId="77777777" w:rsidR="001A7D14" w:rsidRDefault="001A7D14" w:rsidP="00E60353">
      <w:pPr>
        <w:spacing w:after="0"/>
      </w:pPr>
      <w:r>
        <w:continuationSeparator/>
      </w:r>
    </w:p>
  </w:footnote>
  <w:footnote w:id="1">
    <w:p w14:paraId="3A3001C5" w14:textId="692081A7" w:rsidR="00D42879" w:rsidRPr="007B6891" w:rsidRDefault="00D42879" w:rsidP="002A55E7">
      <w:pPr>
        <w:spacing w:after="0"/>
        <w:rPr>
          <w:lang w:val="en-US"/>
        </w:rPr>
      </w:pPr>
      <w:r>
        <w:rPr>
          <w:rStyle w:val="FootnoteReference"/>
        </w:rPr>
        <w:footnoteRef/>
      </w:r>
      <w:r>
        <w:rPr>
          <w:sz w:val="18"/>
          <w:szCs w:val="18"/>
          <w:lang w:val="en-US"/>
        </w:rPr>
        <w:t>UNHCR Consultant</w:t>
      </w:r>
    </w:p>
  </w:footnote>
  <w:footnote w:id="2">
    <w:p w14:paraId="2133AA0F" w14:textId="2F6F5E51" w:rsidR="00D42879" w:rsidRPr="00461062" w:rsidRDefault="00D42879">
      <w:pPr>
        <w:pStyle w:val="FootnoteText"/>
        <w:rPr>
          <w:lang w:val="en-US"/>
        </w:rPr>
      </w:pPr>
      <w:r>
        <w:rPr>
          <w:rStyle w:val="FootnoteReference"/>
        </w:rPr>
        <w:footnoteRef/>
      </w:r>
      <w:r>
        <w:t xml:space="preserve"> </w:t>
      </w:r>
      <w:r w:rsidRPr="007B6891">
        <w:rPr>
          <w:sz w:val="18"/>
          <w:szCs w:val="18"/>
          <w:lang w:val="en-US"/>
        </w:rPr>
        <w:t xml:space="preserve">International Center for Agricultural Research in </w:t>
      </w:r>
      <w:r>
        <w:rPr>
          <w:sz w:val="18"/>
          <w:szCs w:val="18"/>
          <w:lang w:val="en-US"/>
        </w:rPr>
        <w:t xml:space="preserve">the </w:t>
      </w:r>
      <w:r w:rsidRPr="007B6891">
        <w:rPr>
          <w:sz w:val="18"/>
          <w:szCs w:val="18"/>
          <w:lang w:val="en-US"/>
        </w:rPr>
        <w:t>Dry Areas (ICARDA)</w:t>
      </w:r>
    </w:p>
  </w:footnote>
  <w:footnote w:id="3">
    <w:p w14:paraId="6E994FD4" w14:textId="0386EB71" w:rsidR="00D42879" w:rsidRPr="00494B5B" w:rsidRDefault="00D42879">
      <w:pPr>
        <w:pStyle w:val="FootnoteText"/>
        <w:rPr>
          <w:lang w:val="en-US"/>
        </w:rPr>
      </w:pPr>
      <w:r>
        <w:rPr>
          <w:rStyle w:val="FootnoteReference"/>
        </w:rPr>
        <w:footnoteRef/>
      </w:r>
      <w:r>
        <w:t xml:space="preserve"> </w:t>
      </w:r>
      <w:r>
        <w:rPr>
          <w:sz w:val="18"/>
          <w:szCs w:val="18"/>
          <w:lang w:val="en-US"/>
        </w:rPr>
        <w:t>Polytechnic University of Bobo-</w:t>
      </w:r>
      <w:proofErr w:type="spellStart"/>
      <w:r>
        <w:rPr>
          <w:sz w:val="18"/>
          <w:szCs w:val="18"/>
          <w:lang w:val="en-US"/>
        </w:rPr>
        <w:t>Dioulasso</w:t>
      </w:r>
      <w:proofErr w:type="spellEnd"/>
      <w:r>
        <w:rPr>
          <w:sz w:val="18"/>
          <w:szCs w:val="18"/>
          <w:lang w:val="en-US"/>
        </w:rPr>
        <w:t>, Burkina Faso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63D71" w14:textId="6FE95650" w:rsidR="00D42879" w:rsidRDefault="00D42879" w:rsidP="0025548D">
    <w:pPr>
      <w:pStyle w:val="Header"/>
      <w:tabs>
        <w:tab w:val="clear" w:pos="4680"/>
        <w:tab w:val="clear" w:pos="9360"/>
        <w:tab w:val="left" w:pos="2535"/>
      </w:tabs>
      <w:spacing w:after="240"/>
    </w:pPr>
    <w:r>
      <w:rPr>
        <w:noProof/>
        <w:lang w:eastAsia="en-GB"/>
      </w:rPr>
      <w:drawing>
        <wp:anchor distT="0" distB="0" distL="114300" distR="114300" simplePos="0" relativeHeight="251656704" behindDoc="0" locked="0" layoutInCell="1" allowOverlap="1" wp14:anchorId="41504D4B" wp14:editId="5B1B9BCA">
          <wp:simplePos x="0" y="0"/>
          <wp:positionH relativeFrom="column">
            <wp:posOffset>2609850</wp:posOffset>
          </wp:positionH>
          <wp:positionV relativeFrom="paragraph">
            <wp:posOffset>333375</wp:posOffset>
          </wp:positionV>
          <wp:extent cx="1600200" cy="438785"/>
          <wp:effectExtent l="0" t="0" r="0" b="0"/>
          <wp:wrapSquare wrapText="bothSides"/>
          <wp:docPr id="3" name="Picture 3" descr="https://www.icarda.org/sites/default/files/ICARDA_orgin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www.icarda.org/sites/default/files/ICARDA_or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0200" cy="438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7728" behindDoc="0" locked="0" layoutInCell="1" allowOverlap="1" wp14:anchorId="172D84CF" wp14:editId="11929A4B">
          <wp:simplePos x="0" y="0"/>
          <wp:positionH relativeFrom="column">
            <wp:posOffset>5238750</wp:posOffset>
          </wp:positionH>
          <wp:positionV relativeFrom="paragraph">
            <wp:posOffset>285750</wp:posOffset>
          </wp:positionV>
          <wp:extent cx="685800" cy="575945"/>
          <wp:effectExtent l="0" t="0" r="0" b="0"/>
          <wp:wrapSquare wrapText="bothSides"/>
          <wp:docPr id="5" name="Picture 5" descr="https://www.ird.fr/var/ird/storage/images/media/ird-sites-de-representation/burkina-faso/logo-partenaires/logo_upb/173973-1-fre-FR/logo_u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ird.fr/var/ird/storage/images/media/ird-sites-de-representation/burkina-faso/logo-partenaires/logo_upb/173973-1-fre-FR/logo_up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85800" cy="5759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15C93EE5" wp14:editId="647E9874">
          <wp:extent cx="904875" cy="865533"/>
          <wp:effectExtent l="0" t="0" r="0" b="0"/>
          <wp:docPr id="6" name="Picture 6" descr="Resultado de imagem para unh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unhc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3588" cy="873867"/>
                  </a:xfrm>
                  <a:prstGeom prst="rect">
                    <a:avLst/>
                  </a:prstGeom>
                  <a:noFill/>
                  <a:ln>
                    <a:noFill/>
                  </a:ln>
                </pic:spPr>
              </pic:pic>
            </a:graphicData>
          </a:graphic>
        </wp:inline>
      </w:drawing>
    </w:r>
    <w:r>
      <w:t xml:space="preserve"> </w:t>
    </w:r>
    <w:proofErr w:type="gramStart"/>
    <w:r w:rsidRPr="00E60353">
      <w:rPr>
        <w:i/>
        <w:color w:val="0070C0"/>
      </w:rPr>
      <w:t>in</w:t>
    </w:r>
    <w:proofErr w:type="gramEnd"/>
    <w:r w:rsidRPr="00E60353">
      <w:rPr>
        <w:i/>
        <w:color w:val="0070C0"/>
      </w:rPr>
      <w:t xml:space="preserve"> partnership with</w:t>
    </w:r>
    <w:r w:rsidRPr="00E60353">
      <w:rPr>
        <w:color w:val="0070C0"/>
      </w:rPr>
      <w:t xml:space="preserve"> </w:t>
    </w:r>
    <w:r>
      <w:rPr>
        <w:color w:val="0070C0"/>
      </w:rPr>
      <w:t xml:space="preserve">  </w:t>
    </w:r>
    <w:r w:rsidRPr="00E60353">
      <w:t xml:space="preserve"> </w:t>
    </w:r>
    <w:r>
      <w:rPr>
        <w:noProof/>
        <w:lang w:val="en-US"/>
      </w:rPr>
      <w:t xml:space="preserve"> </w:t>
    </w:r>
    <w:r>
      <w:t xml:space="preserve">   </w:t>
    </w:r>
    <w:r>
      <w:rPr>
        <w:noProof/>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25C9"/>
    <w:multiLevelType w:val="hybridMultilevel"/>
    <w:tmpl w:val="8B2A2C98"/>
    <w:lvl w:ilvl="0" w:tplc="694CE14A">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B05C4E"/>
    <w:multiLevelType w:val="hybridMultilevel"/>
    <w:tmpl w:val="C4B27176"/>
    <w:lvl w:ilvl="0" w:tplc="5C905B1C">
      <w:start w:val="1"/>
      <w:numFmt w:val="decimal"/>
      <w:lvlText w:val="%1."/>
      <w:lvlJc w:val="left"/>
      <w:pPr>
        <w:ind w:left="652" w:hanging="360"/>
      </w:pPr>
      <w:rPr>
        <w:rFonts w:hint="default"/>
      </w:rPr>
    </w:lvl>
    <w:lvl w:ilvl="1" w:tplc="04090019" w:tentative="1">
      <w:start w:val="1"/>
      <w:numFmt w:val="lowerLetter"/>
      <w:lvlText w:val="%2."/>
      <w:lvlJc w:val="left"/>
      <w:pPr>
        <w:ind w:left="1372" w:hanging="360"/>
      </w:pPr>
    </w:lvl>
    <w:lvl w:ilvl="2" w:tplc="0409001B" w:tentative="1">
      <w:start w:val="1"/>
      <w:numFmt w:val="lowerRoman"/>
      <w:lvlText w:val="%3."/>
      <w:lvlJc w:val="right"/>
      <w:pPr>
        <w:ind w:left="2092" w:hanging="180"/>
      </w:pPr>
    </w:lvl>
    <w:lvl w:ilvl="3" w:tplc="0409000F" w:tentative="1">
      <w:start w:val="1"/>
      <w:numFmt w:val="decimal"/>
      <w:lvlText w:val="%4."/>
      <w:lvlJc w:val="left"/>
      <w:pPr>
        <w:ind w:left="2812" w:hanging="360"/>
      </w:pPr>
    </w:lvl>
    <w:lvl w:ilvl="4" w:tplc="04090019" w:tentative="1">
      <w:start w:val="1"/>
      <w:numFmt w:val="lowerLetter"/>
      <w:lvlText w:val="%5."/>
      <w:lvlJc w:val="left"/>
      <w:pPr>
        <w:ind w:left="3532" w:hanging="360"/>
      </w:pPr>
    </w:lvl>
    <w:lvl w:ilvl="5" w:tplc="0409001B" w:tentative="1">
      <w:start w:val="1"/>
      <w:numFmt w:val="lowerRoman"/>
      <w:lvlText w:val="%6."/>
      <w:lvlJc w:val="right"/>
      <w:pPr>
        <w:ind w:left="4252" w:hanging="180"/>
      </w:pPr>
    </w:lvl>
    <w:lvl w:ilvl="6" w:tplc="0409000F" w:tentative="1">
      <w:start w:val="1"/>
      <w:numFmt w:val="decimal"/>
      <w:lvlText w:val="%7."/>
      <w:lvlJc w:val="left"/>
      <w:pPr>
        <w:ind w:left="4972" w:hanging="360"/>
      </w:pPr>
    </w:lvl>
    <w:lvl w:ilvl="7" w:tplc="04090019" w:tentative="1">
      <w:start w:val="1"/>
      <w:numFmt w:val="lowerLetter"/>
      <w:lvlText w:val="%8."/>
      <w:lvlJc w:val="left"/>
      <w:pPr>
        <w:ind w:left="5692" w:hanging="360"/>
      </w:pPr>
    </w:lvl>
    <w:lvl w:ilvl="8" w:tplc="0409001B" w:tentative="1">
      <w:start w:val="1"/>
      <w:numFmt w:val="lowerRoman"/>
      <w:lvlText w:val="%9."/>
      <w:lvlJc w:val="right"/>
      <w:pPr>
        <w:ind w:left="6412" w:hanging="180"/>
      </w:pPr>
    </w:lvl>
  </w:abstractNum>
  <w:abstractNum w:abstractNumId="2">
    <w:nsid w:val="112E37D2"/>
    <w:multiLevelType w:val="hybridMultilevel"/>
    <w:tmpl w:val="92403B60"/>
    <w:lvl w:ilvl="0" w:tplc="3F10BD24">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15457"/>
    <w:multiLevelType w:val="hybridMultilevel"/>
    <w:tmpl w:val="A6489C1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5521193"/>
    <w:multiLevelType w:val="hybridMultilevel"/>
    <w:tmpl w:val="489AB67A"/>
    <w:lvl w:ilvl="0" w:tplc="760E795C">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D8358F"/>
    <w:multiLevelType w:val="hybridMultilevel"/>
    <w:tmpl w:val="6A34E4C8"/>
    <w:lvl w:ilvl="0" w:tplc="5C905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8362F5"/>
    <w:multiLevelType w:val="hybridMultilevel"/>
    <w:tmpl w:val="4180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D86417"/>
    <w:multiLevelType w:val="hybridMultilevel"/>
    <w:tmpl w:val="371A49B2"/>
    <w:lvl w:ilvl="0" w:tplc="5C905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D86A3A"/>
    <w:multiLevelType w:val="hybridMultilevel"/>
    <w:tmpl w:val="0A0243E8"/>
    <w:lvl w:ilvl="0" w:tplc="E0968A9C">
      <w:start w:val="2"/>
      <w:numFmt w:val="bullet"/>
      <w:lvlText w:val="-"/>
      <w:lvlJc w:val="left"/>
      <w:pPr>
        <w:ind w:left="720" w:hanging="36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1976D2"/>
    <w:multiLevelType w:val="hybridMultilevel"/>
    <w:tmpl w:val="6A34E4C8"/>
    <w:lvl w:ilvl="0" w:tplc="5C905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8E326A"/>
    <w:multiLevelType w:val="hybridMultilevel"/>
    <w:tmpl w:val="2436B1F6"/>
    <w:lvl w:ilvl="0" w:tplc="B276EAAC">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60084C"/>
    <w:multiLevelType w:val="hybridMultilevel"/>
    <w:tmpl w:val="FD66D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852B2D"/>
    <w:multiLevelType w:val="hybridMultilevel"/>
    <w:tmpl w:val="48FE9492"/>
    <w:lvl w:ilvl="0" w:tplc="0409000F">
      <w:start w:val="1"/>
      <w:numFmt w:val="decimal"/>
      <w:lvlText w:val="%1."/>
      <w:lvlJc w:val="left"/>
      <w:pPr>
        <w:ind w:left="578" w:hanging="360"/>
      </w:pPr>
    </w:lvl>
    <w:lvl w:ilvl="1" w:tplc="04090019">
      <w:start w:val="1"/>
      <w:numFmt w:val="lowerLetter"/>
      <w:lvlText w:val="%2."/>
      <w:lvlJc w:val="left"/>
      <w:pPr>
        <w:ind w:left="1298" w:hanging="360"/>
      </w:pPr>
    </w:lvl>
    <w:lvl w:ilvl="2" w:tplc="0409001B">
      <w:start w:val="1"/>
      <w:numFmt w:val="lowerRoman"/>
      <w:lvlText w:val="%3."/>
      <w:lvlJc w:val="right"/>
      <w:pPr>
        <w:ind w:left="2018" w:hanging="180"/>
      </w:pPr>
    </w:lvl>
    <w:lvl w:ilvl="3" w:tplc="0409000F">
      <w:start w:val="1"/>
      <w:numFmt w:val="decimal"/>
      <w:lvlText w:val="%4."/>
      <w:lvlJc w:val="left"/>
      <w:pPr>
        <w:ind w:left="2738" w:hanging="360"/>
      </w:pPr>
    </w:lvl>
    <w:lvl w:ilvl="4" w:tplc="04090019">
      <w:start w:val="1"/>
      <w:numFmt w:val="lowerLetter"/>
      <w:lvlText w:val="%5."/>
      <w:lvlJc w:val="left"/>
      <w:pPr>
        <w:ind w:left="3458" w:hanging="360"/>
      </w:pPr>
    </w:lvl>
    <w:lvl w:ilvl="5" w:tplc="0409001B">
      <w:start w:val="1"/>
      <w:numFmt w:val="lowerRoman"/>
      <w:lvlText w:val="%6."/>
      <w:lvlJc w:val="right"/>
      <w:pPr>
        <w:ind w:left="4178" w:hanging="180"/>
      </w:pPr>
    </w:lvl>
    <w:lvl w:ilvl="6" w:tplc="0409000F">
      <w:start w:val="1"/>
      <w:numFmt w:val="decimal"/>
      <w:lvlText w:val="%7."/>
      <w:lvlJc w:val="left"/>
      <w:pPr>
        <w:ind w:left="4898" w:hanging="360"/>
      </w:pPr>
    </w:lvl>
    <w:lvl w:ilvl="7" w:tplc="04090019">
      <w:start w:val="1"/>
      <w:numFmt w:val="lowerLetter"/>
      <w:lvlText w:val="%8."/>
      <w:lvlJc w:val="left"/>
      <w:pPr>
        <w:ind w:left="5618" w:hanging="360"/>
      </w:pPr>
    </w:lvl>
    <w:lvl w:ilvl="8" w:tplc="0409001B">
      <w:start w:val="1"/>
      <w:numFmt w:val="lowerRoman"/>
      <w:lvlText w:val="%9."/>
      <w:lvlJc w:val="right"/>
      <w:pPr>
        <w:ind w:left="6338" w:hanging="180"/>
      </w:pPr>
    </w:lvl>
  </w:abstractNum>
  <w:abstractNum w:abstractNumId="13">
    <w:nsid w:val="34335194"/>
    <w:multiLevelType w:val="multilevel"/>
    <w:tmpl w:val="FAA8B126"/>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7A32E0E"/>
    <w:multiLevelType w:val="hybridMultilevel"/>
    <w:tmpl w:val="2436B1F6"/>
    <w:lvl w:ilvl="0" w:tplc="B276EAAC">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E83462"/>
    <w:multiLevelType w:val="hybridMultilevel"/>
    <w:tmpl w:val="BA889100"/>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16">
    <w:nsid w:val="3FA00EF1"/>
    <w:multiLevelType w:val="hybridMultilevel"/>
    <w:tmpl w:val="6A34E4C8"/>
    <w:lvl w:ilvl="0" w:tplc="5C905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1D7AE6"/>
    <w:multiLevelType w:val="hybridMultilevel"/>
    <w:tmpl w:val="7658715A"/>
    <w:lvl w:ilvl="0" w:tplc="2CB0BBC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B369F7"/>
    <w:multiLevelType w:val="hybridMultilevel"/>
    <w:tmpl w:val="C4B27176"/>
    <w:lvl w:ilvl="0" w:tplc="5C905B1C">
      <w:start w:val="1"/>
      <w:numFmt w:val="decimal"/>
      <w:lvlText w:val="%1."/>
      <w:lvlJc w:val="left"/>
      <w:pPr>
        <w:ind w:left="652" w:hanging="360"/>
      </w:pPr>
      <w:rPr>
        <w:rFonts w:hint="default"/>
      </w:rPr>
    </w:lvl>
    <w:lvl w:ilvl="1" w:tplc="04090019" w:tentative="1">
      <w:start w:val="1"/>
      <w:numFmt w:val="lowerLetter"/>
      <w:lvlText w:val="%2."/>
      <w:lvlJc w:val="left"/>
      <w:pPr>
        <w:ind w:left="1372" w:hanging="360"/>
      </w:pPr>
    </w:lvl>
    <w:lvl w:ilvl="2" w:tplc="0409001B" w:tentative="1">
      <w:start w:val="1"/>
      <w:numFmt w:val="lowerRoman"/>
      <w:lvlText w:val="%3."/>
      <w:lvlJc w:val="right"/>
      <w:pPr>
        <w:ind w:left="2092" w:hanging="180"/>
      </w:pPr>
    </w:lvl>
    <w:lvl w:ilvl="3" w:tplc="0409000F" w:tentative="1">
      <w:start w:val="1"/>
      <w:numFmt w:val="decimal"/>
      <w:lvlText w:val="%4."/>
      <w:lvlJc w:val="left"/>
      <w:pPr>
        <w:ind w:left="2812" w:hanging="360"/>
      </w:pPr>
    </w:lvl>
    <w:lvl w:ilvl="4" w:tplc="04090019" w:tentative="1">
      <w:start w:val="1"/>
      <w:numFmt w:val="lowerLetter"/>
      <w:lvlText w:val="%5."/>
      <w:lvlJc w:val="left"/>
      <w:pPr>
        <w:ind w:left="3532" w:hanging="360"/>
      </w:pPr>
    </w:lvl>
    <w:lvl w:ilvl="5" w:tplc="0409001B" w:tentative="1">
      <w:start w:val="1"/>
      <w:numFmt w:val="lowerRoman"/>
      <w:lvlText w:val="%6."/>
      <w:lvlJc w:val="right"/>
      <w:pPr>
        <w:ind w:left="4252" w:hanging="180"/>
      </w:pPr>
    </w:lvl>
    <w:lvl w:ilvl="6" w:tplc="0409000F" w:tentative="1">
      <w:start w:val="1"/>
      <w:numFmt w:val="decimal"/>
      <w:lvlText w:val="%7."/>
      <w:lvlJc w:val="left"/>
      <w:pPr>
        <w:ind w:left="4972" w:hanging="360"/>
      </w:pPr>
    </w:lvl>
    <w:lvl w:ilvl="7" w:tplc="04090019" w:tentative="1">
      <w:start w:val="1"/>
      <w:numFmt w:val="lowerLetter"/>
      <w:lvlText w:val="%8."/>
      <w:lvlJc w:val="left"/>
      <w:pPr>
        <w:ind w:left="5692" w:hanging="360"/>
      </w:pPr>
    </w:lvl>
    <w:lvl w:ilvl="8" w:tplc="0409001B" w:tentative="1">
      <w:start w:val="1"/>
      <w:numFmt w:val="lowerRoman"/>
      <w:lvlText w:val="%9."/>
      <w:lvlJc w:val="right"/>
      <w:pPr>
        <w:ind w:left="6412" w:hanging="180"/>
      </w:pPr>
    </w:lvl>
  </w:abstractNum>
  <w:abstractNum w:abstractNumId="19">
    <w:nsid w:val="4B257CE5"/>
    <w:multiLevelType w:val="hybridMultilevel"/>
    <w:tmpl w:val="BC80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6D41F8"/>
    <w:multiLevelType w:val="hybridMultilevel"/>
    <w:tmpl w:val="4482A4C0"/>
    <w:lvl w:ilvl="0" w:tplc="E306F66C">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A371D0"/>
    <w:multiLevelType w:val="hybridMultilevel"/>
    <w:tmpl w:val="7658715A"/>
    <w:lvl w:ilvl="0" w:tplc="2CB0BBC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974802"/>
    <w:multiLevelType w:val="hybridMultilevel"/>
    <w:tmpl w:val="2FE6DBBC"/>
    <w:lvl w:ilvl="0" w:tplc="F96EBB0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97A5AB6"/>
    <w:multiLevelType w:val="hybridMultilevel"/>
    <w:tmpl w:val="6E6A662E"/>
    <w:lvl w:ilvl="0" w:tplc="5C905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9D4CDD"/>
    <w:multiLevelType w:val="hybridMultilevel"/>
    <w:tmpl w:val="8D9AD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557C61"/>
    <w:multiLevelType w:val="hybridMultilevel"/>
    <w:tmpl w:val="D0A8700E"/>
    <w:lvl w:ilvl="0" w:tplc="9BA2FBE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F6D79B7"/>
    <w:multiLevelType w:val="hybridMultilevel"/>
    <w:tmpl w:val="2436B1F6"/>
    <w:lvl w:ilvl="0" w:tplc="B276EAAC">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FB0DE4"/>
    <w:multiLevelType w:val="hybridMultilevel"/>
    <w:tmpl w:val="8ECE13B4"/>
    <w:lvl w:ilvl="0" w:tplc="5C905B1C">
      <w:start w:val="1"/>
      <w:numFmt w:val="decimal"/>
      <w:lvlText w:val="%1."/>
      <w:lvlJc w:val="left"/>
      <w:pPr>
        <w:ind w:left="652" w:hanging="360"/>
      </w:pPr>
      <w:rPr>
        <w:rFonts w:hint="default"/>
      </w:rPr>
    </w:lvl>
    <w:lvl w:ilvl="1" w:tplc="04090019" w:tentative="1">
      <w:start w:val="1"/>
      <w:numFmt w:val="lowerLetter"/>
      <w:lvlText w:val="%2."/>
      <w:lvlJc w:val="left"/>
      <w:pPr>
        <w:ind w:left="1372" w:hanging="360"/>
      </w:pPr>
    </w:lvl>
    <w:lvl w:ilvl="2" w:tplc="0409001B" w:tentative="1">
      <w:start w:val="1"/>
      <w:numFmt w:val="lowerRoman"/>
      <w:lvlText w:val="%3."/>
      <w:lvlJc w:val="right"/>
      <w:pPr>
        <w:ind w:left="2092" w:hanging="180"/>
      </w:pPr>
    </w:lvl>
    <w:lvl w:ilvl="3" w:tplc="0409000F" w:tentative="1">
      <w:start w:val="1"/>
      <w:numFmt w:val="decimal"/>
      <w:lvlText w:val="%4."/>
      <w:lvlJc w:val="left"/>
      <w:pPr>
        <w:ind w:left="2812" w:hanging="360"/>
      </w:pPr>
    </w:lvl>
    <w:lvl w:ilvl="4" w:tplc="04090019" w:tentative="1">
      <w:start w:val="1"/>
      <w:numFmt w:val="lowerLetter"/>
      <w:lvlText w:val="%5."/>
      <w:lvlJc w:val="left"/>
      <w:pPr>
        <w:ind w:left="3532" w:hanging="360"/>
      </w:pPr>
    </w:lvl>
    <w:lvl w:ilvl="5" w:tplc="0409001B" w:tentative="1">
      <w:start w:val="1"/>
      <w:numFmt w:val="lowerRoman"/>
      <w:lvlText w:val="%6."/>
      <w:lvlJc w:val="right"/>
      <w:pPr>
        <w:ind w:left="4252" w:hanging="180"/>
      </w:pPr>
    </w:lvl>
    <w:lvl w:ilvl="6" w:tplc="0409000F" w:tentative="1">
      <w:start w:val="1"/>
      <w:numFmt w:val="decimal"/>
      <w:lvlText w:val="%7."/>
      <w:lvlJc w:val="left"/>
      <w:pPr>
        <w:ind w:left="4972" w:hanging="360"/>
      </w:pPr>
    </w:lvl>
    <w:lvl w:ilvl="7" w:tplc="04090019" w:tentative="1">
      <w:start w:val="1"/>
      <w:numFmt w:val="lowerLetter"/>
      <w:lvlText w:val="%8."/>
      <w:lvlJc w:val="left"/>
      <w:pPr>
        <w:ind w:left="5692" w:hanging="360"/>
      </w:pPr>
    </w:lvl>
    <w:lvl w:ilvl="8" w:tplc="0409001B" w:tentative="1">
      <w:start w:val="1"/>
      <w:numFmt w:val="lowerRoman"/>
      <w:lvlText w:val="%9."/>
      <w:lvlJc w:val="right"/>
      <w:pPr>
        <w:ind w:left="6412" w:hanging="180"/>
      </w:pPr>
    </w:lvl>
  </w:abstractNum>
  <w:abstractNum w:abstractNumId="28">
    <w:nsid w:val="7C2B4294"/>
    <w:multiLevelType w:val="hybridMultilevel"/>
    <w:tmpl w:val="CCC43A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277BCF"/>
    <w:multiLevelType w:val="hybridMultilevel"/>
    <w:tmpl w:val="7658715A"/>
    <w:lvl w:ilvl="0" w:tplc="2CB0BBC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3B5F9A"/>
    <w:multiLevelType w:val="hybridMultilevel"/>
    <w:tmpl w:val="B6C2A0CA"/>
    <w:lvl w:ilvl="0" w:tplc="03BCB30C">
      <w:start w:val="1"/>
      <w:numFmt w:val="bullet"/>
      <w:lvlText w:val="-"/>
      <w:lvlJc w:val="left"/>
      <w:pPr>
        <w:tabs>
          <w:tab w:val="num" w:pos="720"/>
        </w:tabs>
        <w:ind w:left="720" w:hanging="360"/>
      </w:pPr>
      <w:rPr>
        <w:rFonts w:ascii="Times New Roman" w:hAnsi="Times New Roman" w:hint="default"/>
      </w:rPr>
    </w:lvl>
    <w:lvl w:ilvl="1" w:tplc="86D8A622" w:tentative="1">
      <w:start w:val="1"/>
      <w:numFmt w:val="bullet"/>
      <w:lvlText w:val="-"/>
      <w:lvlJc w:val="left"/>
      <w:pPr>
        <w:tabs>
          <w:tab w:val="num" w:pos="1440"/>
        </w:tabs>
        <w:ind w:left="1440" w:hanging="360"/>
      </w:pPr>
      <w:rPr>
        <w:rFonts w:ascii="Times New Roman" w:hAnsi="Times New Roman" w:hint="default"/>
      </w:rPr>
    </w:lvl>
    <w:lvl w:ilvl="2" w:tplc="D33C3E56" w:tentative="1">
      <w:start w:val="1"/>
      <w:numFmt w:val="bullet"/>
      <w:lvlText w:val="-"/>
      <w:lvlJc w:val="left"/>
      <w:pPr>
        <w:tabs>
          <w:tab w:val="num" w:pos="2160"/>
        </w:tabs>
        <w:ind w:left="2160" w:hanging="360"/>
      </w:pPr>
      <w:rPr>
        <w:rFonts w:ascii="Times New Roman" w:hAnsi="Times New Roman" w:hint="default"/>
      </w:rPr>
    </w:lvl>
    <w:lvl w:ilvl="3" w:tplc="B8065B04" w:tentative="1">
      <w:start w:val="1"/>
      <w:numFmt w:val="bullet"/>
      <w:lvlText w:val="-"/>
      <w:lvlJc w:val="left"/>
      <w:pPr>
        <w:tabs>
          <w:tab w:val="num" w:pos="2880"/>
        </w:tabs>
        <w:ind w:left="2880" w:hanging="360"/>
      </w:pPr>
      <w:rPr>
        <w:rFonts w:ascii="Times New Roman" w:hAnsi="Times New Roman" w:hint="default"/>
      </w:rPr>
    </w:lvl>
    <w:lvl w:ilvl="4" w:tplc="3F0653FE" w:tentative="1">
      <w:start w:val="1"/>
      <w:numFmt w:val="bullet"/>
      <w:lvlText w:val="-"/>
      <w:lvlJc w:val="left"/>
      <w:pPr>
        <w:tabs>
          <w:tab w:val="num" w:pos="3600"/>
        </w:tabs>
        <w:ind w:left="3600" w:hanging="360"/>
      </w:pPr>
      <w:rPr>
        <w:rFonts w:ascii="Times New Roman" w:hAnsi="Times New Roman" w:hint="default"/>
      </w:rPr>
    </w:lvl>
    <w:lvl w:ilvl="5" w:tplc="CCA6B8D6" w:tentative="1">
      <w:start w:val="1"/>
      <w:numFmt w:val="bullet"/>
      <w:lvlText w:val="-"/>
      <w:lvlJc w:val="left"/>
      <w:pPr>
        <w:tabs>
          <w:tab w:val="num" w:pos="4320"/>
        </w:tabs>
        <w:ind w:left="4320" w:hanging="360"/>
      </w:pPr>
      <w:rPr>
        <w:rFonts w:ascii="Times New Roman" w:hAnsi="Times New Roman" w:hint="default"/>
      </w:rPr>
    </w:lvl>
    <w:lvl w:ilvl="6" w:tplc="68CA7E96" w:tentative="1">
      <w:start w:val="1"/>
      <w:numFmt w:val="bullet"/>
      <w:lvlText w:val="-"/>
      <w:lvlJc w:val="left"/>
      <w:pPr>
        <w:tabs>
          <w:tab w:val="num" w:pos="5040"/>
        </w:tabs>
        <w:ind w:left="5040" w:hanging="360"/>
      </w:pPr>
      <w:rPr>
        <w:rFonts w:ascii="Times New Roman" w:hAnsi="Times New Roman" w:hint="default"/>
      </w:rPr>
    </w:lvl>
    <w:lvl w:ilvl="7" w:tplc="D98E9E06" w:tentative="1">
      <w:start w:val="1"/>
      <w:numFmt w:val="bullet"/>
      <w:lvlText w:val="-"/>
      <w:lvlJc w:val="left"/>
      <w:pPr>
        <w:tabs>
          <w:tab w:val="num" w:pos="5760"/>
        </w:tabs>
        <w:ind w:left="5760" w:hanging="360"/>
      </w:pPr>
      <w:rPr>
        <w:rFonts w:ascii="Times New Roman" w:hAnsi="Times New Roman" w:hint="default"/>
      </w:rPr>
    </w:lvl>
    <w:lvl w:ilvl="8" w:tplc="D7766D38"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EDA5892"/>
    <w:multiLevelType w:val="hybridMultilevel"/>
    <w:tmpl w:val="7658715A"/>
    <w:lvl w:ilvl="0" w:tplc="2CB0BBC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3"/>
  </w:num>
  <w:num w:numId="4">
    <w:abstractNumId w:val="28"/>
  </w:num>
  <w:num w:numId="5">
    <w:abstractNumId w:val="6"/>
  </w:num>
  <w:num w:numId="6">
    <w:abstractNumId w:val="22"/>
  </w:num>
  <w:num w:numId="7">
    <w:abstractNumId w:val="4"/>
  </w:num>
  <w:num w:numId="8">
    <w:abstractNumId w:val="25"/>
  </w:num>
  <w:num w:numId="9">
    <w:abstractNumId w:val="20"/>
  </w:num>
  <w:num w:numId="10">
    <w:abstractNumId w:val="1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1"/>
  </w:num>
  <w:num w:numId="14">
    <w:abstractNumId w:val="14"/>
  </w:num>
  <w:num w:numId="15">
    <w:abstractNumId w:val="17"/>
  </w:num>
  <w:num w:numId="16">
    <w:abstractNumId w:val="12"/>
  </w:num>
  <w:num w:numId="17">
    <w:abstractNumId w:val="21"/>
  </w:num>
  <w:num w:numId="18">
    <w:abstractNumId w:val="26"/>
  </w:num>
  <w:num w:numId="19">
    <w:abstractNumId w:val="10"/>
  </w:num>
  <w:num w:numId="20">
    <w:abstractNumId w:val="19"/>
  </w:num>
  <w:num w:numId="21">
    <w:abstractNumId w:val="11"/>
  </w:num>
  <w:num w:numId="22">
    <w:abstractNumId w:val="24"/>
  </w:num>
  <w:num w:numId="23">
    <w:abstractNumId w:val="23"/>
  </w:num>
  <w:num w:numId="24">
    <w:abstractNumId w:val="9"/>
  </w:num>
  <w:num w:numId="25">
    <w:abstractNumId w:val="7"/>
  </w:num>
  <w:num w:numId="26">
    <w:abstractNumId w:val="2"/>
  </w:num>
  <w:num w:numId="27">
    <w:abstractNumId w:val="16"/>
  </w:num>
  <w:num w:numId="28">
    <w:abstractNumId w:val="5"/>
  </w:num>
  <w:num w:numId="29">
    <w:abstractNumId w:val="27"/>
  </w:num>
  <w:num w:numId="30">
    <w:abstractNumId w:val="1"/>
  </w:num>
  <w:num w:numId="31">
    <w:abstractNumId w:val="18"/>
  </w:num>
  <w:num w:numId="32">
    <w:abstractNumId w:val="30"/>
  </w:num>
  <w:num w:numId="33">
    <w:abstractNumId w:val="8"/>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a Buffoni">
    <w15:presenceInfo w15:providerId="AD" w15:userId="S-1-5-21-2676355427-447894320-4283101651-25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52r52vwspdfrqepfx7pwz0uzaverz5setxs&quot;&gt;My EndNote Library&lt;record-ids&gt;&lt;item&gt;97&lt;/item&gt;&lt;item&gt;182&lt;/item&gt;&lt;item&gt;183&lt;/item&gt;&lt;item&gt;531&lt;/item&gt;&lt;item&gt;733&lt;/item&gt;&lt;item&gt;734&lt;/item&gt;&lt;item&gt;735&lt;/item&gt;&lt;item&gt;736&lt;/item&gt;&lt;item&gt;741&lt;/item&gt;&lt;item&gt;777&lt;/item&gt;&lt;item&gt;781&lt;/item&gt;&lt;item&gt;782&lt;/item&gt;&lt;item&gt;783&lt;/item&gt;&lt;/record-ids&gt;&lt;/item&gt;&lt;/Libraries&gt;"/>
  </w:docVars>
  <w:rsids>
    <w:rsidRoot w:val="0014725B"/>
    <w:rsid w:val="000234A3"/>
    <w:rsid w:val="00034564"/>
    <w:rsid w:val="00043A9A"/>
    <w:rsid w:val="00043CD9"/>
    <w:rsid w:val="00057F09"/>
    <w:rsid w:val="00060172"/>
    <w:rsid w:val="00060995"/>
    <w:rsid w:val="000647F3"/>
    <w:rsid w:val="0008366F"/>
    <w:rsid w:val="00092876"/>
    <w:rsid w:val="00093A46"/>
    <w:rsid w:val="000A32E5"/>
    <w:rsid w:val="000C03A1"/>
    <w:rsid w:val="000C47F3"/>
    <w:rsid w:val="000C54D4"/>
    <w:rsid w:val="000D48D8"/>
    <w:rsid w:val="000D7D59"/>
    <w:rsid w:val="000F002B"/>
    <w:rsid w:val="000F2FAA"/>
    <w:rsid w:val="000F6D9F"/>
    <w:rsid w:val="000F744A"/>
    <w:rsid w:val="00103995"/>
    <w:rsid w:val="001051D9"/>
    <w:rsid w:val="00106F06"/>
    <w:rsid w:val="001178C9"/>
    <w:rsid w:val="00122F51"/>
    <w:rsid w:val="0012606A"/>
    <w:rsid w:val="00126139"/>
    <w:rsid w:val="00130DE2"/>
    <w:rsid w:val="001328AB"/>
    <w:rsid w:val="001336A7"/>
    <w:rsid w:val="00137D9E"/>
    <w:rsid w:val="0014725B"/>
    <w:rsid w:val="00153290"/>
    <w:rsid w:val="00157790"/>
    <w:rsid w:val="00165857"/>
    <w:rsid w:val="00175458"/>
    <w:rsid w:val="001766D8"/>
    <w:rsid w:val="00177967"/>
    <w:rsid w:val="001813B5"/>
    <w:rsid w:val="00181CC3"/>
    <w:rsid w:val="00190D36"/>
    <w:rsid w:val="00192814"/>
    <w:rsid w:val="00197649"/>
    <w:rsid w:val="001A12AA"/>
    <w:rsid w:val="001A7D14"/>
    <w:rsid w:val="001B203D"/>
    <w:rsid w:val="001B42D4"/>
    <w:rsid w:val="001C6AFE"/>
    <w:rsid w:val="001E795D"/>
    <w:rsid w:val="001F1A16"/>
    <w:rsid w:val="0020217B"/>
    <w:rsid w:val="002070D4"/>
    <w:rsid w:val="002108AE"/>
    <w:rsid w:val="00212805"/>
    <w:rsid w:val="00213EDA"/>
    <w:rsid w:val="00223A08"/>
    <w:rsid w:val="00226B89"/>
    <w:rsid w:val="00227D97"/>
    <w:rsid w:val="00237C12"/>
    <w:rsid w:val="00246912"/>
    <w:rsid w:val="00247D8B"/>
    <w:rsid w:val="0025548D"/>
    <w:rsid w:val="00285F44"/>
    <w:rsid w:val="00290868"/>
    <w:rsid w:val="002A55E7"/>
    <w:rsid w:val="002A6539"/>
    <w:rsid w:val="002A7763"/>
    <w:rsid w:val="002E59C4"/>
    <w:rsid w:val="002E5FB9"/>
    <w:rsid w:val="002E6B7A"/>
    <w:rsid w:val="00302064"/>
    <w:rsid w:val="0030684D"/>
    <w:rsid w:val="003171AD"/>
    <w:rsid w:val="00326527"/>
    <w:rsid w:val="00337647"/>
    <w:rsid w:val="003450A6"/>
    <w:rsid w:val="00351111"/>
    <w:rsid w:val="00353181"/>
    <w:rsid w:val="00365577"/>
    <w:rsid w:val="00373D53"/>
    <w:rsid w:val="00390046"/>
    <w:rsid w:val="003A1B21"/>
    <w:rsid w:val="003B2B2F"/>
    <w:rsid w:val="003D5A72"/>
    <w:rsid w:val="003F34B9"/>
    <w:rsid w:val="004100C9"/>
    <w:rsid w:val="00410E84"/>
    <w:rsid w:val="00461062"/>
    <w:rsid w:val="004626DB"/>
    <w:rsid w:val="00462ECA"/>
    <w:rsid w:val="004654FC"/>
    <w:rsid w:val="00466DE4"/>
    <w:rsid w:val="00470AE4"/>
    <w:rsid w:val="00474AE3"/>
    <w:rsid w:val="004838F5"/>
    <w:rsid w:val="0048420D"/>
    <w:rsid w:val="0048578A"/>
    <w:rsid w:val="00490276"/>
    <w:rsid w:val="00491552"/>
    <w:rsid w:val="004924D4"/>
    <w:rsid w:val="00494B5B"/>
    <w:rsid w:val="00495D52"/>
    <w:rsid w:val="004A2D58"/>
    <w:rsid w:val="004B45F7"/>
    <w:rsid w:val="004C1446"/>
    <w:rsid w:val="004C5459"/>
    <w:rsid w:val="004C58C3"/>
    <w:rsid w:val="004F62AC"/>
    <w:rsid w:val="00515ACE"/>
    <w:rsid w:val="00533232"/>
    <w:rsid w:val="005516C1"/>
    <w:rsid w:val="00553158"/>
    <w:rsid w:val="00560AC4"/>
    <w:rsid w:val="005620F4"/>
    <w:rsid w:val="00571A81"/>
    <w:rsid w:val="005755F3"/>
    <w:rsid w:val="0059157C"/>
    <w:rsid w:val="005D0D78"/>
    <w:rsid w:val="005E5D5E"/>
    <w:rsid w:val="005F5A1E"/>
    <w:rsid w:val="005F6E55"/>
    <w:rsid w:val="0061238B"/>
    <w:rsid w:val="00616F23"/>
    <w:rsid w:val="0062012A"/>
    <w:rsid w:val="006232A5"/>
    <w:rsid w:val="00633D2A"/>
    <w:rsid w:val="00634A47"/>
    <w:rsid w:val="00644E5B"/>
    <w:rsid w:val="0065296F"/>
    <w:rsid w:val="00653D1D"/>
    <w:rsid w:val="00665775"/>
    <w:rsid w:val="00690DDE"/>
    <w:rsid w:val="006937EB"/>
    <w:rsid w:val="0069673F"/>
    <w:rsid w:val="006B52E9"/>
    <w:rsid w:val="006C4861"/>
    <w:rsid w:val="006C5E63"/>
    <w:rsid w:val="006C6B90"/>
    <w:rsid w:val="006E3546"/>
    <w:rsid w:val="006F334C"/>
    <w:rsid w:val="006F46F3"/>
    <w:rsid w:val="00703A9D"/>
    <w:rsid w:val="007049ED"/>
    <w:rsid w:val="00707050"/>
    <w:rsid w:val="0071149A"/>
    <w:rsid w:val="0071408A"/>
    <w:rsid w:val="00721B9F"/>
    <w:rsid w:val="00722541"/>
    <w:rsid w:val="00727704"/>
    <w:rsid w:val="00732178"/>
    <w:rsid w:val="00735C38"/>
    <w:rsid w:val="007471C5"/>
    <w:rsid w:val="007649DA"/>
    <w:rsid w:val="00766EAB"/>
    <w:rsid w:val="00772ABA"/>
    <w:rsid w:val="00783D52"/>
    <w:rsid w:val="007A24D1"/>
    <w:rsid w:val="007B1412"/>
    <w:rsid w:val="007B2484"/>
    <w:rsid w:val="007B3A05"/>
    <w:rsid w:val="007C7CE5"/>
    <w:rsid w:val="007D2319"/>
    <w:rsid w:val="007E112F"/>
    <w:rsid w:val="007E4A45"/>
    <w:rsid w:val="007F0CE1"/>
    <w:rsid w:val="008066BD"/>
    <w:rsid w:val="008078B2"/>
    <w:rsid w:val="00812739"/>
    <w:rsid w:val="00821AA4"/>
    <w:rsid w:val="00825A04"/>
    <w:rsid w:val="00844A73"/>
    <w:rsid w:val="008618E9"/>
    <w:rsid w:val="008716C9"/>
    <w:rsid w:val="00875D72"/>
    <w:rsid w:val="00890181"/>
    <w:rsid w:val="0089117C"/>
    <w:rsid w:val="008A20DE"/>
    <w:rsid w:val="008A5E8B"/>
    <w:rsid w:val="008B3389"/>
    <w:rsid w:val="008B5BBD"/>
    <w:rsid w:val="008B66E8"/>
    <w:rsid w:val="008B6ED8"/>
    <w:rsid w:val="008D1A55"/>
    <w:rsid w:val="008D24AF"/>
    <w:rsid w:val="008D68D2"/>
    <w:rsid w:val="008F069D"/>
    <w:rsid w:val="008F693B"/>
    <w:rsid w:val="00906858"/>
    <w:rsid w:val="00907D0E"/>
    <w:rsid w:val="009103C4"/>
    <w:rsid w:val="009118F6"/>
    <w:rsid w:val="009119F7"/>
    <w:rsid w:val="009236EE"/>
    <w:rsid w:val="00923A37"/>
    <w:rsid w:val="009251B9"/>
    <w:rsid w:val="00940B61"/>
    <w:rsid w:val="00944E61"/>
    <w:rsid w:val="009470B9"/>
    <w:rsid w:val="0094725C"/>
    <w:rsid w:val="009530CF"/>
    <w:rsid w:val="00954162"/>
    <w:rsid w:val="00954B10"/>
    <w:rsid w:val="009625B2"/>
    <w:rsid w:val="00965098"/>
    <w:rsid w:val="00972A37"/>
    <w:rsid w:val="009765C8"/>
    <w:rsid w:val="009801D2"/>
    <w:rsid w:val="009A0E7F"/>
    <w:rsid w:val="009A2D1A"/>
    <w:rsid w:val="009B3652"/>
    <w:rsid w:val="009B5CE8"/>
    <w:rsid w:val="009C55B8"/>
    <w:rsid w:val="009D109C"/>
    <w:rsid w:val="009D6F02"/>
    <w:rsid w:val="009F0F5C"/>
    <w:rsid w:val="00A005C4"/>
    <w:rsid w:val="00A06B63"/>
    <w:rsid w:val="00A1276D"/>
    <w:rsid w:val="00A23321"/>
    <w:rsid w:val="00A248FD"/>
    <w:rsid w:val="00A24CC4"/>
    <w:rsid w:val="00A266F1"/>
    <w:rsid w:val="00A368C9"/>
    <w:rsid w:val="00A44A4C"/>
    <w:rsid w:val="00A477DA"/>
    <w:rsid w:val="00A64E49"/>
    <w:rsid w:val="00A670EE"/>
    <w:rsid w:val="00A71830"/>
    <w:rsid w:val="00A76A31"/>
    <w:rsid w:val="00A85FF1"/>
    <w:rsid w:val="00A91B80"/>
    <w:rsid w:val="00AA6740"/>
    <w:rsid w:val="00AA7376"/>
    <w:rsid w:val="00AA795C"/>
    <w:rsid w:val="00AE2501"/>
    <w:rsid w:val="00AE26DB"/>
    <w:rsid w:val="00AF3811"/>
    <w:rsid w:val="00AF6DFB"/>
    <w:rsid w:val="00AF7E9E"/>
    <w:rsid w:val="00B00AB8"/>
    <w:rsid w:val="00B11677"/>
    <w:rsid w:val="00B14F24"/>
    <w:rsid w:val="00B35C64"/>
    <w:rsid w:val="00B4115B"/>
    <w:rsid w:val="00B6362A"/>
    <w:rsid w:val="00B77562"/>
    <w:rsid w:val="00B77E2E"/>
    <w:rsid w:val="00B93BB0"/>
    <w:rsid w:val="00B9666A"/>
    <w:rsid w:val="00B966CF"/>
    <w:rsid w:val="00BB08FC"/>
    <w:rsid w:val="00BB73EA"/>
    <w:rsid w:val="00BB7869"/>
    <w:rsid w:val="00BC1F5B"/>
    <w:rsid w:val="00BD6760"/>
    <w:rsid w:val="00BE52AC"/>
    <w:rsid w:val="00BE64F4"/>
    <w:rsid w:val="00BE75DF"/>
    <w:rsid w:val="00BF008E"/>
    <w:rsid w:val="00BF0F13"/>
    <w:rsid w:val="00BF2B01"/>
    <w:rsid w:val="00BF4449"/>
    <w:rsid w:val="00BF618B"/>
    <w:rsid w:val="00C00C7E"/>
    <w:rsid w:val="00C01643"/>
    <w:rsid w:val="00C10926"/>
    <w:rsid w:val="00C244D1"/>
    <w:rsid w:val="00C3608C"/>
    <w:rsid w:val="00C41A34"/>
    <w:rsid w:val="00C446DF"/>
    <w:rsid w:val="00C47D6E"/>
    <w:rsid w:val="00C56302"/>
    <w:rsid w:val="00C87F99"/>
    <w:rsid w:val="00C9547A"/>
    <w:rsid w:val="00CA22C5"/>
    <w:rsid w:val="00CB43F0"/>
    <w:rsid w:val="00CC10AC"/>
    <w:rsid w:val="00CC5EC2"/>
    <w:rsid w:val="00CD0C68"/>
    <w:rsid w:val="00CE6323"/>
    <w:rsid w:val="00CF2438"/>
    <w:rsid w:val="00CF74C7"/>
    <w:rsid w:val="00D12B61"/>
    <w:rsid w:val="00D13BFF"/>
    <w:rsid w:val="00D17EF6"/>
    <w:rsid w:val="00D26E6A"/>
    <w:rsid w:val="00D27421"/>
    <w:rsid w:val="00D2782A"/>
    <w:rsid w:val="00D325AA"/>
    <w:rsid w:val="00D42064"/>
    <w:rsid w:val="00D42879"/>
    <w:rsid w:val="00D6042A"/>
    <w:rsid w:val="00D62728"/>
    <w:rsid w:val="00D7045A"/>
    <w:rsid w:val="00D75C16"/>
    <w:rsid w:val="00D82A29"/>
    <w:rsid w:val="00D85263"/>
    <w:rsid w:val="00D913C7"/>
    <w:rsid w:val="00D91575"/>
    <w:rsid w:val="00D92178"/>
    <w:rsid w:val="00D93760"/>
    <w:rsid w:val="00D975DD"/>
    <w:rsid w:val="00DA32F2"/>
    <w:rsid w:val="00DB0C93"/>
    <w:rsid w:val="00DB4299"/>
    <w:rsid w:val="00DD4FED"/>
    <w:rsid w:val="00DE68C8"/>
    <w:rsid w:val="00E00BB9"/>
    <w:rsid w:val="00E10BB6"/>
    <w:rsid w:val="00E12614"/>
    <w:rsid w:val="00E23560"/>
    <w:rsid w:val="00E23C14"/>
    <w:rsid w:val="00E5032D"/>
    <w:rsid w:val="00E52AEB"/>
    <w:rsid w:val="00E60353"/>
    <w:rsid w:val="00E63C9B"/>
    <w:rsid w:val="00E7246D"/>
    <w:rsid w:val="00E7462D"/>
    <w:rsid w:val="00E7537E"/>
    <w:rsid w:val="00E803E8"/>
    <w:rsid w:val="00E8193D"/>
    <w:rsid w:val="00E83EE0"/>
    <w:rsid w:val="00E9289D"/>
    <w:rsid w:val="00E93310"/>
    <w:rsid w:val="00E95421"/>
    <w:rsid w:val="00EA1981"/>
    <w:rsid w:val="00EA6983"/>
    <w:rsid w:val="00EA6DC2"/>
    <w:rsid w:val="00ED08D6"/>
    <w:rsid w:val="00ED2D6A"/>
    <w:rsid w:val="00EF3F9A"/>
    <w:rsid w:val="00EF49C6"/>
    <w:rsid w:val="00F01CD1"/>
    <w:rsid w:val="00F05DBE"/>
    <w:rsid w:val="00F148FC"/>
    <w:rsid w:val="00F152F2"/>
    <w:rsid w:val="00F15B3F"/>
    <w:rsid w:val="00F3068E"/>
    <w:rsid w:val="00F32611"/>
    <w:rsid w:val="00F33E23"/>
    <w:rsid w:val="00F42B0A"/>
    <w:rsid w:val="00F536FC"/>
    <w:rsid w:val="00F54896"/>
    <w:rsid w:val="00F54B52"/>
    <w:rsid w:val="00F56A17"/>
    <w:rsid w:val="00F62B36"/>
    <w:rsid w:val="00F63E73"/>
    <w:rsid w:val="00F70837"/>
    <w:rsid w:val="00F7261F"/>
    <w:rsid w:val="00F83661"/>
    <w:rsid w:val="00F927BC"/>
    <w:rsid w:val="00FA003F"/>
    <w:rsid w:val="00FA1A48"/>
    <w:rsid w:val="00FC6CFF"/>
    <w:rsid w:val="00FC6E51"/>
    <w:rsid w:val="00FD2657"/>
    <w:rsid w:val="00FD3152"/>
    <w:rsid w:val="00FD7205"/>
    <w:rsid w:val="00FD74A9"/>
    <w:rsid w:val="00FE4B23"/>
    <w:rsid w:val="00FF2511"/>
    <w:rsid w:val="00FF2CEF"/>
    <w:rsid w:val="00FF4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0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F9A"/>
    <w:pPr>
      <w:spacing w:line="240" w:lineRule="auto"/>
      <w:jc w:val="both"/>
    </w:pPr>
    <w:rPr>
      <w:rFonts w:ascii="Cambria" w:hAnsi="Cambria"/>
      <w:sz w:val="24"/>
      <w:lang w:val="en-GB"/>
    </w:rPr>
  </w:style>
  <w:style w:type="paragraph" w:styleId="Heading1">
    <w:name w:val="heading 1"/>
    <w:basedOn w:val="Normal"/>
    <w:next w:val="Normal"/>
    <w:link w:val="Heading1Char"/>
    <w:autoRedefine/>
    <w:qFormat/>
    <w:rsid w:val="00553158"/>
    <w:pPr>
      <w:keepNext/>
      <w:keepLines/>
      <w:spacing w:before="120" w:after="120" w:line="259" w:lineRule="auto"/>
      <w:outlineLvl w:val="0"/>
    </w:pPr>
    <w:rPr>
      <w:rFonts w:asciiTheme="majorHAnsi" w:eastAsiaTheme="majorEastAsia" w:hAnsiTheme="majorHAnsi" w:cstheme="majorBidi"/>
      <w:b/>
      <w:color w:val="365F91" w:themeColor="accent1" w:themeShade="BF"/>
      <w:sz w:val="32"/>
      <w:szCs w:val="32"/>
      <w:lang w:val="it-IT"/>
    </w:rPr>
  </w:style>
  <w:style w:type="paragraph" w:styleId="Heading2">
    <w:name w:val="heading 2"/>
    <w:basedOn w:val="Normal"/>
    <w:next w:val="Normal"/>
    <w:link w:val="Heading2Char"/>
    <w:autoRedefine/>
    <w:uiPriority w:val="9"/>
    <w:unhideWhenUsed/>
    <w:qFormat/>
    <w:rsid w:val="00190D36"/>
    <w:pPr>
      <w:keepNext/>
      <w:keepLines/>
      <w:spacing w:before="120" w:after="120"/>
      <w:outlineLvl w:val="1"/>
    </w:pPr>
    <w:rPr>
      <w:rFonts w:eastAsiaTheme="majorEastAsia" w:cstheme="majorBidi"/>
      <w:b/>
      <w:szCs w:val="24"/>
      <w:lang w:val="en-US"/>
    </w:rPr>
  </w:style>
  <w:style w:type="paragraph" w:styleId="Heading3">
    <w:name w:val="heading 3"/>
    <w:basedOn w:val="Normal"/>
    <w:next w:val="Normal"/>
    <w:link w:val="Heading3Char"/>
    <w:autoRedefine/>
    <w:uiPriority w:val="9"/>
    <w:unhideWhenUsed/>
    <w:qFormat/>
    <w:rsid w:val="00190D36"/>
    <w:pPr>
      <w:spacing w:after="240"/>
      <w:outlineLvl w:val="2"/>
    </w:pPr>
    <w:rPr>
      <w:rFonts w:eastAsiaTheme="majorEastAsia" w:cstheme="majorBidi"/>
      <w:b/>
      <w:bCs/>
      <w:i/>
      <w:szCs w:val="24"/>
      <w:lang w:val="en-US"/>
    </w:rPr>
  </w:style>
  <w:style w:type="paragraph" w:styleId="Heading4">
    <w:name w:val="heading 4"/>
    <w:basedOn w:val="Normal"/>
    <w:next w:val="Normal"/>
    <w:link w:val="Heading4Char"/>
    <w:autoRedefine/>
    <w:uiPriority w:val="9"/>
    <w:unhideWhenUsed/>
    <w:qFormat/>
    <w:rsid w:val="00177967"/>
    <w:pPr>
      <w:keepNext/>
      <w:keepLines/>
      <w:spacing w:before="120" w:after="120"/>
      <w:ind w:firstLine="189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25B"/>
    <w:pPr>
      <w:ind w:left="720"/>
      <w:contextualSpacing/>
    </w:pPr>
  </w:style>
  <w:style w:type="table" w:styleId="TableGrid">
    <w:name w:val="Table Grid"/>
    <w:basedOn w:val="TableNormal"/>
    <w:uiPriority w:val="59"/>
    <w:rsid w:val="00147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6E3546"/>
    <w:rPr>
      <w:sz w:val="16"/>
      <w:szCs w:val="16"/>
    </w:rPr>
  </w:style>
  <w:style w:type="paragraph" w:styleId="CommentText">
    <w:name w:val="annotation text"/>
    <w:basedOn w:val="Normal"/>
    <w:link w:val="CommentTextChar"/>
    <w:unhideWhenUsed/>
    <w:rsid w:val="006E3546"/>
    <w:rPr>
      <w:sz w:val="20"/>
      <w:szCs w:val="20"/>
    </w:rPr>
  </w:style>
  <w:style w:type="character" w:customStyle="1" w:styleId="CommentTextChar">
    <w:name w:val="Comment Text Char"/>
    <w:basedOn w:val="DefaultParagraphFont"/>
    <w:link w:val="CommentText"/>
    <w:rsid w:val="006E3546"/>
    <w:rPr>
      <w:sz w:val="20"/>
      <w:szCs w:val="20"/>
      <w:lang w:val="en-GB"/>
    </w:rPr>
  </w:style>
  <w:style w:type="paragraph" w:styleId="CommentSubject">
    <w:name w:val="annotation subject"/>
    <w:basedOn w:val="CommentText"/>
    <w:next w:val="CommentText"/>
    <w:link w:val="CommentSubjectChar"/>
    <w:unhideWhenUsed/>
    <w:rsid w:val="006E3546"/>
    <w:rPr>
      <w:b/>
      <w:bCs/>
    </w:rPr>
  </w:style>
  <w:style w:type="character" w:customStyle="1" w:styleId="CommentSubjectChar">
    <w:name w:val="Comment Subject Char"/>
    <w:basedOn w:val="CommentTextChar"/>
    <w:link w:val="CommentSubject"/>
    <w:rsid w:val="006E3546"/>
    <w:rPr>
      <w:b/>
      <w:bCs/>
      <w:sz w:val="20"/>
      <w:szCs w:val="20"/>
      <w:lang w:val="en-GB"/>
    </w:rPr>
  </w:style>
  <w:style w:type="paragraph" w:styleId="BalloonText">
    <w:name w:val="Balloon Text"/>
    <w:basedOn w:val="Normal"/>
    <w:link w:val="BalloonTextChar"/>
    <w:semiHidden/>
    <w:unhideWhenUsed/>
    <w:rsid w:val="006E354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46"/>
    <w:rPr>
      <w:rFonts w:ascii="Tahoma" w:hAnsi="Tahoma" w:cs="Tahoma"/>
      <w:sz w:val="16"/>
      <w:szCs w:val="16"/>
      <w:lang w:val="en-GB"/>
    </w:rPr>
  </w:style>
  <w:style w:type="character" w:styleId="Hyperlink">
    <w:name w:val="Hyperlink"/>
    <w:basedOn w:val="DefaultParagraphFont"/>
    <w:uiPriority w:val="99"/>
    <w:unhideWhenUsed/>
    <w:rsid w:val="00C3608C"/>
    <w:rPr>
      <w:color w:val="0000FF" w:themeColor="hyperlink"/>
      <w:u w:val="single"/>
    </w:rPr>
  </w:style>
  <w:style w:type="character" w:customStyle="1" w:styleId="apple-converted-space">
    <w:name w:val="apple-converted-space"/>
    <w:basedOn w:val="DefaultParagraphFont"/>
    <w:rsid w:val="00092876"/>
  </w:style>
  <w:style w:type="character" w:customStyle="1" w:styleId="Heading1Char">
    <w:name w:val="Heading 1 Char"/>
    <w:basedOn w:val="DefaultParagraphFont"/>
    <w:link w:val="Heading1"/>
    <w:rsid w:val="00553158"/>
    <w:rPr>
      <w:rFonts w:asciiTheme="majorHAnsi" w:eastAsiaTheme="majorEastAsia" w:hAnsiTheme="majorHAnsi" w:cstheme="majorBidi"/>
      <w:b/>
      <w:color w:val="365F91" w:themeColor="accent1" w:themeShade="BF"/>
      <w:sz w:val="32"/>
      <w:szCs w:val="32"/>
      <w:lang w:val="it-IT"/>
    </w:rPr>
  </w:style>
  <w:style w:type="paragraph" w:styleId="IntenseQuote">
    <w:name w:val="Intense Quote"/>
    <w:basedOn w:val="Normal"/>
    <w:next w:val="Normal"/>
    <w:link w:val="IntenseQuoteChar"/>
    <w:uiPriority w:val="30"/>
    <w:qFormat/>
    <w:rsid w:val="00E60353"/>
    <w:pPr>
      <w:pBdr>
        <w:top w:val="single" w:sz="4" w:space="10" w:color="4F81BD" w:themeColor="accent1"/>
        <w:bottom w:val="single" w:sz="4" w:space="10" w:color="4F81BD" w:themeColor="accent1"/>
      </w:pBdr>
      <w:spacing w:before="360" w:after="360" w:line="259" w:lineRule="auto"/>
      <w:ind w:left="864" w:right="864"/>
      <w:jc w:val="center"/>
    </w:pPr>
    <w:rPr>
      <w:i/>
      <w:iCs/>
      <w:color w:val="4F81BD" w:themeColor="accent1"/>
      <w:lang w:val="it-IT"/>
    </w:rPr>
  </w:style>
  <w:style w:type="character" w:customStyle="1" w:styleId="IntenseQuoteChar">
    <w:name w:val="Intense Quote Char"/>
    <w:basedOn w:val="DefaultParagraphFont"/>
    <w:link w:val="IntenseQuote"/>
    <w:uiPriority w:val="30"/>
    <w:rsid w:val="00E60353"/>
    <w:rPr>
      <w:i/>
      <w:iCs/>
      <w:color w:val="4F81BD" w:themeColor="accent1"/>
      <w:lang w:val="it-IT"/>
    </w:rPr>
  </w:style>
  <w:style w:type="paragraph" w:styleId="TOCHeading">
    <w:name w:val="TOC Heading"/>
    <w:basedOn w:val="Heading1"/>
    <w:next w:val="Normal"/>
    <w:uiPriority w:val="39"/>
    <w:unhideWhenUsed/>
    <w:qFormat/>
    <w:rsid w:val="00E60353"/>
    <w:pPr>
      <w:outlineLvl w:val="9"/>
    </w:pPr>
    <w:rPr>
      <w:lang w:eastAsia="it-IT"/>
    </w:rPr>
  </w:style>
  <w:style w:type="paragraph" w:styleId="TOC1">
    <w:name w:val="toc 1"/>
    <w:basedOn w:val="Normal"/>
    <w:next w:val="Normal"/>
    <w:autoRedefine/>
    <w:uiPriority w:val="39"/>
    <w:unhideWhenUsed/>
    <w:rsid w:val="00E60353"/>
    <w:pPr>
      <w:spacing w:after="100" w:line="259" w:lineRule="auto"/>
    </w:pPr>
    <w:rPr>
      <w:lang w:val="it-IT"/>
    </w:rPr>
  </w:style>
  <w:style w:type="paragraph" w:styleId="TOC2">
    <w:name w:val="toc 2"/>
    <w:basedOn w:val="Normal"/>
    <w:next w:val="Normal"/>
    <w:autoRedefine/>
    <w:uiPriority w:val="39"/>
    <w:unhideWhenUsed/>
    <w:rsid w:val="00E60353"/>
    <w:pPr>
      <w:spacing w:after="100" w:line="259" w:lineRule="auto"/>
      <w:ind w:left="220"/>
    </w:pPr>
    <w:rPr>
      <w:lang w:val="it-IT"/>
    </w:rPr>
  </w:style>
  <w:style w:type="character" w:styleId="FootnoteReference">
    <w:name w:val="footnote reference"/>
    <w:basedOn w:val="DefaultParagraphFont"/>
    <w:unhideWhenUsed/>
    <w:rsid w:val="00E60353"/>
    <w:rPr>
      <w:vertAlign w:val="superscript"/>
    </w:rPr>
  </w:style>
  <w:style w:type="paragraph" w:styleId="NormalWeb">
    <w:name w:val="Normal (Web)"/>
    <w:basedOn w:val="Normal"/>
    <w:uiPriority w:val="99"/>
    <w:unhideWhenUsed/>
    <w:rsid w:val="00E60353"/>
    <w:pPr>
      <w:spacing w:before="100" w:beforeAutospacing="1" w:after="100" w:afterAutospacing="1"/>
    </w:pPr>
    <w:rPr>
      <w:rFonts w:ascii="Times New Roman" w:eastAsia="Times New Roman" w:hAnsi="Times New Roman" w:cs="Times New Roman"/>
      <w:szCs w:val="24"/>
      <w:lang w:val="en-US"/>
    </w:rPr>
  </w:style>
  <w:style w:type="paragraph" w:styleId="Header">
    <w:name w:val="header"/>
    <w:basedOn w:val="Normal"/>
    <w:link w:val="HeaderChar"/>
    <w:unhideWhenUsed/>
    <w:rsid w:val="00E60353"/>
    <w:pPr>
      <w:tabs>
        <w:tab w:val="center" w:pos="4680"/>
        <w:tab w:val="right" w:pos="9360"/>
      </w:tabs>
      <w:spacing w:after="0"/>
    </w:pPr>
  </w:style>
  <w:style w:type="character" w:customStyle="1" w:styleId="HeaderChar">
    <w:name w:val="Header Char"/>
    <w:basedOn w:val="DefaultParagraphFont"/>
    <w:link w:val="Header"/>
    <w:rsid w:val="00E60353"/>
    <w:rPr>
      <w:lang w:val="en-GB"/>
    </w:rPr>
  </w:style>
  <w:style w:type="paragraph" w:styleId="Footer">
    <w:name w:val="footer"/>
    <w:basedOn w:val="Normal"/>
    <w:link w:val="FooterChar"/>
    <w:uiPriority w:val="99"/>
    <w:unhideWhenUsed/>
    <w:rsid w:val="00E60353"/>
    <w:pPr>
      <w:tabs>
        <w:tab w:val="center" w:pos="4680"/>
        <w:tab w:val="right" w:pos="9360"/>
      </w:tabs>
      <w:spacing w:after="0"/>
    </w:pPr>
  </w:style>
  <w:style w:type="character" w:customStyle="1" w:styleId="FooterChar">
    <w:name w:val="Footer Char"/>
    <w:basedOn w:val="DefaultParagraphFont"/>
    <w:link w:val="Footer"/>
    <w:uiPriority w:val="99"/>
    <w:rsid w:val="00E60353"/>
    <w:rPr>
      <w:lang w:val="en-GB"/>
    </w:rPr>
  </w:style>
  <w:style w:type="character" w:customStyle="1" w:styleId="Heading2Char">
    <w:name w:val="Heading 2 Char"/>
    <w:basedOn w:val="DefaultParagraphFont"/>
    <w:link w:val="Heading2"/>
    <w:uiPriority w:val="9"/>
    <w:rsid w:val="00190D36"/>
    <w:rPr>
      <w:rFonts w:ascii="Cambria" w:eastAsiaTheme="majorEastAsia" w:hAnsi="Cambria" w:cstheme="majorBidi"/>
      <w:b/>
      <w:sz w:val="24"/>
      <w:szCs w:val="24"/>
    </w:rPr>
  </w:style>
  <w:style w:type="character" w:customStyle="1" w:styleId="Heading3Char">
    <w:name w:val="Heading 3 Char"/>
    <w:basedOn w:val="DefaultParagraphFont"/>
    <w:link w:val="Heading3"/>
    <w:uiPriority w:val="9"/>
    <w:rsid w:val="00190D36"/>
    <w:rPr>
      <w:rFonts w:ascii="Cambria" w:eastAsiaTheme="majorEastAsia" w:hAnsi="Cambria" w:cstheme="majorBidi"/>
      <w:b/>
      <w:bCs/>
      <w:i/>
      <w:sz w:val="24"/>
      <w:szCs w:val="24"/>
    </w:rPr>
  </w:style>
  <w:style w:type="paragraph" w:styleId="TOC3">
    <w:name w:val="toc 3"/>
    <w:basedOn w:val="Normal"/>
    <w:next w:val="Normal"/>
    <w:autoRedefine/>
    <w:uiPriority w:val="39"/>
    <w:unhideWhenUsed/>
    <w:rsid w:val="00E60353"/>
    <w:pPr>
      <w:spacing w:after="100"/>
      <w:ind w:left="440"/>
    </w:pPr>
  </w:style>
  <w:style w:type="character" w:customStyle="1" w:styleId="Heading4Char">
    <w:name w:val="Heading 4 Char"/>
    <w:basedOn w:val="DefaultParagraphFont"/>
    <w:link w:val="Heading4"/>
    <w:uiPriority w:val="9"/>
    <w:rsid w:val="00177967"/>
    <w:rPr>
      <w:rFonts w:ascii="Cambria" w:eastAsiaTheme="majorEastAsia" w:hAnsi="Cambria" w:cstheme="majorBidi"/>
      <w:i/>
      <w:iCs/>
      <w:sz w:val="24"/>
      <w:lang w:val="en-GB"/>
    </w:rPr>
  </w:style>
  <w:style w:type="paragraph" w:styleId="FootnoteText">
    <w:name w:val="footnote text"/>
    <w:basedOn w:val="Normal"/>
    <w:link w:val="FootnoteTextChar"/>
    <w:unhideWhenUsed/>
    <w:rsid w:val="00461062"/>
    <w:pPr>
      <w:spacing w:after="0"/>
    </w:pPr>
    <w:rPr>
      <w:sz w:val="20"/>
      <w:szCs w:val="20"/>
    </w:rPr>
  </w:style>
  <w:style w:type="character" w:customStyle="1" w:styleId="FootnoteTextChar">
    <w:name w:val="Footnote Text Char"/>
    <w:basedOn w:val="DefaultParagraphFont"/>
    <w:link w:val="FootnoteText"/>
    <w:rsid w:val="00461062"/>
    <w:rPr>
      <w:sz w:val="20"/>
      <w:szCs w:val="20"/>
      <w:lang w:val="en-GB"/>
    </w:rPr>
  </w:style>
  <w:style w:type="numbering" w:customStyle="1" w:styleId="NoList1">
    <w:name w:val="No List1"/>
    <w:next w:val="NoList"/>
    <w:semiHidden/>
    <w:rsid w:val="00BB73EA"/>
  </w:style>
  <w:style w:type="table" w:customStyle="1" w:styleId="TableGrid1">
    <w:name w:val="Table Grid1"/>
    <w:basedOn w:val="TableNormal"/>
    <w:next w:val="TableGrid"/>
    <w:rsid w:val="00BB73EA"/>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B73EA"/>
  </w:style>
  <w:style w:type="paragraph" w:styleId="EndnoteText">
    <w:name w:val="endnote text"/>
    <w:basedOn w:val="Normal"/>
    <w:link w:val="EndnoteTextChar"/>
    <w:rsid w:val="00BB73EA"/>
    <w:pPr>
      <w:bidi/>
      <w:spacing w:after="0"/>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BB73EA"/>
    <w:rPr>
      <w:rFonts w:ascii="Times New Roman" w:eastAsia="Times New Roman" w:hAnsi="Times New Roman" w:cs="Times New Roman"/>
      <w:sz w:val="20"/>
      <w:szCs w:val="20"/>
    </w:rPr>
  </w:style>
  <w:style w:type="character" w:styleId="EndnoteReference">
    <w:name w:val="endnote reference"/>
    <w:rsid w:val="00BB73EA"/>
    <w:rPr>
      <w:vertAlign w:val="superscript"/>
    </w:rPr>
  </w:style>
  <w:style w:type="paragraph" w:styleId="PlainText">
    <w:name w:val="Plain Text"/>
    <w:basedOn w:val="Normal"/>
    <w:link w:val="PlainTextChar"/>
    <w:uiPriority w:val="99"/>
    <w:unhideWhenUsed/>
    <w:rsid w:val="00BB73EA"/>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BB73EA"/>
    <w:rPr>
      <w:rFonts w:ascii="Calibri" w:eastAsia="Calibri" w:hAnsi="Calibri" w:cs="Times New Roman"/>
      <w:szCs w:val="21"/>
      <w:lang w:val="x-none"/>
    </w:rPr>
  </w:style>
  <w:style w:type="paragraph" w:styleId="Subtitle">
    <w:name w:val="Subtitle"/>
    <w:basedOn w:val="Normal"/>
    <w:next w:val="Normal"/>
    <w:link w:val="SubtitleChar"/>
    <w:qFormat/>
    <w:rsid w:val="00BB73EA"/>
    <w:pPr>
      <w:bidi/>
      <w:spacing w:after="60"/>
      <w:jc w:val="center"/>
      <w:outlineLvl w:val="1"/>
    </w:pPr>
    <w:rPr>
      <w:rFonts w:eastAsia="Times New Roman" w:cs="Times New Roman"/>
      <w:szCs w:val="24"/>
      <w:lang w:val="en-US"/>
    </w:rPr>
  </w:style>
  <w:style w:type="character" w:customStyle="1" w:styleId="SubtitleChar">
    <w:name w:val="Subtitle Char"/>
    <w:basedOn w:val="DefaultParagraphFont"/>
    <w:link w:val="Subtitle"/>
    <w:rsid w:val="00BB73EA"/>
    <w:rPr>
      <w:rFonts w:ascii="Cambria" w:eastAsia="Times New Roman" w:hAnsi="Cambria" w:cs="Times New Roman"/>
      <w:sz w:val="24"/>
      <w:szCs w:val="24"/>
    </w:rPr>
  </w:style>
  <w:style w:type="paragraph" w:customStyle="1" w:styleId="Default">
    <w:name w:val="Default"/>
    <w:rsid w:val="00BB73EA"/>
    <w:pPr>
      <w:autoSpaceDE w:val="0"/>
      <w:autoSpaceDN w:val="0"/>
      <w:adjustRightInd w:val="0"/>
      <w:spacing w:after="0" w:line="240" w:lineRule="auto"/>
    </w:pPr>
    <w:rPr>
      <w:rFonts w:ascii="Calibri" w:eastAsia="Times New Roman" w:hAnsi="Calibri" w:cs="Calibri"/>
      <w:color w:val="000000"/>
      <w:sz w:val="24"/>
      <w:szCs w:val="24"/>
    </w:rPr>
  </w:style>
  <w:style w:type="character" w:styleId="Strong">
    <w:name w:val="Strong"/>
    <w:uiPriority w:val="22"/>
    <w:qFormat/>
    <w:rsid w:val="00BB73EA"/>
    <w:rPr>
      <w:b/>
      <w:bCs/>
    </w:rPr>
  </w:style>
  <w:style w:type="character" w:styleId="Emphasis">
    <w:name w:val="Emphasis"/>
    <w:qFormat/>
    <w:rsid w:val="00BB73EA"/>
    <w:rPr>
      <w:i/>
      <w:iCs/>
    </w:rPr>
  </w:style>
  <w:style w:type="table" w:styleId="LightShading">
    <w:name w:val="Light Shading"/>
    <w:basedOn w:val="TableNormal"/>
    <w:uiPriority w:val="60"/>
    <w:rsid w:val="00907D0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TableNormal"/>
    <w:next w:val="TableGrid"/>
    <w:uiPriority w:val="59"/>
    <w:rsid w:val="00907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32178"/>
    <w:rPr>
      <w:b/>
      <w:bCs/>
      <w:color w:val="000000" w:themeColor="text1"/>
      <w:szCs w:val="18"/>
    </w:rPr>
  </w:style>
  <w:style w:type="paragraph" w:styleId="TableofFigures">
    <w:name w:val="table of figures"/>
    <w:basedOn w:val="Normal"/>
    <w:next w:val="Normal"/>
    <w:uiPriority w:val="99"/>
    <w:unhideWhenUsed/>
    <w:rsid w:val="0020217B"/>
    <w:pPr>
      <w:spacing w:after="0"/>
    </w:pPr>
  </w:style>
  <w:style w:type="table" w:customStyle="1" w:styleId="TableGrid3">
    <w:name w:val="Table Grid3"/>
    <w:basedOn w:val="TableNormal"/>
    <w:next w:val="TableGrid"/>
    <w:uiPriority w:val="59"/>
    <w:rsid w:val="00F54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2A7763"/>
    <w:pPr>
      <w:spacing w:after="100"/>
      <w:ind w:left="720"/>
    </w:pPr>
  </w:style>
  <w:style w:type="character" w:styleId="FollowedHyperlink">
    <w:name w:val="FollowedHyperlink"/>
    <w:basedOn w:val="DefaultParagraphFont"/>
    <w:uiPriority w:val="99"/>
    <w:semiHidden/>
    <w:unhideWhenUsed/>
    <w:rsid w:val="00D937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F9A"/>
    <w:pPr>
      <w:spacing w:line="240" w:lineRule="auto"/>
      <w:jc w:val="both"/>
    </w:pPr>
    <w:rPr>
      <w:rFonts w:ascii="Cambria" w:hAnsi="Cambria"/>
      <w:sz w:val="24"/>
      <w:lang w:val="en-GB"/>
    </w:rPr>
  </w:style>
  <w:style w:type="paragraph" w:styleId="Heading1">
    <w:name w:val="heading 1"/>
    <w:basedOn w:val="Normal"/>
    <w:next w:val="Normal"/>
    <w:link w:val="Heading1Char"/>
    <w:autoRedefine/>
    <w:qFormat/>
    <w:rsid w:val="00553158"/>
    <w:pPr>
      <w:keepNext/>
      <w:keepLines/>
      <w:spacing w:before="120" w:after="120" w:line="259" w:lineRule="auto"/>
      <w:outlineLvl w:val="0"/>
    </w:pPr>
    <w:rPr>
      <w:rFonts w:asciiTheme="majorHAnsi" w:eastAsiaTheme="majorEastAsia" w:hAnsiTheme="majorHAnsi" w:cstheme="majorBidi"/>
      <w:b/>
      <w:color w:val="365F91" w:themeColor="accent1" w:themeShade="BF"/>
      <w:sz w:val="32"/>
      <w:szCs w:val="32"/>
      <w:lang w:val="it-IT"/>
    </w:rPr>
  </w:style>
  <w:style w:type="paragraph" w:styleId="Heading2">
    <w:name w:val="heading 2"/>
    <w:basedOn w:val="Normal"/>
    <w:next w:val="Normal"/>
    <w:link w:val="Heading2Char"/>
    <w:autoRedefine/>
    <w:uiPriority w:val="9"/>
    <w:unhideWhenUsed/>
    <w:qFormat/>
    <w:rsid w:val="00190D36"/>
    <w:pPr>
      <w:keepNext/>
      <w:keepLines/>
      <w:spacing w:before="120" w:after="120"/>
      <w:outlineLvl w:val="1"/>
    </w:pPr>
    <w:rPr>
      <w:rFonts w:eastAsiaTheme="majorEastAsia" w:cstheme="majorBidi"/>
      <w:b/>
      <w:szCs w:val="24"/>
      <w:lang w:val="en-US"/>
    </w:rPr>
  </w:style>
  <w:style w:type="paragraph" w:styleId="Heading3">
    <w:name w:val="heading 3"/>
    <w:basedOn w:val="Normal"/>
    <w:next w:val="Normal"/>
    <w:link w:val="Heading3Char"/>
    <w:autoRedefine/>
    <w:uiPriority w:val="9"/>
    <w:unhideWhenUsed/>
    <w:qFormat/>
    <w:rsid w:val="00190D36"/>
    <w:pPr>
      <w:spacing w:after="240"/>
      <w:outlineLvl w:val="2"/>
    </w:pPr>
    <w:rPr>
      <w:rFonts w:eastAsiaTheme="majorEastAsia" w:cstheme="majorBidi"/>
      <w:b/>
      <w:bCs/>
      <w:i/>
      <w:szCs w:val="24"/>
      <w:lang w:val="en-US"/>
    </w:rPr>
  </w:style>
  <w:style w:type="paragraph" w:styleId="Heading4">
    <w:name w:val="heading 4"/>
    <w:basedOn w:val="Normal"/>
    <w:next w:val="Normal"/>
    <w:link w:val="Heading4Char"/>
    <w:autoRedefine/>
    <w:uiPriority w:val="9"/>
    <w:unhideWhenUsed/>
    <w:qFormat/>
    <w:rsid w:val="00177967"/>
    <w:pPr>
      <w:keepNext/>
      <w:keepLines/>
      <w:spacing w:before="120" w:after="120"/>
      <w:ind w:firstLine="189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25B"/>
    <w:pPr>
      <w:ind w:left="720"/>
      <w:contextualSpacing/>
    </w:pPr>
  </w:style>
  <w:style w:type="table" w:styleId="TableGrid">
    <w:name w:val="Table Grid"/>
    <w:basedOn w:val="TableNormal"/>
    <w:uiPriority w:val="59"/>
    <w:rsid w:val="00147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6E3546"/>
    <w:rPr>
      <w:sz w:val="16"/>
      <w:szCs w:val="16"/>
    </w:rPr>
  </w:style>
  <w:style w:type="paragraph" w:styleId="CommentText">
    <w:name w:val="annotation text"/>
    <w:basedOn w:val="Normal"/>
    <w:link w:val="CommentTextChar"/>
    <w:unhideWhenUsed/>
    <w:rsid w:val="006E3546"/>
    <w:rPr>
      <w:sz w:val="20"/>
      <w:szCs w:val="20"/>
    </w:rPr>
  </w:style>
  <w:style w:type="character" w:customStyle="1" w:styleId="CommentTextChar">
    <w:name w:val="Comment Text Char"/>
    <w:basedOn w:val="DefaultParagraphFont"/>
    <w:link w:val="CommentText"/>
    <w:rsid w:val="006E3546"/>
    <w:rPr>
      <w:sz w:val="20"/>
      <w:szCs w:val="20"/>
      <w:lang w:val="en-GB"/>
    </w:rPr>
  </w:style>
  <w:style w:type="paragraph" w:styleId="CommentSubject">
    <w:name w:val="annotation subject"/>
    <w:basedOn w:val="CommentText"/>
    <w:next w:val="CommentText"/>
    <w:link w:val="CommentSubjectChar"/>
    <w:unhideWhenUsed/>
    <w:rsid w:val="006E3546"/>
    <w:rPr>
      <w:b/>
      <w:bCs/>
    </w:rPr>
  </w:style>
  <w:style w:type="character" w:customStyle="1" w:styleId="CommentSubjectChar">
    <w:name w:val="Comment Subject Char"/>
    <w:basedOn w:val="CommentTextChar"/>
    <w:link w:val="CommentSubject"/>
    <w:rsid w:val="006E3546"/>
    <w:rPr>
      <w:b/>
      <w:bCs/>
      <w:sz w:val="20"/>
      <w:szCs w:val="20"/>
      <w:lang w:val="en-GB"/>
    </w:rPr>
  </w:style>
  <w:style w:type="paragraph" w:styleId="BalloonText">
    <w:name w:val="Balloon Text"/>
    <w:basedOn w:val="Normal"/>
    <w:link w:val="BalloonTextChar"/>
    <w:semiHidden/>
    <w:unhideWhenUsed/>
    <w:rsid w:val="006E354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46"/>
    <w:rPr>
      <w:rFonts w:ascii="Tahoma" w:hAnsi="Tahoma" w:cs="Tahoma"/>
      <w:sz w:val="16"/>
      <w:szCs w:val="16"/>
      <w:lang w:val="en-GB"/>
    </w:rPr>
  </w:style>
  <w:style w:type="character" w:styleId="Hyperlink">
    <w:name w:val="Hyperlink"/>
    <w:basedOn w:val="DefaultParagraphFont"/>
    <w:uiPriority w:val="99"/>
    <w:unhideWhenUsed/>
    <w:rsid w:val="00C3608C"/>
    <w:rPr>
      <w:color w:val="0000FF" w:themeColor="hyperlink"/>
      <w:u w:val="single"/>
    </w:rPr>
  </w:style>
  <w:style w:type="character" w:customStyle="1" w:styleId="apple-converted-space">
    <w:name w:val="apple-converted-space"/>
    <w:basedOn w:val="DefaultParagraphFont"/>
    <w:rsid w:val="00092876"/>
  </w:style>
  <w:style w:type="character" w:customStyle="1" w:styleId="Heading1Char">
    <w:name w:val="Heading 1 Char"/>
    <w:basedOn w:val="DefaultParagraphFont"/>
    <w:link w:val="Heading1"/>
    <w:rsid w:val="00553158"/>
    <w:rPr>
      <w:rFonts w:asciiTheme="majorHAnsi" w:eastAsiaTheme="majorEastAsia" w:hAnsiTheme="majorHAnsi" w:cstheme="majorBidi"/>
      <w:b/>
      <w:color w:val="365F91" w:themeColor="accent1" w:themeShade="BF"/>
      <w:sz w:val="32"/>
      <w:szCs w:val="32"/>
      <w:lang w:val="it-IT"/>
    </w:rPr>
  </w:style>
  <w:style w:type="paragraph" w:styleId="IntenseQuote">
    <w:name w:val="Intense Quote"/>
    <w:basedOn w:val="Normal"/>
    <w:next w:val="Normal"/>
    <w:link w:val="IntenseQuoteChar"/>
    <w:uiPriority w:val="30"/>
    <w:qFormat/>
    <w:rsid w:val="00E60353"/>
    <w:pPr>
      <w:pBdr>
        <w:top w:val="single" w:sz="4" w:space="10" w:color="4F81BD" w:themeColor="accent1"/>
        <w:bottom w:val="single" w:sz="4" w:space="10" w:color="4F81BD" w:themeColor="accent1"/>
      </w:pBdr>
      <w:spacing w:before="360" w:after="360" w:line="259" w:lineRule="auto"/>
      <w:ind w:left="864" w:right="864"/>
      <w:jc w:val="center"/>
    </w:pPr>
    <w:rPr>
      <w:i/>
      <w:iCs/>
      <w:color w:val="4F81BD" w:themeColor="accent1"/>
      <w:lang w:val="it-IT"/>
    </w:rPr>
  </w:style>
  <w:style w:type="character" w:customStyle="1" w:styleId="IntenseQuoteChar">
    <w:name w:val="Intense Quote Char"/>
    <w:basedOn w:val="DefaultParagraphFont"/>
    <w:link w:val="IntenseQuote"/>
    <w:uiPriority w:val="30"/>
    <w:rsid w:val="00E60353"/>
    <w:rPr>
      <w:i/>
      <w:iCs/>
      <w:color w:val="4F81BD" w:themeColor="accent1"/>
      <w:lang w:val="it-IT"/>
    </w:rPr>
  </w:style>
  <w:style w:type="paragraph" w:styleId="TOCHeading">
    <w:name w:val="TOC Heading"/>
    <w:basedOn w:val="Heading1"/>
    <w:next w:val="Normal"/>
    <w:uiPriority w:val="39"/>
    <w:unhideWhenUsed/>
    <w:qFormat/>
    <w:rsid w:val="00E60353"/>
    <w:pPr>
      <w:outlineLvl w:val="9"/>
    </w:pPr>
    <w:rPr>
      <w:lang w:eastAsia="it-IT"/>
    </w:rPr>
  </w:style>
  <w:style w:type="paragraph" w:styleId="TOC1">
    <w:name w:val="toc 1"/>
    <w:basedOn w:val="Normal"/>
    <w:next w:val="Normal"/>
    <w:autoRedefine/>
    <w:uiPriority w:val="39"/>
    <w:unhideWhenUsed/>
    <w:rsid w:val="00E60353"/>
    <w:pPr>
      <w:spacing w:after="100" w:line="259" w:lineRule="auto"/>
    </w:pPr>
    <w:rPr>
      <w:lang w:val="it-IT"/>
    </w:rPr>
  </w:style>
  <w:style w:type="paragraph" w:styleId="TOC2">
    <w:name w:val="toc 2"/>
    <w:basedOn w:val="Normal"/>
    <w:next w:val="Normal"/>
    <w:autoRedefine/>
    <w:uiPriority w:val="39"/>
    <w:unhideWhenUsed/>
    <w:rsid w:val="00E60353"/>
    <w:pPr>
      <w:spacing w:after="100" w:line="259" w:lineRule="auto"/>
      <w:ind w:left="220"/>
    </w:pPr>
    <w:rPr>
      <w:lang w:val="it-IT"/>
    </w:rPr>
  </w:style>
  <w:style w:type="character" w:styleId="FootnoteReference">
    <w:name w:val="footnote reference"/>
    <w:basedOn w:val="DefaultParagraphFont"/>
    <w:unhideWhenUsed/>
    <w:rsid w:val="00E60353"/>
    <w:rPr>
      <w:vertAlign w:val="superscript"/>
    </w:rPr>
  </w:style>
  <w:style w:type="paragraph" w:styleId="NormalWeb">
    <w:name w:val="Normal (Web)"/>
    <w:basedOn w:val="Normal"/>
    <w:uiPriority w:val="99"/>
    <w:unhideWhenUsed/>
    <w:rsid w:val="00E60353"/>
    <w:pPr>
      <w:spacing w:before="100" w:beforeAutospacing="1" w:after="100" w:afterAutospacing="1"/>
    </w:pPr>
    <w:rPr>
      <w:rFonts w:ascii="Times New Roman" w:eastAsia="Times New Roman" w:hAnsi="Times New Roman" w:cs="Times New Roman"/>
      <w:szCs w:val="24"/>
      <w:lang w:val="en-US"/>
    </w:rPr>
  </w:style>
  <w:style w:type="paragraph" w:styleId="Header">
    <w:name w:val="header"/>
    <w:basedOn w:val="Normal"/>
    <w:link w:val="HeaderChar"/>
    <w:unhideWhenUsed/>
    <w:rsid w:val="00E60353"/>
    <w:pPr>
      <w:tabs>
        <w:tab w:val="center" w:pos="4680"/>
        <w:tab w:val="right" w:pos="9360"/>
      </w:tabs>
      <w:spacing w:after="0"/>
    </w:pPr>
  </w:style>
  <w:style w:type="character" w:customStyle="1" w:styleId="HeaderChar">
    <w:name w:val="Header Char"/>
    <w:basedOn w:val="DefaultParagraphFont"/>
    <w:link w:val="Header"/>
    <w:rsid w:val="00E60353"/>
    <w:rPr>
      <w:lang w:val="en-GB"/>
    </w:rPr>
  </w:style>
  <w:style w:type="paragraph" w:styleId="Footer">
    <w:name w:val="footer"/>
    <w:basedOn w:val="Normal"/>
    <w:link w:val="FooterChar"/>
    <w:uiPriority w:val="99"/>
    <w:unhideWhenUsed/>
    <w:rsid w:val="00E60353"/>
    <w:pPr>
      <w:tabs>
        <w:tab w:val="center" w:pos="4680"/>
        <w:tab w:val="right" w:pos="9360"/>
      </w:tabs>
      <w:spacing w:after="0"/>
    </w:pPr>
  </w:style>
  <w:style w:type="character" w:customStyle="1" w:styleId="FooterChar">
    <w:name w:val="Footer Char"/>
    <w:basedOn w:val="DefaultParagraphFont"/>
    <w:link w:val="Footer"/>
    <w:uiPriority w:val="99"/>
    <w:rsid w:val="00E60353"/>
    <w:rPr>
      <w:lang w:val="en-GB"/>
    </w:rPr>
  </w:style>
  <w:style w:type="character" w:customStyle="1" w:styleId="Heading2Char">
    <w:name w:val="Heading 2 Char"/>
    <w:basedOn w:val="DefaultParagraphFont"/>
    <w:link w:val="Heading2"/>
    <w:uiPriority w:val="9"/>
    <w:rsid w:val="00190D36"/>
    <w:rPr>
      <w:rFonts w:ascii="Cambria" w:eastAsiaTheme="majorEastAsia" w:hAnsi="Cambria" w:cstheme="majorBidi"/>
      <w:b/>
      <w:sz w:val="24"/>
      <w:szCs w:val="24"/>
    </w:rPr>
  </w:style>
  <w:style w:type="character" w:customStyle="1" w:styleId="Heading3Char">
    <w:name w:val="Heading 3 Char"/>
    <w:basedOn w:val="DefaultParagraphFont"/>
    <w:link w:val="Heading3"/>
    <w:uiPriority w:val="9"/>
    <w:rsid w:val="00190D36"/>
    <w:rPr>
      <w:rFonts w:ascii="Cambria" w:eastAsiaTheme="majorEastAsia" w:hAnsi="Cambria" w:cstheme="majorBidi"/>
      <w:b/>
      <w:bCs/>
      <w:i/>
      <w:sz w:val="24"/>
      <w:szCs w:val="24"/>
    </w:rPr>
  </w:style>
  <w:style w:type="paragraph" w:styleId="TOC3">
    <w:name w:val="toc 3"/>
    <w:basedOn w:val="Normal"/>
    <w:next w:val="Normal"/>
    <w:autoRedefine/>
    <w:uiPriority w:val="39"/>
    <w:unhideWhenUsed/>
    <w:rsid w:val="00E60353"/>
    <w:pPr>
      <w:spacing w:after="100"/>
      <w:ind w:left="440"/>
    </w:pPr>
  </w:style>
  <w:style w:type="character" w:customStyle="1" w:styleId="Heading4Char">
    <w:name w:val="Heading 4 Char"/>
    <w:basedOn w:val="DefaultParagraphFont"/>
    <w:link w:val="Heading4"/>
    <w:uiPriority w:val="9"/>
    <w:rsid w:val="00177967"/>
    <w:rPr>
      <w:rFonts w:ascii="Cambria" w:eastAsiaTheme="majorEastAsia" w:hAnsi="Cambria" w:cstheme="majorBidi"/>
      <w:i/>
      <w:iCs/>
      <w:sz w:val="24"/>
      <w:lang w:val="en-GB"/>
    </w:rPr>
  </w:style>
  <w:style w:type="paragraph" w:styleId="FootnoteText">
    <w:name w:val="footnote text"/>
    <w:basedOn w:val="Normal"/>
    <w:link w:val="FootnoteTextChar"/>
    <w:unhideWhenUsed/>
    <w:rsid w:val="00461062"/>
    <w:pPr>
      <w:spacing w:after="0"/>
    </w:pPr>
    <w:rPr>
      <w:sz w:val="20"/>
      <w:szCs w:val="20"/>
    </w:rPr>
  </w:style>
  <w:style w:type="character" w:customStyle="1" w:styleId="FootnoteTextChar">
    <w:name w:val="Footnote Text Char"/>
    <w:basedOn w:val="DefaultParagraphFont"/>
    <w:link w:val="FootnoteText"/>
    <w:rsid w:val="00461062"/>
    <w:rPr>
      <w:sz w:val="20"/>
      <w:szCs w:val="20"/>
      <w:lang w:val="en-GB"/>
    </w:rPr>
  </w:style>
  <w:style w:type="numbering" w:customStyle="1" w:styleId="NoList1">
    <w:name w:val="No List1"/>
    <w:next w:val="NoList"/>
    <w:semiHidden/>
    <w:rsid w:val="00BB73EA"/>
  </w:style>
  <w:style w:type="table" w:customStyle="1" w:styleId="TableGrid1">
    <w:name w:val="Table Grid1"/>
    <w:basedOn w:val="TableNormal"/>
    <w:next w:val="TableGrid"/>
    <w:rsid w:val="00BB73EA"/>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B73EA"/>
  </w:style>
  <w:style w:type="paragraph" w:styleId="EndnoteText">
    <w:name w:val="endnote text"/>
    <w:basedOn w:val="Normal"/>
    <w:link w:val="EndnoteTextChar"/>
    <w:rsid w:val="00BB73EA"/>
    <w:pPr>
      <w:bidi/>
      <w:spacing w:after="0"/>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BB73EA"/>
    <w:rPr>
      <w:rFonts w:ascii="Times New Roman" w:eastAsia="Times New Roman" w:hAnsi="Times New Roman" w:cs="Times New Roman"/>
      <w:sz w:val="20"/>
      <w:szCs w:val="20"/>
    </w:rPr>
  </w:style>
  <w:style w:type="character" w:styleId="EndnoteReference">
    <w:name w:val="endnote reference"/>
    <w:rsid w:val="00BB73EA"/>
    <w:rPr>
      <w:vertAlign w:val="superscript"/>
    </w:rPr>
  </w:style>
  <w:style w:type="paragraph" w:styleId="PlainText">
    <w:name w:val="Plain Text"/>
    <w:basedOn w:val="Normal"/>
    <w:link w:val="PlainTextChar"/>
    <w:uiPriority w:val="99"/>
    <w:unhideWhenUsed/>
    <w:rsid w:val="00BB73EA"/>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BB73EA"/>
    <w:rPr>
      <w:rFonts w:ascii="Calibri" w:eastAsia="Calibri" w:hAnsi="Calibri" w:cs="Times New Roman"/>
      <w:szCs w:val="21"/>
      <w:lang w:val="x-none"/>
    </w:rPr>
  </w:style>
  <w:style w:type="paragraph" w:styleId="Subtitle">
    <w:name w:val="Subtitle"/>
    <w:basedOn w:val="Normal"/>
    <w:next w:val="Normal"/>
    <w:link w:val="SubtitleChar"/>
    <w:qFormat/>
    <w:rsid w:val="00BB73EA"/>
    <w:pPr>
      <w:bidi/>
      <w:spacing w:after="60"/>
      <w:jc w:val="center"/>
      <w:outlineLvl w:val="1"/>
    </w:pPr>
    <w:rPr>
      <w:rFonts w:eastAsia="Times New Roman" w:cs="Times New Roman"/>
      <w:szCs w:val="24"/>
      <w:lang w:val="en-US"/>
    </w:rPr>
  </w:style>
  <w:style w:type="character" w:customStyle="1" w:styleId="SubtitleChar">
    <w:name w:val="Subtitle Char"/>
    <w:basedOn w:val="DefaultParagraphFont"/>
    <w:link w:val="Subtitle"/>
    <w:rsid w:val="00BB73EA"/>
    <w:rPr>
      <w:rFonts w:ascii="Cambria" w:eastAsia="Times New Roman" w:hAnsi="Cambria" w:cs="Times New Roman"/>
      <w:sz w:val="24"/>
      <w:szCs w:val="24"/>
    </w:rPr>
  </w:style>
  <w:style w:type="paragraph" w:customStyle="1" w:styleId="Default">
    <w:name w:val="Default"/>
    <w:rsid w:val="00BB73EA"/>
    <w:pPr>
      <w:autoSpaceDE w:val="0"/>
      <w:autoSpaceDN w:val="0"/>
      <w:adjustRightInd w:val="0"/>
      <w:spacing w:after="0" w:line="240" w:lineRule="auto"/>
    </w:pPr>
    <w:rPr>
      <w:rFonts w:ascii="Calibri" w:eastAsia="Times New Roman" w:hAnsi="Calibri" w:cs="Calibri"/>
      <w:color w:val="000000"/>
      <w:sz w:val="24"/>
      <w:szCs w:val="24"/>
    </w:rPr>
  </w:style>
  <w:style w:type="character" w:styleId="Strong">
    <w:name w:val="Strong"/>
    <w:uiPriority w:val="22"/>
    <w:qFormat/>
    <w:rsid w:val="00BB73EA"/>
    <w:rPr>
      <w:b/>
      <w:bCs/>
    </w:rPr>
  </w:style>
  <w:style w:type="character" w:styleId="Emphasis">
    <w:name w:val="Emphasis"/>
    <w:qFormat/>
    <w:rsid w:val="00BB73EA"/>
    <w:rPr>
      <w:i/>
      <w:iCs/>
    </w:rPr>
  </w:style>
  <w:style w:type="table" w:styleId="LightShading">
    <w:name w:val="Light Shading"/>
    <w:basedOn w:val="TableNormal"/>
    <w:uiPriority w:val="60"/>
    <w:rsid w:val="00907D0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TableNormal"/>
    <w:next w:val="TableGrid"/>
    <w:uiPriority w:val="59"/>
    <w:rsid w:val="00907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32178"/>
    <w:rPr>
      <w:b/>
      <w:bCs/>
      <w:color w:val="000000" w:themeColor="text1"/>
      <w:szCs w:val="18"/>
    </w:rPr>
  </w:style>
  <w:style w:type="paragraph" w:styleId="TableofFigures">
    <w:name w:val="table of figures"/>
    <w:basedOn w:val="Normal"/>
    <w:next w:val="Normal"/>
    <w:uiPriority w:val="99"/>
    <w:unhideWhenUsed/>
    <w:rsid w:val="0020217B"/>
    <w:pPr>
      <w:spacing w:after="0"/>
    </w:pPr>
  </w:style>
  <w:style w:type="table" w:customStyle="1" w:styleId="TableGrid3">
    <w:name w:val="Table Grid3"/>
    <w:basedOn w:val="TableNormal"/>
    <w:next w:val="TableGrid"/>
    <w:uiPriority w:val="59"/>
    <w:rsid w:val="00F54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2A7763"/>
    <w:pPr>
      <w:spacing w:after="100"/>
      <w:ind w:left="720"/>
    </w:pPr>
  </w:style>
  <w:style w:type="character" w:styleId="FollowedHyperlink">
    <w:name w:val="FollowedHyperlink"/>
    <w:basedOn w:val="DefaultParagraphFont"/>
    <w:uiPriority w:val="99"/>
    <w:semiHidden/>
    <w:unhideWhenUsed/>
    <w:rsid w:val="00D937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18873">
      <w:bodyDiv w:val="1"/>
      <w:marLeft w:val="0"/>
      <w:marRight w:val="0"/>
      <w:marTop w:val="0"/>
      <w:marBottom w:val="0"/>
      <w:divBdr>
        <w:top w:val="none" w:sz="0" w:space="0" w:color="auto"/>
        <w:left w:val="none" w:sz="0" w:space="0" w:color="auto"/>
        <w:bottom w:val="none" w:sz="0" w:space="0" w:color="auto"/>
        <w:right w:val="none" w:sz="0" w:space="0" w:color="auto"/>
      </w:divBdr>
    </w:div>
    <w:div w:id="105318497">
      <w:bodyDiv w:val="1"/>
      <w:marLeft w:val="0"/>
      <w:marRight w:val="0"/>
      <w:marTop w:val="0"/>
      <w:marBottom w:val="0"/>
      <w:divBdr>
        <w:top w:val="none" w:sz="0" w:space="0" w:color="auto"/>
        <w:left w:val="none" w:sz="0" w:space="0" w:color="auto"/>
        <w:bottom w:val="none" w:sz="0" w:space="0" w:color="auto"/>
        <w:right w:val="none" w:sz="0" w:space="0" w:color="auto"/>
      </w:divBdr>
    </w:div>
    <w:div w:id="314070072">
      <w:bodyDiv w:val="1"/>
      <w:marLeft w:val="0"/>
      <w:marRight w:val="0"/>
      <w:marTop w:val="0"/>
      <w:marBottom w:val="0"/>
      <w:divBdr>
        <w:top w:val="none" w:sz="0" w:space="0" w:color="auto"/>
        <w:left w:val="none" w:sz="0" w:space="0" w:color="auto"/>
        <w:bottom w:val="none" w:sz="0" w:space="0" w:color="auto"/>
        <w:right w:val="none" w:sz="0" w:space="0" w:color="auto"/>
      </w:divBdr>
    </w:div>
    <w:div w:id="374812432">
      <w:bodyDiv w:val="1"/>
      <w:marLeft w:val="0"/>
      <w:marRight w:val="0"/>
      <w:marTop w:val="0"/>
      <w:marBottom w:val="0"/>
      <w:divBdr>
        <w:top w:val="none" w:sz="0" w:space="0" w:color="auto"/>
        <w:left w:val="none" w:sz="0" w:space="0" w:color="auto"/>
        <w:bottom w:val="none" w:sz="0" w:space="0" w:color="auto"/>
        <w:right w:val="none" w:sz="0" w:space="0" w:color="auto"/>
      </w:divBdr>
    </w:div>
    <w:div w:id="659891560">
      <w:bodyDiv w:val="1"/>
      <w:marLeft w:val="0"/>
      <w:marRight w:val="0"/>
      <w:marTop w:val="0"/>
      <w:marBottom w:val="0"/>
      <w:divBdr>
        <w:top w:val="none" w:sz="0" w:space="0" w:color="auto"/>
        <w:left w:val="none" w:sz="0" w:space="0" w:color="auto"/>
        <w:bottom w:val="none" w:sz="0" w:space="0" w:color="auto"/>
        <w:right w:val="none" w:sz="0" w:space="0" w:color="auto"/>
      </w:divBdr>
    </w:div>
    <w:div w:id="725639589">
      <w:bodyDiv w:val="1"/>
      <w:marLeft w:val="0"/>
      <w:marRight w:val="0"/>
      <w:marTop w:val="0"/>
      <w:marBottom w:val="0"/>
      <w:divBdr>
        <w:top w:val="none" w:sz="0" w:space="0" w:color="auto"/>
        <w:left w:val="none" w:sz="0" w:space="0" w:color="auto"/>
        <w:bottom w:val="none" w:sz="0" w:space="0" w:color="auto"/>
        <w:right w:val="none" w:sz="0" w:space="0" w:color="auto"/>
      </w:divBdr>
    </w:div>
    <w:div w:id="872768043">
      <w:bodyDiv w:val="1"/>
      <w:marLeft w:val="0"/>
      <w:marRight w:val="0"/>
      <w:marTop w:val="0"/>
      <w:marBottom w:val="0"/>
      <w:divBdr>
        <w:top w:val="none" w:sz="0" w:space="0" w:color="auto"/>
        <w:left w:val="none" w:sz="0" w:space="0" w:color="auto"/>
        <w:bottom w:val="none" w:sz="0" w:space="0" w:color="auto"/>
        <w:right w:val="none" w:sz="0" w:space="0" w:color="auto"/>
      </w:divBdr>
    </w:div>
    <w:div w:id="899052856">
      <w:bodyDiv w:val="1"/>
      <w:marLeft w:val="0"/>
      <w:marRight w:val="0"/>
      <w:marTop w:val="0"/>
      <w:marBottom w:val="0"/>
      <w:divBdr>
        <w:top w:val="none" w:sz="0" w:space="0" w:color="auto"/>
        <w:left w:val="none" w:sz="0" w:space="0" w:color="auto"/>
        <w:bottom w:val="none" w:sz="0" w:space="0" w:color="auto"/>
        <w:right w:val="none" w:sz="0" w:space="0" w:color="auto"/>
      </w:divBdr>
    </w:div>
    <w:div w:id="1037001294">
      <w:bodyDiv w:val="1"/>
      <w:marLeft w:val="0"/>
      <w:marRight w:val="0"/>
      <w:marTop w:val="0"/>
      <w:marBottom w:val="0"/>
      <w:divBdr>
        <w:top w:val="none" w:sz="0" w:space="0" w:color="auto"/>
        <w:left w:val="none" w:sz="0" w:space="0" w:color="auto"/>
        <w:bottom w:val="none" w:sz="0" w:space="0" w:color="auto"/>
        <w:right w:val="none" w:sz="0" w:space="0" w:color="auto"/>
      </w:divBdr>
    </w:div>
    <w:div w:id="1219248969">
      <w:bodyDiv w:val="1"/>
      <w:marLeft w:val="0"/>
      <w:marRight w:val="0"/>
      <w:marTop w:val="0"/>
      <w:marBottom w:val="0"/>
      <w:divBdr>
        <w:top w:val="none" w:sz="0" w:space="0" w:color="auto"/>
        <w:left w:val="none" w:sz="0" w:space="0" w:color="auto"/>
        <w:bottom w:val="none" w:sz="0" w:space="0" w:color="auto"/>
        <w:right w:val="none" w:sz="0" w:space="0" w:color="auto"/>
      </w:divBdr>
    </w:div>
    <w:div w:id="1341732909">
      <w:bodyDiv w:val="1"/>
      <w:marLeft w:val="0"/>
      <w:marRight w:val="0"/>
      <w:marTop w:val="0"/>
      <w:marBottom w:val="0"/>
      <w:divBdr>
        <w:top w:val="none" w:sz="0" w:space="0" w:color="auto"/>
        <w:left w:val="none" w:sz="0" w:space="0" w:color="auto"/>
        <w:bottom w:val="none" w:sz="0" w:space="0" w:color="auto"/>
        <w:right w:val="none" w:sz="0" w:space="0" w:color="auto"/>
      </w:divBdr>
    </w:div>
    <w:div w:id="1342656733">
      <w:bodyDiv w:val="1"/>
      <w:marLeft w:val="0"/>
      <w:marRight w:val="0"/>
      <w:marTop w:val="0"/>
      <w:marBottom w:val="0"/>
      <w:divBdr>
        <w:top w:val="none" w:sz="0" w:space="0" w:color="auto"/>
        <w:left w:val="none" w:sz="0" w:space="0" w:color="auto"/>
        <w:bottom w:val="none" w:sz="0" w:space="0" w:color="auto"/>
        <w:right w:val="none" w:sz="0" w:space="0" w:color="auto"/>
      </w:divBdr>
    </w:div>
    <w:div w:id="1346400643">
      <w:bodyDiv w:val="1"/>
      <w:marLeft w:val="0"/>
      <w:marRight w:val="0"/>
      <w:marTop w:val="0"/>
      <w:marBottom w:val="0"/>
      <w:divBdr>
        <w:top w:val="none" w:sz="0" w:space="0" w:color="auto"/>
        <w:left w:val="none" w:sz="0" w:space="0" w:color="auto"/>
        <w:bottom w:val="none" w:sz="0" w:space="0" w:color="auto"/>
        <w:right w:val="none" w:sz="0" w:space="0" w:color="auto"/>
      </w:divBdr>
    </w:div>
    <w:div w:id="1564754558">
      <w:bodyDiv w:val="1"/>
      <w:marLeft w:val="0"/>
      <w:marRight w:val="0"/>
      <w:marTop w:val="0"/>
      <w:marBottom w:val="0"/>
      <w:divBdr>
        <w:top w:val="none" w:sz="0" w:space="0" w:color="auto"/>
        <w:left w:val="none" w:sz="0" w:space="0" w:color="auto"/>
        <w:bottom w:val="none" w:sz="0" w:space="0" w:color="auto"/>
        <w:right w:val="none" w:sz="0" w:space="0" w:color="auto"/>
      </w:divBdr>
    </w:div>
    <w:div w:id="1568342224">
      <w:bodyDiv w:val="1"/>
      <w:marLeft w:val="0"/>
      <w:marRight w:val="0"/>
      <w:marTop w:val="0"/>
      <w:marBottom w:val="0"/>
      <w:divBdr>
        <w:top w:val="none" w:sz="0" w:space="0" w:color="auto"/>
        <w:left w:val="none" w:sz="0" w:space="0" w:color="auto"/>
        <w:bottom w:val="none" w:sz="0" w:space="0" w:color="auto"/>
        <w:right w:val="none" w:sz="0" w:space="0" w:color="auto"/>
      </w:divBdr>
    </w:div>
    <w:div w:id="1569655329">
      <w:bodyDiv w:val="1"/>
      <w:marLeft w:val="0"/>
      <w:marRight w:val="0"/>
      <w:marTop w:val="0"/>
      <w:marBottom w:val="0"/>
      <w:divBdr>
        <w:top w:val="none" w:sz="0" w:space="0" w:color="auto"/>
        <w:left w:val="none" w:sz="0" w:space="0" w:color="auto"/>
        <w:bottom w:val="none" w:sz="0" w:space="0" w:color="auto"/>
        <w:right w:val="none" w:sz="0" w:space="0" w:color="auto"/>
      </w:divBdr>
    </w:div>
    <w:div w:id="1595015576">
      <w:bodyDiv w:val="1"/>
      <w:marLeft w:val="0"/>
      <w:marRight w:val="0"/>
      <w:marTop w:val="0"/>
      <w:marBottom w:val="0"/>
      <w:divBdr>
        <w:top w:val="none" w:sz="0" w:space="0" w:color="auto"/>
        <w:left w:val="none" w:sz="0" w:space="0" w:color="auto"/>
        <w:bottom w:val="none" w:sz="0" w:space="0" w:color="auto"/>
        <w:right w:val="none" w:sz="0" w:space="0" w:color="auto"/>
      </w:divBdr>
      <w:divsChild>
        <w:div w:id="2015188302">
          <w:marLeft w:val="547"/>
          <w:marRight w:val="0"/>
          <w:marTop w:val="106"/>
          <w:marBottom w:val="0"/>
          <w:divBdr>
            <w:top w:val="none" w:sz="0" w:space="0" w:color="auto"/>
            <w:left w:val="none" w:sz="0" w:space="0" w:color="auto"/>
            <w:bottom w:val="none" w:sz="0" w:space="0" w:color="auto"/>
            <w:right w:val="none" w:sz="0" w:space="0" w:color="auto"/>
          </w:divBdr>
        </w:div>
        <w:div w:id="1017586309">
          <w:marLeft w:val="547"/>
          <w:marRight w:val="0"/>
          <w:marTop w:val="106"/>
          <w:marBottom w:val="0"/>
          <w:divBdr>
            <w:top w:val="none" w:sz="0" w:space="0" w:color="auto"/>
            <w:left w:val="none" w:sz="0" w:space="0" w:color="auto"/>
            <w:bottom w:val="none" w:sz="0" w:space="0" w:color="auto"/>
            <w:right w:val="none" w:sz="0" w:space="0" w:color="auto"/>
          </w:divBdr>
        </w:div>
      </w:divsChild>
    </w:div>
    <w:div w:id="1602296517">
      <w:bodyDiv w:val="1"/>
      <w:marLeft w:val="0"/>
      <w:marRight w:val="0"/>
      <w:marTop w:val="0"/>
      <w:marBottom w:val="0"/>
      <w:divBdr>
        <w:top w:val="none" w:sz="0" w:space="0" w:color="auto"/>
        <w:left w:val="none" w:sz="0" w:space="0" w:color="auto"/>
        <w:bottom w:val="none" w:sz="0" w:space="0" w:color="auto"/>
        <w:right w:val="none" w:sz="0" w:space="0" w:color="auto"/>
      </w:divBdr>
    </w:div>
    <w:div w:id="1648438784">
      <w:bodyDiv w:val="1"/>
      <w:marLeft w:val="0"/>
      <w:marRight w:val="0"/>
      <w:marTop w:val="0"/>
      <w:marBottom w:val="0"/>
      <w:divBdr>
        <w:top w:val="none" w:sz="0" w:space="0" w:color="auto"/>
        <w:left w:val="none" w:sz="0" w:space="0" w:color="auto"/>
        <w:bottom w:val="none" w:sz="0" w:space="0" w:color="auto"/>
        <w:right w:val="none" w:sz="0" w:space="0" w:color="auto"/>
      </w:divBdr>
    </w:div>
    <w:div w:id="1655983973">
      <w:bodyDiv w:val="1"/>
      <w:marLeft w:val="0"/>
      <w:marRight w:val="0"/>
      <w:marTop w:val="0"/>
      <w:marBottom w:val="0"/>
      <w:divBdr>
        <w:top w:val="none" w:sz="0" w:space="0" w:color="auto"/>
        <w:left w:val="none" w:sz="0" w:space="0" w:color="auto"/>
        <w:bottom w:val="none" w:sz="0" w:space="0" w:color="auto"/>
        <w:right w:val="none" w:sz="0" w:space="0" w:color="auto"/>
      </w:divBdr>
    </w:div>
    <w:div w:id="1658652964">
      <w:bodyDiv w:val="1"/>
      <w:marLeft w:val="0"/>
      <w:marRight w:val="0"/>
      <w:marTop w:val="0"/>
      <w:marBottom w:val="0"/>
      <w:divBdr>
        <w:top w:val="none" w:sz="0" w:space="0" w:color="auto"/>
        <w:left w:val="none" w:sz="0" w:space="0" w:color="auto"/>
        <w:bottom w:val="none" w:sz="0" w:space="0" w:color="auto"/>
        <w:right w:val="none" w:sz="0" w:space="0" w:color="auto"/>
      </w:divBdr>
    </w:div>
    <w:div w:id="1749767564">
      <w:bodyDiv w:val="1"/>
      <w:marLeft w:val="0"/>
      <w:marRight w:val="0"/>
      <w:marTop w:val="0"/>
      <w:marBottom w:val="0"/>
      <w:divBdr>
        <w:top w:val="none" w:sz="0" w:space="0" w:color="auto"/>
        <w:left w:val="none" w:sz="0" w:space="0" w:color="auto"/>
        <w:bottom w:val="none" w:sz="0" w:space="0" w:color="auto"/>
        <w:right w:val="none" w:sz="0" w:space="0" w:color="auto"/>
      </w:divBdr>
    </w:div>
    <w:div w:id="1788617383">
      <w:bodyDiv w:val="1"/>
      <w:marLeft w:val="0"/>
      <w:marRight w:val="0"/>
      <w:marTop w:val="0"/>
      <w:marBottom w:val="0"/>
      <w:divBdr>
        <w:top w:val="none" w:sz="0" w:space="0" w:color="auto"/>
        <w:left w:val="none" w:sz="0" w:space="0" w:color="auto"/>
        <w:bottom w:val="none" w:sz="0" w:space="0" w:color="auto"/>
        <w:right w:val="none" w:sz="0" w:space="0" w:color="auto"/>
      </w:divBdr>
    </w:div>
    <w:div w:id="1822841936">
      <w:bodyDiv w:val="1"/>
      <w:marLeft w:val="0"/>
      <w:marRight w:val="0"/>
      <w:marTop w:val="0"/>
      <w:marBottom w:val="0"/>
      <w:divBdr>
        <w:top w:val="none" w:sz="0" w:space="0" w:color="auto"/>
        <w:left w:val="none" w:sz="0" w:space="0" w:color="auto"/>
        <w:bottom w:val="none" w:sz="0" w:space="0" w:color="auto"/>
        <w:right w:val="none" w:sz="0" w:space="0" w:color="auto"/>
      </w:divBdr>
    </w:div>
    <w:div w:id="1905799560">
      <w:bodyDiv w:val="1"/>
      <w:marLeft w:val="0"/>
      <w:marRight w:val="0"/>
      <w:marTop w:val="0"/>
      <w:marBottom w:val="0"/>
      <w:divBdr>
        <w:top w:val="none" w:sz="0" w:space="0" w:color="auto"/>
        <w:left w:val="none" w:sz="0" w:space="0" w:color="auto"/>
        <w:bottom w:val="none" w:sz="0" w:space="0" w:color="auto"/>
        <w:right w:val="none" w:sz="0" w:space="0" w:color="auto"/>
      </w:divBdr>
    </w:div>
    <w:div w:id="2098744669">
      <w:bodyDiv w:val="1"/>
      <w:marLeft w:val="0"/>
      <w:marRight w:val="0"/>
      <w:marTop w:val="0"/>
      <w:marBottom w:val="0"/>
      <w:divBdr>
        <w:top w:val="none" w:sz="0" w:space="0" w:color="auto"/>
        <w:left w:val="none" w:sz="0" w:space="0" w:color="auto"/>
        <w:bottom w:val="none" w:sz="0" w:space="0" w:color="auto"/>
        <w:right w:val="none" w:sz="0" w:space="0" w:color="auto"/>
      </w:divBdr>
    </w:div>
    <w:div w:id="210476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fontTable" Target="fontTable.xm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eb.dos.gov.jo"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hyperlink" Target="http://download.geofabrik.de/asia/jordan.html" TargetMode="External"/><Relationship Id="rId2" Type="http://schemas.openxmlformats.org/officeDocument/2006/relationships/numbering" Target="numbering.xml"/><Relationship Id="rId16" Type="http://schemas.openxmlformats.org/officeDocument/2006/relationships/hyperlink" Target="http://download.geofabrik.de/asia/jordan.html" TargetMode="External"/><Relationship Id="rId20" Type="http://schemas.openxmlformats.org/officeDocument/2006/relationships/hyperlink" Target="http://www.dos.gov.jo/dos_home_e/main/linked-html/ex_trad.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diva-gis.org/gdata" TargetMode="Externa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diva-gis.org/gdata" TargetMode="External"/><Relationship Id="rId23" Type="http://schemas.openxmlformats.org/officeDocument/2006/relationships/hyperlink" Target="http://www.tradingeconomics.com" TargetMode="External"/><Relationship Id="rId10" Type="http://schemas.openxmlformats.org/officeDocument/2006/relationships/hyperlink" Target="http://creativecommons.org/licenses/by-nc-sa/3.0/" TargetMode="External"/><Relationship Id="rId19" Type="http://schemas.openxmlformats.org/officeDocument/2006/relationships/hyperlink" Target="http://www.efls.ca/webresources/DFID_Sustainable_livelihoods_guidance_sheet.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hyperlink" Target="http://www.dos.gov.jo/owa-user/owa/FOCAL_AGR_anm.show_param?LANG=E&amp;dis=6"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2DF19-34D2-4248-9835-CDE516AE5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7166</Words>
  <Characters>40849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THIOMBIANO</dc:creator>
  <cp:lastModifiedBy>THIOMBIANO</cp:lastModifiedBy>
  <cp:revision>2</cp:revision>
  <cp:lastPrinted>2017-02-17T09:34:00Z</cp:lastPrinted>
  <dcterms:created xsi:type="dcterms:W3CDTF">2017-05-24T03:56:00Z</dcterms:created>
  <dcterms:modified xsi:type="dcterms:W3CDTF">2017-05-24T03:56:00Z</dcterms:modified>
</cp:coreProperties>
</file>