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044C" w:rsidRPr="00172560" w:rsidRDefault="00ED044C" w:rsidP="00ED044C">
      <w:pPr>
        <w:spacing w:before="100" w:beforeAutospacing="1"/>
        <w:rPr>
          <w:rStyle w:val="size"/>
          <w:b/>
          <w:color w:val="000000"/>
          <w:shd w:val="clear" w:color="auto" w:fill="FFFFFF"/>
        </w:rPr>
      </w:pPr>
      <w:r w:rsidRPr="00172560">
        <w:rPr>
          <w:rStyle w:val="size"/>
          <w:b/>
          <w:color w:val="000000"/>
          <w:shd w:val="clear" w:color="auto" w:fill="FFFFFF"/>
        </w:rPr>
        <w:t>Activity: Monitor virulence spectrum of pearl millet downy mildew (DM) and blast pathogen populations through on-farm surveys and disease nurseries</w:t>
      </w:r>
    </w:p>
    <w:p w:rsidR="00ED044C" w:rsidRPr="00172560" w:rsidRDefault="00ED044C" w:rsidP="00ED044C">
      <w:pPr>
        <w:spacing w:before="120"/>
        <w:rPr>
          <w:rStyle w:val="size"/>
          <w:b/>
          <w:color w:val="000000"/>
          <w:shd w:val="clear" w:color="auto" w:fill="FFFFFF"/>
        </w:rPr>
      </w:pPr>
      <w:r w:rsidRPr="00172560">
        <w:rPr>
          <w:rStyle w:val="size"/>
          <w:b/>
          <w:color w:val="000000"/>
          <w:shd w:val="clear" w:color="auto" w:fill="FFFFFF"/>
        </w:rPr>
        <w:t>Objective</w:t>
      </w:r>
    </w:p>
    <w:p w:rsidR="00ED044C" w:rsidRPr="00172560" w:rsidRDefault="00ED044C" w:rsidP="00ED044C">
      <w:pPr>
        <w:rPr>
          <w:rStyle w:val="size"/>
          <w:color w:val="000000"/>
          <w:shd w:val="clear" w:color="auto" w:fill="FFFFFF"/>
        </w:rPr>
      </w:pPr>
      <w:r w:rsidRPr="00172560">
        <w:rPr>
          <w:rStyle w:val="size"/>
          <w:color w:val="000000"/>
          <w:shd w:val="clear" w:color="auto" w:fill="FFFFFF"/>
        </w:rPr>
        <w:t xml:space="preserve">The objective of this study was to assess virulence change in the populations of DM and blast causing pathogens of pearl millet so as to identify resistance sources and use them in the development of hybrids resistant to new/changed </w:t>
      </w:r>
      <w:proofErr w:type="spellStart"/>
      <w:r w:rsidRPr="00172560">
        <w:rPr>
          <w:rStyle w:val="size"/>
          <w:color w:val="000000"/>
          <w:shd w:val="clear" w:color="auto" w:fill="FFFFFF"/>
        </w:rPr>
        <w:t>virulences</w:t>
      </w:r>
      <w:proofErr w:type="spellEnd"/>
      <w:r w:rsidRPr="00172560">
        <w:rPr>
          <w:rStyle w:val="size"/>
          <w:color w:val="000000"/>
          <w:shd w:val="clear" w:color="auto" w:fill="FFFFFF"/>
        </w:rPr>
        <w:t>.</w:t>
      </w:r>
    </w:p>
    <w:p w:rsidR="00ED044C" w:rsidRPr="00172560" w:rsidRDefault="00ED044C" w:rsidP="00ED044C">
      <w:pPr>
        <w:spacing w:before="120"/>
        <w:jc w:val="both"/>
        <w:rPr>
          <w:rStyle w:val="size"/>
          <w:b/>
          <w:color w:val="000000"/>
          <w:shd w:val="clear" w:color="auto" w:fill="FFFFFF"/>
        </w:rPr>
      </w:pPr>
      <w:r w:rsidRPr="00172560">
        <w:rPr>
          <w:rStyle w:val="size"/>
          <w:b/>
          <w:color w:val="000000"/>
          <w:shd w:val="clear" w:color="auto" w:fill="FFFFFF"/>
        </w:rPr>
        <w:t>Materials and methods</w:t>
      </w:r>
    </w:p>
    <w:p w:rsidR="00ED044C" w:rsidRPr="00172560" w:rsidRDefault="00ED044C" w:rsidP="00ED044C">
      <w:pPr>
        <w:jc w:val="both"/>
        <w:rPr>
          <w:iCs/>
        </w:rPr>
      </w:pPr>
      <w:r w:rsidRPr="00172560">
        <w:rPr>
          <w:rStyle w:val="size"/>
          <w:color w:val="000000"/>
          <w:shd w:val="clear" w:color="auto" w:fill="FFFFFF"/>
        </w:rPr>
        <w:t xml:space="preserve"> DM and blast severity was assessed in the farmers’ fields in Maharashtra, India to monitor the performance of different hybrids. </w:t>
      </w:r>
      <w:r w:rsidRPr="00172560">
        <w:rPr>
          <w:iCs/>
          <w:lang w:bidi="mr-IN"/>
        </w:rPr>
        <w:t>Pearl millet downy mildew virulence nursery (PMDMVN) consisting of 70 test entries including susceptible check 7042S was evaluated at 11 locations and Pearl millet Blast variability nursery (PMBVN) comprising 65 advanced breeding and germplasm lines was conducted at 10 locations in India</w:t>
      </w:r>
      <w:r w:rsidRPr="00172560">
        <w:rPr>
          <w:iCs/>
        </w:rPr>
        <w:t xml:space="preserve">. </w:t>
      </w:r>
    </w:p>
    <w:p w:rsidR="00ED044C" w:rsidRPr="00172560" w:rsidRDefault="00ED044C" w:rsidP="00ED044C">
      <w:pPr>
        <w:spacing w:before="120"/>
        <w:jc w:val="both"/>
        <w:rPr>
          <w:b/>
          <w:iCs/>
        </w:rPr>
      </w:pPr>
      <w:r w:rsidRPr="00172560">
        <w:rPr>
          <w:b/>
          <w:iCs/>
        </w:rPr>
        <w:t>Results</w:t>
      </w:r>
    </w:p>
    <w:p w:rsidR="00ED044C" w:rsidRPr="00172560" w:rsidRDefault="00ED044C" w:rsidP="00ED044C">
      <w:pPr>
        <w:jc w:val="both"/>
      </w:pPr>
      <w:r w:rsidRPr="00172560">
        <w:rPr>
          <w:b/>
        </w:rPr>
        <w:t>On-farm survey.</w:t>
      </w:r>
      <w:r w:rsidRPr="00172560">
        <w:t xml:space="preserve"> A total of 14 fields in the four Tehsils of Aurangabad district in Maharashtra were surveyed in the rainy season</w:t>
      </w:r>
      <w:r>
        <w:t>, 2016</w:t>
      </w:r>
      <w:r w:rsidRPr="00172560">
        <w:t>. DM was observed only in seven fields; six fields had 1-2% DM, whereas up to 25% DM was observed in the disease nursery. Blast (20-60%) was observed in all the 14 fields. Seven DM and 14 blast isolates were collected to study virulence diversity in the populations of the pathogens.</w:t>
      </w:r>
    </w:p>
    <w:p w:rsidR="00ED044C" w:rsidRPr="00172560" w:rsidRDefault="00ED044C" w:rsidP="00ED044C">
      <w:pPr>
        <w:jc w:val="both"/>
      </w:pPr>
      <w:r w:rsidRPr="00172560">
        <w:rPr>
          <w:b/>
        </w:rPr>
        <w:t>PMDMVN.</w:t>
      </w:r>
      <w:r w:rsidRPr="00172560">
        <w:t xml:space="preserve"> DM incidence at all the test locations was very high (&gt;85%) in the susceptible check 7042S except </w:t>
      </w:r>
      <w:r>
        <w:t xml:space="preserve">at </w:t>
      </w:r>
      <w:proofErr w:type="spellStart"/>
      <w:r w:rsidRPr="00172560">
        <w:t>Anand</w:t>
      </w:r>
      <w:proofErr w:type="spellEnd"/>
      <w:r w:rsidRPr="00172560">
        <w:t xml:space="preserve"> (48%) indicating </w:t>
      </w:r>
      <w:r>
        <w:t xml:space="preserve">a </w:t>
      </w:r>
      <w:r w:rsidRPr="00172560">
        <w:t>reliable disease screen. Significant differences were observed among genotype, locations and their interaction for DM incidence (</w:t>
      </w:r>
      <w:r w:rsidRPr="00172560">
        <w:rPr>
          <w:b/>
        </w:rPr>
        <w:t>Table 1</w:t>
      </w:r>
      <w:r w:rsidRPr="00172560">
        <w:t xml:space="preserve">). This clearly indicated differences in virulence of the pathogen populations at different locations and resistance in the host genotypes to the pathogen. Virulence level of pathogen population </w:t>
      </w:r>
      <w:r>
        <w:t xml:space="preserve">at Mysore </w:t>
      </w:r>
      <w:r w:rsidRPr="00172560">
        <w:t xml:space="preserve">was highest among test locations with 16.6% </w:t>
      </w:r>
      <w:r>
        <w:t xml:space="preserve">mean </w:t>
      </w:r>
      <w:r w:rsidRPr="00172560">
        <w:t xml:space="preserve">DM across 70 test lines followed by 15.6% mean DM across entries at </w:t>
      </w:r>
      <w:proofErr w:type="spellStart"/>
      <w:r w:rsidRPr="00172560">
        <w:t>Patancheru</w:t>
      </w:r>
      <w:proofErr w:type="spellEnd"/>
      <w:r w:rsidRPr="00172560">
        <w:t>. Eleven lines exhibited high level of DM resistance at all the test locations, whereas 24 lines were resistant at any 10 test locations.</w:t>
      </w:r>
    </w:p>
    <w:p w:rsidR="00ED044C" w:rsidRPr="00172560" w:rsidRDefault="00ED044C" w:rsidP="00ED044C">
      <w:pPr>
        <w:jc w:val="both"/>
      </w:pPr>
      <w:r w:rsidRPr="00172560">
        <w:rPr>
          <w:b/>
        </w:rPr>
        <w:t>PMBVN.</w:t>
      </w:r>
      <w:r w:rsidRPr="00172560">
        <w:t xml:space="preserve"> Susceptible check ICMB 95444 included in the nursery exhibited susceptible reaction at all the 10 test locations indicating a reliable disease screen. Significant differences were observed among genotype, locations and their interaction for blast severity recorded on 0-9 scale (</w:t>
      </w:r>
      <w:r w:rsidRPr="00172560">
        <w:rPr>
          <w:b/>
        </w:rPr>
        <w:t>Table 1</w:t>
      </w:r>
      <w:r w:rsidRPr="00172560">
        <w:t xml:space="preserve">). This indicated differences in virulence of the pathogen populations at different locations and resistance in the host genotypes to the pathogen. Pathogen population at </w:t>
      </w:r>
      <w:proofErr w:type="spellStart"/>
      <w:r w:rsidRPr="00172560">
        <w:t>Dhule</w:t>
      </w:r>
      <w:proofErr w:type="spellEnd"/>
      <w:r w:rsidRPr="00172560">
        <w:t xml:space="preserve"> appeared most virulent with 6.4 score across 65 lines followed by population at New Delhi with 4.8 mean blast score. In terms of resistance of pearl millet lines to different populations, IP 21187 was found resistant (≤3.0 score) at all locations except </w:t>
      </w:r>
      <w:proofErr w:type="spellStart"/>
      <w:r w:rsidRPr="00172560">
        <w:t>Dhule</w:t>
      </w:r>
      <w:proofErr w:type="spellEnd"/>
      <w:r w:rsidRPr="00172560">
        <w:t>. ICMR 06444, IP 7846 and R 2-25005 were resistant at any eight locations.</w:t>
      </w:r>
    </w:p>
    <w:p w:rsidR="00ED044C" w:rsidRPr="00172560" w:rsidRDefault="00ED044C" w:rsidP="00ED044C">
      <w:pPr>
        <w:jc w:val="both"/>
        <w:rPr>
          <w:b/>
        </w:rPr>
      </w:pPr>
      <w:r w:rsidRPr="00172560">
        <w:rPr>
          <w:b/>
        </w:rPr>
        <w:t>Next steps</w:t>
      </w:r>
    </w:p>
    <w:p w:rsidR="00ED044C" w:rsidRPr="00172560" w:rsidRDefault="00ED044C" w:rsidP="00ED044C">
      <w:pPr>
        <w:jc w:val="both"/>
        <w:rPr>
          <w:iCs/>
        </w:rPr>
      </w:pPr>
      <w:r w:rsidRPr="00172560">
        <w:t xml:space="preserve">Continuous monitoring of virulence spectrum of DM and blast pathogen populations is essential for the management of </w:t>
      </w:r>
      <w:r>
        <w:t>these</w:t>
      </w:r>
      <w:r w:rsidRPr="00172560">
        <w:t xml:space="preserve"> disease</w:t>
      </w:r>
      <w:r>
        <w:t>s</w:t>
      </w:r>
      <w:r w:rsidRPr="00172560">
        <w:t xml:space="preserve"> through host plant resistance. Conducting on-farm surveys and disease nurseries will be helpful in the identification and utilization of stable resistance to these most important diseases of pearl millet. Pearl millet lines showing blast and DM resistance across locations can be used in breeding programs to develop disease resistant hybrids.</w:t>
      </w:r>
    </w:p>
    <w:p w:rsidR="00ED044C" w:rsidRPr="00172560" w:rsidRDefault="00ED044C" w:rsidP="00ED044C">
      <w:pPr>
        <w:spacing w:before="100" w:beforeAutospacing="1"/>
        <w:rPr>
          <w:rStyle w:val="size"/>
          <w:b/>
          <w:color w:val="000000"/>
          <w:shd w:val="clear" w:color="auto" w:fill="FFFFFF"/>
        </w:rPr>
      </w:pPr>
      <w:r w:rsidRPr="00172560">
        <w:rPr>
          <w:rStyle w:val="size"/>
          <w:b/>
          <w:color w:val="000000"/>
          <w:shd w:val="clear" w:color="auto" w:fill="FFFFFF"/>
        </w:rPr>
        <w:t xml:space="preserve">Table 1. </w:t>
      </w:r>
      <w:r w:rsidRPr="0039366A">
        <w:rPr>
          <w:rStyle w:val="size"/>
          <w:color w:val="000000"/>
          <w:shd w:val="clear" w:color="auto" w:fill="FFFFFF"/>
        </w:rPr>
        <w:t>ANNOVA for disease reaction in PMDMVN and PMBVN</w:t>
      </w:r>
    </w:p>
    <w:tbl>
      <w:tblPr>
        <w:tblW w:w="7711" w:type="dxa"/>
        <w:tblLook w:val="04A0" w:firstRow="1" w:lastRow="0" w:firstColumn="1" w:lastColumn="0" w:noHBand="0" w:noVBand="1"/>
      </w:tblPr>
      <w:tblGrid>
        <w:gridCol w:w="1880"/>
        <w:gridCol w:w="960"/>
        <w:gridCol w:w="1476"/>
        <w:gridCol w:w="1167"/>
        <w:gridCol w:w="1356"/>
        <w:gridCol w:w="872"/>
      </w:tblGrid>
      <w:tr w:rsidR="00ED044C" w:rsidRPr="00172560" w:rsidTr="008638BE">
        <w:trPr>
          <w:gridAfter w:val="1"/>
          <w:wAfter w:w="872" w:type="dxa"/>
          <w:trHeight w:val="300"/>
        </w:trPr>
        <w:tc>
          <w:tcPr>
            <w:tcW w:w="1880" w:type="dxa"/>
            <w:vMerge w:val="restart"/>
            <w:tcBorders>
              <w:top w:val="single" w:sz="4" w:space="0" w:color="auto"/>
              <w:left w:val="single" w:sz="4" w:space="0" w:color="auto"/>
              <w:right w:val="single" w:sz="4" w:space="0" w:color="auto"/>
            </w:tcBorders>
            <w:shd w:val="clear" w:color="auto" w:fill="auto"/>
            <w:noWrap/>
            <w:vAlign w:val="bottom"/>
          </w:tcPr>
          <w:p w:rsidR="00ED044C" w:rsidRPr="00172560" w:rsidRDefault="00ED044C" w:rsidP="008638BE">
            <w:pPr>
              <w:rPr>
                <w:rFonts w:eastAsia="Times New Roman"/>
                <w:b/>
                <w:bCs/>
                <w:color w:val="000000"/>
              </w:rPr>
            </w:pPr>
            <w:r w:rsidRPr="00172560">
              <w:rPr>
                <w:rFonts w:eastAsia="Times New Roman"/>
                <w:b/>
                <w:bCs/>
                <w:color w:val="000000"/>
              </w:rPr>
              <w:t>Source of variation</w:t>
            </w:r>
          </w:p>
        </w:tc>
        <w:tc>
          <w:tcPr>
            <w:tcW w:w="2436" w:type="dxa"/>
            <w:gridSpan w:val="2"/>
            <w:tcBorders>
              <w:top w:val="single" w:sz="4" w:space="0" w:color="auto"/>
              <w:left w:val="nil"/>
              <w:bottom w:val="single" w:sz="4" w:space="0" w:color="auto"/>
              <w:right w:val="single" w:sz="4" w:space="0" w:color="auto"/>
            </w:tcBorders>
            <w:shd w:val="clear" w:color="auto" w:fill="auto"/>
            <w:noWrap/>
            <w:vAlign w:val="bottom"/>
          </w:tcPr>
          <w:p w:rsidR="00ED044C" w:rsidRPr="00172560" w:rsidRDefault="00ED044C" w:rsidP="008638BE">
            <w:pPr>
              <w:jc w:val="center"/>
              <w:rPr>
                <w:rFonts w:eastAsia="Times New Roman"/>
                <w:b/>
                <w:bCs/>
                <w:color w:val="000000"/>
              </w:rPr>
            </w:pPr>
            <w:r w:rsidRPr="00172560">
              <w:rPr>
                <w:rFonts w:eastAsia="Times New Roman"/>
                <w:b/>
                <w:bCs/>
                <w:color w:val="000000"/>
              </w:rPr>
              <w:t>PMDMVN</w:t>
            </w:r>
          </w:p>
        </w:tc>
        <w:tc>
          <w:tcPr>
            <w:tcW w:w="2523" w:type="dxa"/>
            <w:gridSpan w:val="2"/>
            <w:tcBorders>
              <w:top w:val="single" w:sz="4" w:space="0" w:color="auto"/>
              <w:left w:val="nil"/>
              <w:bottom w:val="single" w:sz="4" w:space="0" w:color="auto"/>
              <w:right w:val="single" w:sz="4" w:space="0" w:color="auto"/>
            </w:tcBorders>
          </w:tcPr>
          <w:p w:rsidR="00ED044C" w:rsidRPr="00172560" w:rsidRDefault="00ED044C" w:rsidP="008638BE">
            <w:pPr>
              <w:jc w:val="center"/>
              <w:rPr>
                <w:rFonts w:eastAsia="Times New Roman"/>
                <w:b/>
                <w:bCs/>
                <w:color w:val="000000"/>
              </w:rPr>
            </w:pPr>
            <w:r w:rsidRPr="00172560">
              <w:rPr>
                <w:rFonts w:eastAsia="Times New Roman"/>
                <w:b/>
                <w:bCs/>
                <w:color w:val="000000"/>
              </w:rPr>
              <w:t>PMBVN</w:t>
            </w:r>
          </w:p>
        </w:tc>
      </w:tr>
      <w:tr w:rsidR="00ED044C" w:rsidRPr="00172560" w:rsidTr="008638BE">
        <w:trPr>
          <w:gridAfter w:val="1"/>
          <w:wAfter w:w="872" w:type="dxa"/>
          <w:trHeight w:val="300"/>
        </w:trPr>
        <w:tc>
          <w:tcPr>
            <w:tcW w:w="1880" w:type="dxa"/>
            <w:vMerge/>
            <w:tcBorders>
              <w:left w:val="single" w:sz="4" w:space="0" w:color="auto"/>
              <w:bottom w:val="single" w:sz="4" w:space="0" w:color="auto"/>
              <w:right w:val="single" w:sz="4" w:space="0" w:color="auto"/>
            </w:tcBorders>
            <w:shd w:val="clear" w:color="auto" w:fill="auto"/>
            <w:noWrap/>
            <w:vAlign w:val="bottom"/>
            <w:hideMark/>
          </w:tcPr>
          <w:p w:rsidR="00ED044C" w:rsidRPr="00172560" w:rsidRDefault="00ED044C" w:rsidP="008638BE">
            <w:pPr>
              <w:rPr>
                <w:rFonts w:eastAsia="Times New Roman"/>
                <w:b/>
                <w:bCs/>
                <w:color w:val="00000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D044C" w:rsidRPr="00172560" w:rsidRDefault="00ED044C" w:rsidP="008638BE">
            <w:pPr>
              <w:jc w:val="center"/>
              <w:rPr>
                <w:rFonts w:eastAsia="Times New Roman"/>
                <w:b/>
                <w:bCs/>
                <w:color w:val="000000"/>
              </w:rPr>
            </w:pPr>
            <w:proofErr w:type="spellStart"/>
            <w:r w:rsidRPr="00172560">
              <w:rPr>
                <w:rFonts w:eastAsia="Times New Roman"/>
                <w:b/>
                <w:bCs/>
                <w:color w:val="000000"/>
              </w:rPr>
              <w:t>df</w:t>
            </w:r>
            <w:proofErr w:type="spellEnd"/>
          </w:p>
        </w:tc>
        <w:tc>
          <w:tcPr>
            <w:tcW w:w="1476" w:type="dxa"/>
            <w:tcBorders>
              <w:top w:val="single" w:sz="4" w:space="0" w:color="auto"/>
              <w:left w:val="nil"/>
              <w:bottom w:val="single" w:sz="4" w:space="0" w:color="auto"/>
              <w:right w:val="single" w:sz="4" w:space="0" w:color="auto"/>
            </w:tcBorders>
            <w:shd w:val="clear" w:color="auto" w:fill="auto"/>
            <w:noWrap/>
            <w:vAlign w:val="bottom"/>
          </w:tcPr>
          <w:p w:rsidR="00ED044C" w:rsidRPr="00172560" w:rsidRDefault="00ED044C" w:rsidP="008638BE">
            <w:pPr>
              <w:jc w:val="center"/>
              <w:rPr>
                <w:rFonts w:eastAsia="Times New Roman"/>
                <w:b/>
                <w:bCs/>
                <w:color w:val="000000"/>
              </w:rPr>
            </w:pPr>
            <w:r w:rsidRPr="00172560">
              <w:rPr>
                <w:rFonts w:eastAsia="Times New Roman"/>
                <w:b/>
                <w:bCs/>
                <w:color w:val="000000"/>
              </w:rPr>
              <w:t>MS</w:t>
            </w:r>
          </w:p>
        </w:tc>
        <w:tc>
          <w:tcPr>
            <w:tcW w:w="1167" w:type="dxa"/>
            <w:tcBorders>
              <w:top w:val="single" w:sz="4" w:space="0" w:color="auto"/>
              <w:left w:val="nil"/>
              <w:bottom w:val="single" w:sz="4" w:space="0" w:color="auto"/>
              <w:right w:val="single" w:sz="4" w:space="0" w:color="auto"/>
            </w:tcBorders>
            <w:vAlign w:val="bottom"/>
          </w:tcPr>
          <w:p w:rsidR="00ED044C" w:rsidRPr="00172560" w:rsidRDefault="00ED044C" w:rsidP="008638BE">
            <w:pPr>
              <w:jc w:val="center"/>
              <w:rPr>
                <w:rFonts w:eastAsia="Times New Roman"/>
                <w:b/>
                <w:bCs/>
                <w:color w:val="000000"/>
              </w:rPr>
            </w:pPr>
            <w:proofErr w:type="spellStart"/>
            <w:r w:rsidRPr="00172560">
              <w:rPr>
                <w:rFonts w:eastAsia="Times New Roman"/>
                <w:b/>
                <w:bCs/>
                <w:color w:val="000000"/>
              </w:rPr>
              <w:t>df</w:t>
            </w:r>
            <w:proofErr w:type="spellEnd"/>
          </w:p>
        </w:tc>
        <w:tc>
          <w:tcPr>
            <w:tcW w:w="1356" w:type="dxa"/>
            <w:tcBorders>
              <w:top w:val="single" w:sz="4" w:space="0" w:color="auto"/>
              <w:left w:val="nil"/>
              <w:bottom w:val="single" w:sz="4" w:space="0" w:color="auto"/>
              <w:right w:val="single" w:sz="4" w:space="0" w:color="auto"/>
            </w:tcBorders>
            <w:vAlign w:val="bottom"/>
          </w:tcPr>
          <w:p w:rsidR="00ED044C" w:rsidRPr="00172560" w:rsidRDefault="00ED044C" w:rsidP="008638BE">
            <w:pPr>
              <w:jc w:val="center"/>
              <w:rPr>
                <w:rFonts w:eastAsia="Times New Roman"/>
                <w:b/>
                <w:bCs/>
                <w:color w:val="000000"/>
              </w:rPr>
            </w:pPr>
            <w:r w:rsidRPr="00172560">
              <w:rPr>
                <w:rFonts w:eastAsia="Times New Roman"/>
                <w:b/>
                <w:bCs/>
                <w:color w:val="000000"/>
              </w:rPr>
              <w:t>MS</w:t>
            </w:r>
          </w:p>
        </w:tc>
      </w:tr>
      <w:tr w:rsidR="00ED044C" w:rsidRPr="00172560" w:rsidTr="008638BE">
        <w:trPr>
          <w:gridAfter w:val="1"/>
          <w:wAfter w:w="872" w:type="dxa"/>
          <w:trHeight w:val="300"/>
        </w:trPr>
        <w:tc>
          <w:tcPr>
            <w:tcW w:w="1880" w:type="dxa"/>
            <w:tcBorders>
              <w:top w:val="nil"/>
              <w:left w:val="single" w:sz="4" w:space="0" w:color="auto"/>
              <w:bottom w:val="single" w:sz="4" w:space="0" w:color="auto"/>
              <w:right w:val="single" w:sz="4" w:space="0" w:color="auto"/>
            </w:tcBorders>
            <w:shd w:val="clear" w:color="auto" w:fill="auto"/>
            <w:noWrap/>
            <w:vAlign w:val="bottom"/>
            <w:hideMark/>
          </w:tcPr>
          <w:p w:rsidR="00ED044C" w:rsidRPr="00172560" w:rsidRDefault="00ED044C" w:rsidP="008638BE">
            <w:pPr>
              <w:rPr>
                <w:rFonts w:eastAsia="Times New Roman"/>
                <w:color w:val="000000"/>
              </w:rPr>
            </w:pPr>
            <w:r w:rsidRPr="00172560">
              <w:rPr>
                <w:rFonts w:eastAsia="Times New Roman"/>
                <w:color w:val="000000"/>
              </w:rPr>
              <w:lastRenderedPageBreak/>
              <w:t>Replication</w:t>
            </w:r>
          </w:p>
        </w:tc>
        <w:tc>
          <w:tcPr>
            <w:tcW w:w="960" w:type="dxa"/>
            <w:tcBorders>
              <w:top w:val="nil"/>
              <w:left w:val="nil"/>
              <w:bottom w:val="single" w:sz="4" w:space="0" w:color="auto"/>
              <w:right w:val="single" w:sz="4" w:space="0" w:color="auto"/>
            </w:tcBorders>
            <w:shd w:val="clear" w:color="auto" w:fill="auto"/>
            <w:noWrap/>
            <w:vAlign w:val="bottom"/>
            <w:hideMark/>
          </w:tcPr>
          <w:p w:rsidR="00ED044C" w:rsidRPr="00172560" w:rsidRDefault="00ED044C" w:rsidP="008638BE">
            <w:pPr>
              <w:jc w:val="center"/>
              <w:rPr>
                <w:rFonts w:eastAsia="Times New Roman"/>
                <w:color w:val="000000"/>
              </w:rPr>
            </w:pPr>
            <w:r w:rsidRPr="00172560">
              <w:rPr>
                <w:rFonts w:eastAsia="Times New Roman"/>
                <w:color w:val="000000"/>
              </w:rPr>
              <w:t>1</w:t>
            </w:r>
          </w:p>
        </w:tc>
        <w:tc>
          <w:tcPr>
            <w:tcW w:w="1476" w:type="dxa"/>
            <w:tcBorders>
              <w:top w:val="nil"/>
              <w:left w:val="nil"/>
              <w:bottom w:val="single" w:sz="4" w:space="0" w:color="auto"/>
              <w:right w:val="single" w:sz="4" w:space="0" w:color="auto"/>
            </w:tcBorders>
            <w:shd w:val="clear" w:color="auto" w:fill="auto"/>
            <w:noWrap/>
            <w:vAlign w:val="bottom"/>
          </w:tcPr>
          <w:p w:rsidR="00ED044C" w:rsidRPr="00172560" w:rsidRDefault="00ED044C" w:rsidP="008638BE">
            <w:pPr>
              <w:jc w:val="center"/>
              <w:rPr>
                <w:rFonts w:eastAsia="Times New Roman"/>
                <w:color w:val="000000"/>
              </w:rPr>
            </w:pPr>
            <w:r w:rsidRPr="00172560">
              <w:rPr>
                <w:rFonts w:eastAsia="Times New Roman"/>
                <w:color w:val="000000"/>
              </w:rPr>
              <w:t>14.82</w:t>
            </w:r>
          </w:p>
        </w:tc>
        <w:tc>
          <w:tcPr>
            <w:tcW w:w="1167" w:type="dxa"/>
            <w:tcBorders>
              <w:top w:val="nil"/>
              <w:left w:val="nil"/>
              <w:bottom w:val="single" w:sz="4" w:space="0" w:color="auto"/>
              <w:right w:val="single" w:sz="4" w:space="0" w:color="auto"/>
            </w:tcBorders>
            <w:vAlign w:val="bottom"/>
          </w:tcPr>
          <w:p w:rsidR="00ED044C" w:rsidRPr="00172560" w:rsidRDefault="00ED044C" w:rsidP="008638BE">
            <w:pPr>
              <w:jc w:val="center"/>
              <w:rPr>
                <w:rFonts w:eastAsia="Times New Roman"/>
                <w:color w:val="000000"/>
              </w:rPr>
            </w:pPr>
            <w:r w:rsidRPr="00172560">
              <w:rPr>
                <w:rFonts w:eastAsia="Times New Roman"/>
                <w:color w:val="000000"/>
              </w:rPr>
              <w:t>1</w:t>
            </w:r>
          </w:p>
        </w:tc>
        <w:tc>
          <w:tcPr>
            <w:tcW w:w="1356" w:type="dxa"/>
            <w:tcBorders>
              <w:top w:val="nil"/>
              <w:left w:val="nil"/>
              <w:bottom w:val="single" w:sz="4" w:space="0" w:color="auto"/>
              <w:right w:val="single" w:sz="4" w:space="0" w:color="auto"/>
            </w:tcBorders>
            <w:vAlign w:val="bottom"/>
          </w:tcPr>
          <w:p w:rsidR="00ED044C" w:rsidRPr="00172560" w:rsidRDefault="00ED044C" w:rsidP="008638BE">
            <w:pPr>
              <w:rPr>
                <w:rFonts w:eastAsia="Times New Roman"/>
                <w:color w:val="000000"/>
              </w:rPr>
            </w:pPr>
            <w:r w:rsidRPr="00172560">
              <w:rPr>
                <w:rFonts w:eastAsia="Times New Roman"/>
                <w:color w:val="000000"/>
              </w:rPr>
              <w:t>11.4</w:t>
            </w:r>
            <w:r>
              <w:rPr>
                <w:rFonts w:eastAsia="Times New Roman"/>
                <w:color w:val="000000"/>
              </w:rPr>
              <w:t>2</w:t>
            </w:r>
          </w:p>
        </w:tc>
      </w:tr>
      <w:tr w:rsidR="00ED044C" w:rsidRPr="00172560" w:rsidTr="008638BE">
        <w:trPr>
          <w:gridAfter w:val="1"/>
          <w:wAfter w:w="872" w:type="dxa"/>
          <w:trHeight w:val="300"/>
        </w:trPr>
        <w:tc>
          <w:tcPr>
            <w:tcW w:w="1880" w:type="dxa"/>
            <w:tcBorders>
              <w:top w:val="nil"/>
              <w:left w:val="single" w:sz="4" w:space="0" w:color="auto"/>
              <w:bottom w:val="single" w:sz="4" w:space="0" w:color="auto"/>
              <w:right w:val="single" w:sz="4" w:space="0" w:color="auto"/>
            </w:tcBorders>
            <w:shd w:val="clear" w:color="auto" w:fill="auto"/>
            <w:noWrap/>
            <w:vAlign w:val="bottom"/>
            <w:hideMark/>
          </w:tcPr>
          <w:p w:rsidR="00ED044C" w:rsidRPr="00172560" w:rsidRDefault="00ED044C" w:rsidP="008638BE">
            <w:pPr>
              <w:rPr>
                <w:rFonts w:eastAsia="Times New Roman"/>
                <w:color w:val="000000"/>
              </w:rPr>
            </w:pPr>
            <w:r w:rsidRPr="00172560">
              <w:rPr>
                <w:rFonts w:eastAsia="Times New Roman"/>
                <w:color w:val="000000"/>
              </w:rPr>
              <w:t>Genotype (G)</w:t>
            </w:r>
          </w:p>
        </w:tc>
        <w:tc>
          <w:tcPr>
            <w:tcW w:w="960" w:type="dxa"/>
            <w:tcBorders>
              <w:top w:val="nil"/>
              <w:left w:val="nil"/>
              <w:bottom w:val="single" w:sz="4" w:space="0" w:color="auto"/>
              <w:right w:val="single" w:sz="4" w:space="0" w:color="auto"/>
            </w:tcBorders>
            <w:shd w:val="clear" w:color="auto" w:fill="auto"/>
            <w:noWrap/>
            <w:vAlign w:val="bottom"/>
            <w:hideMark/>
          </w:tcPr>
          <w:p w:rsidR="00ED044C" w:rsidRPr="00172560" w:rsidRDefault="00ED044C" w:rsidP="008638BE">
            <w:pPr>
              <w:jc w:val="center"/>
              <w:rPr>
                <w:rFonts w:eastAsia="Times New Roman"/>
                <w:color w:val="000000"/>
              </w:rPr>
            </w:pPr>
            <w:r w:rsidRPr="00172560">
              <w:rPr>
                <w:rFonts w:eastAsia="Times New Roman"/>
                <w:color w:val="000000"/>
              </w:rPr>
              <w:t>69</w:t>
            </w:r>
          </w:p>
        </w:tc>
        <w:tc>
          <w:tcPr>
            <w:tcW w:w="1476" w:type="dxa"/>
            <w:tcBorders>
              <w:top w:val="nil"/>
              <w:left w:val="nil"/>
              <w:bottom w:val="single" w:sz="4" w:space="0" w:color="auto"/>
              <w:right w:val="single" w:sz="4" w:space="0" w:color="auto"/>
            </w:tcBorders>
            <w:shd w:val="clear" w:color="auto" w:fill="auto"/>
            <w:noWrap/>
            <w:vAlign w:val="bottom"/>
          </w:tcPr>
          <w:p w:rsidR="00ED044C" w:rsidRPr="00172560" w:rsidRDefault="00ED044C" w:rsidP="008638BE">
            <w:pPr>
              <w:jc w:val="center"/>
              <w:rPr>
                <w:rFonts w:eastAsia="Times New Roman"/>
                <w:color w:val="000000"/>
              </w:rPr>
            </w:pPr>
            <w:r w:rsidRPr="00172560">
              <w:rPr>
                <w:rFonts w:eastAsia="Times New Roman"/>
                <w:color w:val="000000"/>
              </w:rPr>
              <w:t>3132.49***</w:t>
            </w:r>
          </w:p>
        </w:tc>
        <w:tc>
          <w:tcPr>
            <w:tcW w:w="1167" w:type="dxa"/>
            <w:tcBorders>
              <w:top w:val="nil"/>
              <w:left w:val="nil"/>
              <w:bottom w:val="single" w:sz="4" w:space="0" w:color="auto"/>
              <w:right w:val="single" w:sz="4" w:space="0" w:color="auto"/>
            </w:tcBorders>
            <w:vAlign w:val="bottom"/>
          </w:tcPr>
          <w:p w:rsidR="00ED044C" w:rsidRPr="00172560" w:rsidRDefault="00ED044C" w:rsidP="008638BE">
            <w:pPr>
              <w:jc w:val="center"/>
              <w:rPr>
                <w:rFonts w:eastAsia="Times New Roman"/>
                <w:color w:val="000000"/>
              </w:rPr>
            </w:pPr>
            <w:r w:rsidRPr="00172560">
              <w:rPr>
                <w:rFonts w:eastAsia="Times New Roman"/>
                <w:color w:val="000000"/>
              </w:rPr>
              <w:t>64</w:t>
            </w:r>
          </w:p>
        </w:tc>
        <w:tc>
          <w:tcPr>
            <w:tcW w:w="1356" w:type="dxa"/>
            <w:tcBorders>
              <w:top w:val="nil"/>
              <w:left w:val="nil"/>
              <w:bottom w:val="single" w:sz="4" w:space="0" w:color="auto"/>
              <w:right w:val="single" w:sz="4" w:space="0" w:color="auto"/>
            </w:tcBorders>
            <w:vAlign w:val="bottom"/>
          </w:tcPr>
          <w:p w:rsidR="00ED044C" w:rsidRPr="00172560" w:rsidRDefault="00ED044C" w:rsidP="008638BE">
            <w:pPr>
              <w:rPr>
                <w:rFonts w:eastAsia="Times New Roman"/>
                <w:color w:val="000000"/>
              </w:rPr>
            </w:pPr>
            <w:r w:rsidRPr="00172560">
              <w:rPr>
                <w:rFonts w:eastAsia="Times New Roman"/>
                <w:color w:val="000000"/>
              </w:rPr>
              <w:t>21.4</w:t>
            </w:r>
            <w:r>
              <w:rPr>
                <w:rFonts w:eastAsia="Times New Roman"/>
                <w:color w:val="000000"/>
              </w:rPr>
              <w:t>8</w:t>
            </w:r>
            <w:r w:rsidRPr="00172560">
              <w:rPr>
                <w:rFonts w:eastAsia="Times New Roman"/>
                <w:color w:val="000000"/>
              </w:rPr>
              <w:t>***</w:t>
            </w:r>
          </w:p>
        </w:tc>
      </w:tr>
      <w:tr w:rsidR="00ED044C" w:rsidRPr="00172560" w:rsidTr="008638BE">
        <w:trPr>
          <w:trHeight w:val="300"/>
        </w:trPr>
        <w:tc>
          <w:tcPr>
            <w:tcW w:w="1880" w:type="dxa"/>
            <w:tcBorders>
              <w:top w:val="nil"/>
              <w:left w:val="single" w:sz="4" w:space="0" w:color="auto"/>
              <w:bottom w:val="single" w:sz="4" w:space="0" w:color="auto"/>
              <w:right w:val="single" w:sz="4" w:space="0" w:color="auto"/>
            </w:tcBorders>
            <w:shd w:val="clear" w:color="auto" w:fill="auto"/>
            <w:noWrap/>
            <w:vAlign w:val="bottom"/>
            <w:hideMark/>
          </w:tcPr>
          <w:p w:rsidR="00ED044C" w:rsidRPr="00172560" w:rsidRDefault="00ED044C" w:rsidP="008638BE">
            <w:pPr>
              <w:rPr>
                <w:rFonts w:eastAsia="Times New Roman"/>
                <w:color w:val="000000"/>
              </w:rPr>
            </w:pPr>
            <w:r w:rsidRPr="00172560">
              <w:rPr>
                <w:rFonts w:eastAsia="Times New Roman"/>
                <w:color w:val="000000"/>
              </w:rPr>
              <w:t>Location (L)</w:t>
            </w:r>
          </w:p>
        </w:tc>
        <w:tc>
          <w:tcPr>
            <w:tcW w:w="960" w:type="dxa"/>
            <w:tcBorders>
              <w:top w:val="nil"/>
              <w:left w:val="nil"/>
              <w:bottom w:val="single" w:sz="4" w:space="0" w:color="auto"/>
              <w:right w:val="single" w:sz="4" w:space="0" w:color="auto"/>
            </w:tcBorders>
            <w:shd w:val="clear" w:color="auto" w:fill="auto"/>
            <w:noWrap/>
            <w:vAlign w:val="bottom"/>
            <w:hideMark/>
          </w:tcPr>
          <w:p w:rsidR="00ED044C" w:rsidRPr="00172560" w:rsidRDefault="00ED044C" w:rsidP="008638BE">
            <w:pPr>
              <w:jc w:val="center"/>
              <w:rPr>
                <w:rFonts w:eastAsia="Times New Roman"/>
                <w:color w:val="000000"/>
              </w:rPr>
            </w:pPr>
            <w:r w:rsidRPr="00172560">
              <w:rPr>
                <w:rFonts w:eastAsia="Times New Roman"/>
                <w:color w:val="000000"/>
              </w:rPr>
              <w:t>10</w:t>
            </w:r>
          </w:p>
        </w:tc>
        <w:tc>
          <w:tcPr>
            <w:tcW w:w="1476" w:type="dxa"/>
            <w:tcBorders>
              <w:top w:val="nil"/>
              <w:left w:val="nil"/>
              <w:bottom w:val="single" w:sz="4" w:space="0" w:color="auto"/>
              <w:right w:val="single" w:sz="4" w:space="0" w:color="auto"/>
            </w:tcBorders>
            <w:shd w:val="clear" w:color="auto" w:fill="auto"/>
            <w:noWrap/>
            <w:vAlign w:val="bottom"/>
          </w:tcPr>
          <w:p w:rsidR="00ED044C" w:rsidRPr="00172560" w:rsidRDefault="00ED044C" w:rsidP="008638BE">
            <w:pPr>
              <w:jc w:val="center"/>
              <w:rPr>
                <w:rFonts w:eastAsia="Times New Roman"/>
                <w:color w:val="000000"/>
              </w:rPr>
            </w:pPr>
            <w:r w:rsidRPr="00172560">
              <w:rPr>
                <w:rFonts w:eastAsia="Times New Roman"/>
                <w:color w:val="000000"/>
              </w:rPr>
              <w:t>3238.82***</w:t>
            </w:r>
          </w:p>
        </w:tc>
        <w:tc>
          <w:tcPr>
            <w:tcW w:w="1167" w:type="dxa"/>
            <w:tcBorders>
              <w:top w:val="nil"/>
              <w:left w:val="nil"/>
              <w:bottom w:val="single" w:sz="4" w:space="0" w:color="auto"/>
              <w:right w:val="single" w:sz="4" w:space="0" w:color="auto"/>
            </w:tcBorders>
            <w:vAlign w:val="bottom"/>
          </w:tcPr>
          <w:p w:rsidR="00ED044C" w:rsidRPr="00172560" w:rsidRDefault="00ED044C" w:rsidP="008638BE">
            <w:pPr>
              <w:jc w:val="center"/>
              <w:rPr>
                <w:rFonts w:eastAsia="Times New Roman"/>
                <w:color w:val="000000"/>
              </w:rPr>
            </w:pPr>
            <w:r w:rsidRPr="00172560">
              <w:rPr>
                <w:rFonts w:eastAsia="Times New Roman"/>
                <w:color w:val="000000"/>
              </w:rPr>
              <w:t>9</w:t>
            </w:r>
          </w:p>
        </w:tc>
        <w:tc>
          <w:tcPr>
            <w:tcW w:w="1356" w:type="dxa"/>
            <w:tcBorders>
              <w:top w:val="nil"/>
              <w:left w:val="nil"/>
              <w:bottom w:val="single" w:sz="4" w:space="0" w:color="auto"/>
              <w:right w:val="single" w:sz="4" w:space="0" w:color="auto"/>
            </w:tcBorders>
            <w:vAlign w:val="bottom"/>
          </w:tcPr>
          <w:p w:rsidR="00ED044C" w:rsidRPr="00172560" w:rsidRDefault="00ED044C" w:rsidP="008638BE">
            <w:pPr>
              <w:rPr>
                <w:rFonts w:eastAsia="Times New Roman"/>
                <w:color w:val="000000"/>
              </w:rPr>
            </w:pPr>
            <w:r w:rsidRPr="00172560">
              <w:rPr>
                <w:rFonts w:eastAsia="Times New Roman"/>
                <w:color w:val="000000"/>
              </w:rPr>
              <w:t>334.23***</w:t>
            </w:r>
          </w:p>
        </w:tc>
        <w:tc>
          <w:tcPr>
            <w:tcW w:w="872" w:type="dxa"/>
            <w:vAlign w:val="bottom"/>
          </w:tcPr>
          <w:p w:rsidR="00ED044C" w:rsidRPr="00172560" w:rsidRDefault="00ED044C" w:rsidP="008638BE">
            <w:pPr>
              <w:jc w:val="center"/>
              <w:rPr>
                <w:rFonts w:eastAsia="Times New Roman"/>
                <w:color w:val="000000"/>
              </w:rPr>
            </w:pPr>
          </w:p>
        </w:tc>
      </w:tr>
      <w:tr w:rsidR="00ED044C" w:rsidRPr="00172560" w:rsidTr="008638BE">
        <w:trPr>
          <w:gridAfter w:val="1"/>
          <w:wAfter w:w="872" w:type="dxa"/>
          <w:trHeight w:val="300"/>
        </w:trPr>
        <w:tc>
          <w:tcPr>
            <w:tcW w:w="1880" w:type="dxa"/>
            <w:tcBorders>
              <w:top w:val="nil"/>
              <w:left w:val="single" w:sz="4" w:space="0" w:color="auto"/>
              <w:bottom w:val="single" w:sz="4" w:space="0" w:color="auto"/>
              <w:right w:val="single" w:sz="4" w:space="0" w:color="auto"/>
            </w:tcBorders>
            <w:shd w:val="clear" w:color="auto" w:fill="auto"/>
            <w:noWrap/>
            <w:vAlign w:val="bottom"/>
            <w:hideMark/>
          </w:tcPr>
          <w:p w:rsidR="00ED044C" w:rsidRPr="00172560" w:rsidRDefault="00ED044C" w:rsidP="008638BE">
            <w:pPr>
              <w:rPr>
                <w:rFonts w:eastAsia="Times New Roman"/>
                <w:color w:val="000000"/>
              </w:rPr>
            </w:pPr>
            <w:r w:rsidRPr="00172560">
              <w:rPr>
                <w:rFonts w:eastAsia="Times New Roman"/>
                <w:color w:val="000000"/>
              </w:rPr>
              <w:t>G × L</w:t>
            </w:r>
          </w:p>
        </w:tc>
        <w:tc>
          <w:tcPr>
            <w:tcW w:w="960" w:type="dxa"/>
            <w:tcBorders>
              <w:top w:val="nil"/>
              <w:left w:val="nil"/>
              <w:bottom w:val="single" w:sz="4" w:space="0" w:color="auto"/>
              <w:right w:val="single" w:sz="4" w:space="0" w:color="auto"/>
            </w:tcBorders>
            <w:shd w:val="clear" w:color="auto" w:fill="auto"/>
            <w:noWrap/>
            <w:vAlign w:val="bottom"/>
            <w:hideMark/>
          </w:tcPr>
          <w:p w:rsidR="00ED044C" w:rsidRPr="00172560" w:rsidRDefault="00ED044C" w:rsidP="008638BE">
            <w:pPr>
              <w:jc w:val="center"/>
              <w:rPr>
                <w:rFonts w:eastAsia="Times New Roman"/>
                <w:color w:val="000000"/>
              </w:rPr>
            </w:pPr>
            <w:r w:rsidRPr="00172560">
              <w:rPr>
                <w:rFonts w:eastAsia="Times New Roman"/>
                <w:color w:val="000000"/>
              </w:rPr>
              <w:t>690</w:t>
            </w:r>
          </w:p>
        </w:tc>
        <w:tc>
          <w:tcPr>
            <w:tcW w:w="1476" w:type="dxa"/>
            <w:tcBorders>
              <w:top w:val="nil"/>
              <w:left w:val="nil"/>
              <w:bottom w:val="single" w:sz="4" w:space="0" w:color="auto"/>
              <w:right w:val="single" w:sz="4" w:space="0" w:color="auto"/>
            </w:tcBorders>
            <w:shd w:val="clear" w:color="auto" w:fill="auto"/>
            <w:noWrap/>
            <w:vAlign w:val="bottom"/>
          </w:tcPr>
          <w:p w:rsidR="00ED044C" w:rsidRPr="00172560" w:rsidRDefault="00ED044C" w:rsidP="008638BE">
            <w:pPr>
              <w:jc w:val="center"/>
              <w:rPr>
                <w:rFonts w:eastAsia="Times New Roman"/>
                <w:color w:val="000000"/>
              </w:rPr>
            </w:pPr>
            <w:r w:rsidRPr="00172560">
              <w:rPr>
                <w:rFonts w:eastAsia="Times New Roman"/>
                <w:color w:val="000000"/>
              </w:rPr>
              <w:t>156.7***</w:t>
            </w:r>
          </w:p>
        </w:tc>
        <w:tc>
          <w:tcPr>
            <w:tcW w:w="1167" w:type="dxa"/>
            <w:tcBorders>
              <w:top w:val="nil"/>
              <w:left w:val="nil"/>
              <w:bottom w:val="single" w:sz="4" w:space="0" w:color="auto"/>
              <w:right w:val="single" w:sz="4" w:space="0" w:color="auto"/>
            </w:tcBorders>
            <w:vAlign w:val="bottom"/>
          </w:tcPr>
          <w:p w:rsidR="00ED044C" w:rsidRPr="00172560" w:rsidRDefault="00ED044C" w:rsidP="008638BE">
            <w:pPr>
              <w:jc w:val="center"/>
              <w:rPr>
                <w:rFonts w:eastAsia="Times New Roman"/>
                <w:color w:val="000000"/>
              </w:rPr>
            </w:pPr>
            <w:r>
              <w:rPr>
                <w:rFonts w:eastAsia="Times New Roman"/>
                <w:color w:val="000000"/>
              </w:rPr>
              <w:t>576</w:t>
            </w:r>
          </w:p>
        </w:tc>
        <w:tc>
          <w:tcPr>
            <w:tcW w:w="1356" w:type="dxa"/>
            <w:tcBorders>
              <w:top w:val="nil"/>
              <w:left w:val="nil"/>
              <w:bottom w:val="single" w:sz="4" w:space="0" w:color="auto"/>
              <w:right w:val="single" w:sz="4" w:space="0" w:color="auto"/>
            </w:tcBorders>
            <w:vAlign w:val="bottom"/>
          </w:tcPr>
          <w:p w:rsidR="00ED044C" w:rsidRPr="00172560" w:rsidRDefault="00ED044C" w:rsidP="008638BE">
            <w:pPr>
              <w:rPr>
                <w:rFonts w:eastAsia="Times New Roman"/>
                <w:color w:val="000000"/>
              </w:rPr>
            </w:pPr>
            <w:r w:rsidRPr="00172560">
              <w:rPr>
                <w:rFonts w:eastAsia="Times New Roman"/>
                <w:color w:val="000000"/>
              </w:rPr>
              <w:t>2.6</w:t>
            </w:r>
            <w:r>
              <w:rPr>
                <w:rFonts w:eastAsia="Times New Roman"/>
                <w:color w:val="000000"/>
              </w:rPr>
              <w:t>7</w:t>
            </w:r>
            <w:r w:rsidRPr="00172560">
              <w:rPr>
                <w:rFonts w:eastAsia="Times New Roman"/>
                <w:color w:val="000000"/>
              </w:rPr>
              <w:t xml:space="preserve">*** </w:t>
            </w:r>
          </w:p>
        </w:tc>
      </w:tr>
      <w:tr w:rsidR="00ED044C" w:rsidRPr="00172560" w:rsidTr="008638BE">
        <w:trPr>
          <w:gridAfter w:val="1"/>
          <w:wAfter w:w="872" w:type="dxa"/>
          <w:trHeight w:val="300"/>
        </w:trPr>
        <w:tc>
          <w:tcPr>
            <w:tcW w:w="1880" w:type="dxa"/>
            <w:tcBorders>
              <w:top w:val="nil"/>
              <w:left w:val="single" w:sz="4" w:space="0" w:color="auto"/>
              <w:bottom w:val="single" w:sz="4" w:space="0" w:color="auto"/>
              <w:right w:val="single" w:sz="4" w:space="0" w:color="auto"/>
            </w:tcBorders>
            <w:shd w:val="clear" w:color="auto" w:fill="auto"/>
            <w:noWrap/>
            <w:vAlign w:val="bottom"/>
            <w:hideMark/>
          </w:tcPr>
          <w:p w:rsidR="00ED044C" w:rsidRPr="00172560" w:rsidRDefault="00ED044C" w:rsidP="008638BE">
            <w:pPr>
              <w:rPr>
                <w:rFonts w:eastAsia="Times New Roman"/>
                <w:color w:val="000000"/>
              </w:rPr>
            </w:pPr>
            <w:r w:rsidRPr="00172560">
              <w:rPr>
                <w:rFonts w:eastAsia="Times New Roman"/>
                <w:color w:val="000000"/>
              </w:rPr>
              <w:t>Residual</w:t>
            </w:r>
          </w:p>
        </w:tc>
        <w:tc>
          <w:tcPr>
            <w:tcW w:w="960" w:type="dxa"/>
            <w:tcBorders>
              <w:top w:val="nil"/>
              <w:left w:val="nil"/>
              <w:bottom w:val="single" w:sz="4" w:space="0" w:color="auto"/>
              <w:right w:val="single" w:sz="4" w:space="0" w:color="auto"/>
            </w:tcBorders>
            <w:shd w:val="clear" w:color="auto" w:fill="auto"/>
            <w:noWrap/>
            <w:vAlign w:val="bottom"/>
            <w:hideMark/>
          </w:tcPr>
          <w:p w:rsidR="00ED044C" w:rsidRPr="00172560" w:rsidRDefault="00ED044C" w:rsidP="008638BE">
            <w:pPr>
              <w:jc w:val="center"/>
              <w:rPr>
                <w:rFonts w:eastAsia="Times New Roman"/>
                <w:color w:val="000000"/>
              </w:rPr>
            </w:pPr>
            <w:r>
              <w:rPr>
                <w:rFonts w:eastAsia="Times New Roman"/>
                <w:color w:val="000000"/>
              </w:rPr>
              <w:t>769</w:t>
            </w:r>
          </w:p>
        </w:tc>
        <w:tc>
          <w:tcPr>
            <w:tcW w:w="1476" w:type="dxa"/>
            <w:tcBorders>
              <w:top w:val="nil"/>
              <w:left w:val="nil"/>
              <w:bottom w:val="single" w:sz="4" w:space="0" w:color="auto"/>
              <w:right w:val="single" w:sz="4" w:space="0" w:color="auto"/>
            </w:tcBorders>
            <w:shd w:val="clear" w:color="auto" w:fill="auto"/>
            <w:noWrap/>
            <w:vAlign w:val="bottom"/>
          </w:tcPr>
          <w:p w:rsidR="00ED044C" w:rsidRPr="00172560" w:rsidRDefault="00ED044C" w:rsidP="008638BE">
            <w:pPr>
              <w:jc w:val="center"/>
              <w:rPr>
                <w:rFonts w:eastAsia="Times New Roman"/>
                <w:color w:val="000000"/>
              </w:rPr>
            </w:pPr>
          </w:p>
        </w:tc>
        <w:tc>
          <w:tcPr>
            <w:tcW w:w="1167" w:type="dxa"/>
            <w:tcBorders>
              <w:top w:val="nil"/>
              <w:left w:val="nil"/>
              <w:bottom w:val="single" w:sz="4" w:space="0" w:color="auto"/>
              <w:right w:val="single" w:sz="4" w:space="0" w:color="auto"/>
            </w:tcBorders>
            <w:vAlign w:val="bottom"/>
          </w:tcPr>
          <w:p w:rsidR="00ED044C" w:rsidRPr="00172560" w:rsidRDefault="00ED044C" w:rsidP="008638BE">
            <w:pPr>
              <w:jc w:val="center"/>
              <w:rPr>
                <w:rFonts w:eastAsia="Times New Roman"/>
                <w:color w:val="000000"/>
              </w:rPr>
            </w:pPr>
            <w:r>
              <w:rPr>
                <w:rFonts w:eastAsia="Times New Roman"/>
                <w:color w:val="000000"/>
              </w:rPr>
              <w:t>64</w:t>
            </w:r>
            <w:r w:rsidRPr="00172560">
              <w:rPr>
                <w:rFonts w:eastAsia="Times New Roman"/>
                <w:color w:val="000000"/>
              </w:rPr>
              <w:t>9</w:t>
            </w:r>
          </w:p>
        </w:tc>
        <w:tc>
          <w:tcPr>
            <w:tcW w:w="1356" w:type="dxa"/>
            <w:tcBorders>
              <w:top w:val="nil"/>
              <w:left w:val="nil"/>
              <w:bottom w:val="single" w:sz="4" w:space="0" w:color="auto"/>
              <w:right w:val="single" w:sz="4" w:space="0" w:color="auto"/>
            </w:tcBorders>
            <w:vAlign w:val="bottom"/>
          </w:tcPr>
          <w:p w:rsidR="00ED044C" w:rsidRPr="00172560" w:rsidRDefault="00ED044C" w:rsidP="008638BE">
            <w:pPr>
              <w:rPr>
                <w:rFonts w:eastAsia="Times New Roman"/>
                <w:color w:val="000000"/>
              </w:rPr>
            </w:pPr>
          </w:p>
        </w:tc>
      </w:tr>
      <w:tr w:rsidR="00ED044C" w:rsidRPr="00172560" w:rsidTr="008638BE">
        <w:trPr>
          <w:gridAfter w:val="1"/>
          <w:wAfter w:w="872" w:type="dxa"/>
          <w:trHeight w:val="300"/>
        </w:trPr>
        <w:tc>
          <w:tcPr>
            <w:tcW w:w="1880" w:type="dxa"/>
            <w:tcBorders>
              <w:top w:val="nil"/>
              <w:left w:val="single" w:sz="4" w:space="0" w:color="auto"/>
              <w:bottom w:val="single" w:sz="4" w:space="0" w:color="auto"/>
              <w:right w:val="single" w:sz="4" w:space="0" w:color="auto"/>
            </w:tcBorders>
            <w:shd w:val="clear" w:color="auto" w:fill="auto"/>
            <w:noWrap/>
            <w:vAlign w:val="bottom"/>
            <w:hideMark/>
          </w:tcPr>
          <w:p w:rsidR="00ED044C" w:rsidRPr="00172560" w:rsidRDefault="00ED044C" w:rsidP="008638BE">
            <w:pPr>
              <w:rPr>
                <w:rFonts w:eastAsia="Times New Roman"/>
                <w:color w:val="000000"/>
              </w:rPr>
            </w:pPr>
            <w:r w:rsidRPr="00172560">
              <w:rPr>
                <w:rFonts w:eastAsia="Times New Roman"/>
                <w:color w:val="000000"/>
              </w:rPr>
              <w:t>Total</w:t>
            </w:r>
          </w:p>
        </w:tc>
        <w:tc>
          <w:tcPr>
            <w:tcW w:w="960" w:type="dxa"/>
            <w:tcBorders>
              <w:top w:val="nil"/>
              <w:left w:val="nil"/>
              <w:bottom w:val="single" w:sz="4" w:space="0" w:color="auto"/>
              <w:right w:val="single" w:sz="4" w:space="0" w:color="auto"/>
            </w:tcBorders>
            <w:shd w:val="clear" w:color="auto" w:fill="auto"/>
            <w:noWrap/>
            <w:vAlign w:val="bottom"/>
            <w:hideMark/>
          </w:tcPr>
          <w:p w:rsidR="00ED044C" w:rsidRPr="00172560" w:rsidRDefault="00ED044C" w:rsidP="008638BE">
            <w:pPr>
              <w:jc w:val="center"/>
              <w:rPr>
                <w:rFonts w:eastAsia="Times New Roman"/>
                <w:color w:val="000000"/>
              </w:rPr>
            </w:pPr>
            <w:r>
              <w:rPr>
                <w:rFonts w:eastAsia="Times New Roman"/>
                <w:color w:val="000000"/>
              </w:rPr>
              <w:t>1539</w:t>
            </w:r>
          </w:p>
        </w:tc>
        <w:tc>
          <w:tcPr>
            <w:tcW w:w="1476" w:type="dxa"/>
            <w:tcBorders>
              <w:top w:val="nil"/>
              <w:left w:val="nil"/>
              <w:bottom w:val="single" w:sz="4" w:space="0" w:color="auto"/>
              <w:right w:val="single" w:sz="4" w:space="0" w:color="auto"/>
            </w:tcBorders>
            <w:shd w:val="clear" w:color="auto" w:fill="auto"/>
            <w:noWrap/>
            <w:vAlign w:val="bottom"/>
          </w:tcPr>
          <w:p w:rsidR="00ED044C" w:rsidRPr="00172560" w:rsidRDefault="00ED044C" w:rsidP="008638BE">
            <w:pPr>
              <w:jc w:val="center"/>
              <w:rPr>
                <w:rFonts w:eastAsia="Times New Roman"/>
                <w:color w:val="000000"/>
              </w:rPr>
            </w:pPr>
            <w:r w:rsidRPr="00172560">
              <w:rPr>
                <w:rFonts w:eastAsia="Times New Roman"/>
                <w:color w:val="000000"/>
              </w:rPr>
              <w:t> </w:t>
            </w:r>
          </w:p>
        </w:tc>
        <w:tc>
          <w:tcPr>
            <w:tcW w:w="1167" w:type="dxa"/>
            <w:tcBorders>
              <w:top w:val="nil"/>
              <w:left w:val="nil"/>
              <w:bottom w:val="single" w:sz="4" w:space="0" w:color="auto"/>
              <w:right w:val="single" w:sz="4" w:space="0" w:color="auto"/>
            </w:tcBorders>
            <w:vAlign w:val="bottom"/>
          </w:tcPr>
          <w:p w:rsidR="00ED044C" w:rsidRPr="00172560" w:rsidRDefault="00ED044C" w:rsidP="008638BE">
            <w:pPr>
              <w:jc w:val="center"/>
              <w:rPr>
                <w:rFonts w:eastAsia="Times New Roman"/>
                <w:color w:val="000000"/>
              </w:rPr>
            </w:pPr>
            <w:r>
              <w:rPr>
                <w:rFonts w:eastAsia="Times New Roman"/>
                <w:color w:val="000000"/>
              </w:rPr>
              <w:t>1299</w:t>
            </w:r>
          </w:p>
        </w:tc>
        <w:tc>
          <w:tcPr>
            <w:tcW w:w="1356" w:type="dxa"/>
            <w:tcBorders>
              <w:top w:val="nil"/>
              <w:left w:val="nil"/>
              <w:bottom w:val="single" w:sz="4" w:space="0" w:color="auto"/>
              <w:right w:val="single" w:sz="4" w:space="0" w:color="auto"/>
            </w:tcBorders>
            <w:vAlign w:val="bottom"/>
          </w:tcPr>
          <w:p w:rsidR="00ED044C" w:rsidRPr="00172560" w:rsidRDefault="00ED044C" w:rsidP="008638BE">
            <w:pPr>
              <w:jc w:val="center"/>
              <w:rPr>
                <w:rFonts w:eastAsia="Times New Roman"/>
                <w:color w:val="000000"/>
              </w:rPr>
            </w:pPr>
            <w:r w:rsidRPr="00172560">
              <w:rPr>
                <w:rFonts w:eastAsia="Times New Roman"/>
                <w:color w:val="000000"/>
              </w:rPr>
              <w:t> </w:t>
            </w:r>
          </w:p>
        </w:tc>
      </w:tr>
    </w:tbl>
    <w:p w:rsidR="00ED044C" w:rsidRPr="00172560" w:rsidRDefault="00ED044C" w:rsidP="00ED044C">
      <w:r w:rsidRPr="00172560">
        <w:t xml:space="preserve">***Significant at </w:t>
      </w:r>
      <w:r w:rsidRPr="00172560">
        <w:rPr>
          <w:i/>
        </w:rPr>
        <w:t>P&lt;0.001</w:t>
      </w:r>
    </w:p>
    <w:p w:rsidR="005E5174" w:rsidRDefault="005E5174">
      <w:bookmarkStart w:id="0" w:name="_GoBack"/>
      <w:bookmarkEnd w:id="0"/>
    </w:p>
    <w:sectPr w:rsidR="005E51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190"/>
    <w:rsid w:val="00141190"/>
    <w:rsid w:val="005E5174"/>
    <w:rsid w:val="009C786B"/>
    <w:rsid w:val="00ED04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823541-1C7D-4B42-8233-E443037EC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044C"/>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ize">
    <w:name w:val="size"/>
    <w:basedOn w:val="DefaultParagraphFont"/>
    <w:rsid w:val="00ED04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540</Words>
  <Characters>3078</Characters>
  <Application>Microsoft Office Word</Application>
  <DocSecurity>0</DocSecurity>
  <Lines>25</Lines>
  <Paragraphs>7</Paragraphs>
  <ScaleCrop>false</ScaleCrop>
  <Company>Hewlett-Packard Company</Company>
  <LinksUpToDate>false</LinksUpToDate>
  <CharactersWithSpaces>3611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ICARDA</dc:creator>
  <cp:keywords/>
  <dc:description/>
  <cp:lastModifiedBy>ICARDA</cp:lastModifiedBy>
  <cp:revision>3</cp:revision>
  <dcterms:created xsi:type="dcterms:W3CDTF">2017-01-31T14:38:00Z</dcterms:created>
  <dcterms:modified xsi:type="dcterms:W3CDTF">2017-01-31T14:38:00Z</dcterms:modified>
</cp:coreProperties>
</file>