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1093" w:rsidRDefault="005D1093" w:rsidP="003F0968">
      <w:pPr>
        <w:pStyle w:val="Heading2"/>
        <w:spacing w:before="174"/>
        <w:ind w:left="0" w:firstLine="0"/>
        <w:rPr>
          <w:spacing w:val="-1"/>
        </w:rPr>
      </w:pPr>
      <w:r w:rsidRPr="00D60A7B">
        <w:rPr>
          <w:spacing w:val="-1"/>
        </w:rPr>
        <w:t>Characterization of the main abiotic constrains within sorghum production agro</w:t>
      </w:r>
      <w:r>
        <w:rPr>
          <w:spacing w:val="-1"/>
        </w:rPr>
        <w:t>-</w:t>
      </w:r>
      <w:r w:rsidRPr="00D60A7B">
        <w:rPr>
          <w:spacing w:val="-1"/>
        </w:rPr>
        <w:t>ecologies in Mali (in later stages for Senegal &amp; Burkina Faso).  Based on the information generated, mapping the main abiotic constrains for sorghum production in WCA and suggesting optimal genotype X management optio</w:t>
      </w:r>
      <w:r>
        <w:rPr>
          <w:spacing w:val="-1"/>
        </w:rPr>
        <w:t>ns for productivity improvement</w:t>
      </w:r>
    </w:p>
    <w:p w:rsidR="005D1093" w:rsidRPr="00946F97" w:rsidRDefault="005D1093" w:rsidP="003F0968">
      <w:pPr>
        <w:pStyle w:val="Heading2"/>
        <w:spacing w:before="174"/>
        <w:ind w:left="0" w:firstLine="0"/>
        <w:jc w:val="both"/>
        <w:rPr>
          <w:spacing w:val="-1"/>
        </w:rPr>
      </w:pPr>
    </w:p>
    <w:p w:rsidR="005D1093" w:rsidRPr="00195206" w:rsidRDefault="005D1093" w:rsidP="003F0968">
      <w:pPr>
        <w:jc w:val="both"/>
        <w:rPr>
          <w:rFonts w:ascii="Calibri" w:eastAsia="Times New Roman" w:hAnsi="Calibri" w:cs="Times New Roman"/>
          <w:color w:val="000000"/>
          <w:lang w:eastAsia="en-IN"/>
        </w:rPr>
      </w:pPr>
      <w:r w:rsidRPr="00195206">
        <w:rPr>
          <w:rFonts w:ascii="Calibri" w:eastAsia="Times New Roman" w:hAnsi="Calibri" w:cs="Times New Roman"/>
          <w:color w:val="000000"/>
          <w:u w:val="single"/>
          <w:lang w:eastAsia="en-IN"/>
        </w:rPr>
        <w:t>Authors:</w:t>
      </w:r>
      <w:r w:rsidRPr="00195206">
        <w:rPr>
          <w:rFonts w:ascii="Calibri" w:eastAsia="Times New Roman" w:hAnsi="Calibri" w:cs="Times New Roman"/>
          <w:color w:val="000000"/>
          <w:lang w:eastAsia="en-IN"/>
        </w:rPr>
        <w:t xml:space="preserve"> </w:t>
      </w:r>
      <w:proofErr w:type="spellStart"/>
      <w:r w:rsidRPr="00195206">
        <w:rPr>
          <w:rFonts w:ascii="Calibri" w:eastAsia="Times New Roman" w:hAnsi="Calibri" w:cs="Times New Roman"/>
          <w:color w:val="000000"/>
          <w:lang w:eastAsia="en-IN"/>
        </w:rPr>
        <w:t>JKholova</w:t>
      </w:r>
      <w:proofErr w:type="spellEnd"/>
      <w:r w:rsidRPr="00195206">
        <w:rPr>
          <w:rFonts w:ascii="Calibri" w:eastAsia="Times New Roman" w:hAnsi="Calibri" w:cs="Times New Roman"/>
          <w:color w:val="000000"/>
          <w:lang w:eastAsia="en-IN"/>
        </w:rPr>
        <w:t xml:space="preserve">, </w:t>
      </w:r>
      <w:proofErr w:type="spellStart"/>
      <w:r w:rsidRPr="00195206">
        <w:rPr>
          <w:rFonts w:ascii="Calibri" w:eastAsia="Times New Roman" w:hAnsi="Calibri" w:cs="Times New Roman"/>
          <w:color w:val="000000"/>
          <w:lang w:eastAsia="en-IN"/>
        </w:rPr>
        <w:t>VVadez</w:t>
      </w:r>
      <w:proofErr w:type="spellEnd"/>
      <w:r w:rsidRPr="00195206">
        <w:rPr>
          <w:rFonts w:ascii="Calibri" w:eastAsia="Times New Roman" w:hAnsi="Calibri" w:cs="Times New Roman"/>
          <w:color w:val="000000"/>
          <w:lang w:eastAsia="en-IN"/>
        </w:rPr>
        <w:t xml:space="preserve">, Erik </w:t>
      </w:r>
      <w:proofErr w:type="spellStart"/>
      <w:r w:rsidRPr="00195206">
        <w:rPr>
          <w:rFonts w:ascii="Calibri" w:eastAsia="Times New Roman" w:hAnsi="Calibri" w:cs="Times New Roman"/>
          <w:color w:val="000000"/>
          <w:lang w:eastAsia="en-IN"/>
        </w:rPr>
        <w:t>vanOosterom</w:t>
      </w:r>
      <w:proofErr w:type="spellEnd"/>
      <w:r w:rsidRPr="00195206">
        <w:rPr>
          <w:rFonts w:ascii="Calibri" w:eastAsia="Times New Roman" w:hAnsi="Calibri" w:cs="Times New Roman"/>
          <w:color w:val="000000"/>
          <w:lang w:eastAsia="en-IN"/>
        </w:rPr>
        <w:t xml:space="preserve">, Greg McLean, Graeme Hammer, M. </w:t>
      </w:r>
      <w:proofErr w:type="spellStart"/>
      <w:r w:rsidRPr="00195206">
        <w:rPr>
          <w:rFonts w:ascii="Calibri" w:eastAsia="Times New Roman" w:hAnsi="Calibri" w:cs="Times New Roman"/>
          <w:color w:val="000000"/>
          <w:lang w:eastAsia="en-IN"/>
        </w:rPr>
        <w:t>Diancoumba</w:t>
      </w:r>
      <w:proofErr w:type="spellEnd"/>
      <w:r w:rsidRPr="00195206">
        <w:rPr>
          <w:rFonts w:ascii="Calibri" w:eastAsia="Times New Roman" w:hAnsi="Calibri" w:cs="Times New Roman"/>
          <w:color w:val="000000"/>
          <w:lang w:eastAsia="en-IN"/>
        </w:rPr>
        <w:t xml:space="preserve">, M. Adams, M. </w:t>
      </w:r>
      <w:proofErr w:type="spellStart"/>
      <w:r w:rsidRPr="00195206">
        <w:rPr>
          <w:rFonts w:ascii="Calibri" w:eastAsia="Times New Roman" w:hAnsi="Calibri" w:cs="Times New Roman"/>
          <w:color w:val="000000"/>
          <w:lang w:eastAsia="en-IN"/>
        </w:rPr>
        <w:t>Vaksmann</w:t>
      </w:r>
      <w:proofErr w:type="spellEnd"/>
      <w:r>
        <w:rPr>
          <w:rFonts w:ascii="Calibri" w:eastAsia="Times New Roman" w:hAnsi="Calibri" w:cs="Times New Roman"/>
          <w:color w:val="000000"/>
          <w:lang w:eastAsia="en-IN"/>
        </w:rPr>
        <w:t xml:space="preserve">, Eva </w:t>
      </w:r>
      <w:proofErr w:type="spellStart"/>
      <w:r>
        <w:rPr>
          <w:rFonts w:ascii="Calibri" w:eastAsia="Times New Roman" w:hAnsi="Calibri" w:cs="Times New Roman"/>
          <w:color w:val="000000"/>
          <w:lang w:eastAsia="en-IN"/>
        </w:rPr>
        <w:t>Rattunde-Waltzien</w:t>
      </w:r>
      <w:proofErr w:type="spellEnd"/>
      <w:r w:rsidRPr="00195206">
        <w:rPr>
          <w:rFonts w:ascii="Calibri" w:eastAsia="Times New Roman" w:hAnsi="Calibri" w:cs="Times New Roman"/>
          <w:color w:val="000000"/>
          <w:lang w:eastAsia="en-IN"/>
        </w:rPr>
        <w:t xml:space="preserve"> (&amp; teams)</w:t>
      </w:r>
    </w:p>
    <w:p w:rsidR="003F0968" w:rsidRDefault="003F0968" w:rsidP="003F0968">
      <w:pPr>
        <w:jc w:val="both"/>
        <w:rPr>
          <w:u w:val="single"/>
        </w:rPr>
      </w:pPr>
    </w:p>
    <w:p w:rsidR="005D1093" w:rsidRPr="00195206" w:rsidRDefault="005D1093" w:rsidP="003F0968">
      <w:pPr>
        <w:jc w:val="both"/>
        <w:rPr>
          <w:rFonts w:ascii="Calibri" w:eastAsia="Times New Roman" w:hAnsi="Calibri" w:cs="Times New Roman"/>
          <w:color w:val="000000"/>
          <w:lang w:eastAsia="en-IN"/>
        </w:rPr>
      </w:pPr>
      <w:r w:rsidRPr="00195206">
        <w:rPr>
          <w:u w:val="single"/>
        </w:rPr>
        <w:t>Region(s):</w:t>
      </w:r>
      <w:r w:rsidRPr="00195206">
        <w:rPr>
          <w:rFonts w:ascii="Calibri" w:hAnsi="Calibri"/>
          <w:color w:val="000000"/>
        </w:rPr>
        <w:t xml:space="preserve"> </w:t>
      </w:r>
      <w:r w:rsidRPr="00195206">
        <w:rPr>
          <w:rFonts w:ascii="Calibri" w:eastAsia="Times New Roman" w:hAnsi="Calibri" w:cs="Times New Roman"/>
          <w:color w:val="000000"/>
          <w:lang w:eastAsia="en-IN"/>
        </w:rPr>
        <w:t>WCA</w:t>
      </w:r>
    </w:p>
    <w:p w:rsidR="003F0968" w:rsidRDefault="003F0968" w:rsidP="003F0968">
      <w:pPr>
        <w:jc w:val="both"/>
        <w:rPr>
          <w:u w:val="single"/>
        </w:rPr>
      </w:pPr>
    </w:p>
    <w:p w:rsidR="005D1093" w:rsidRDefault="005D1093" w:rsidP="003F0968">
      <w:pPr>
        <w:jc w:val="both"/>
        <w:rPr>
          <w:rFonts w:ascii="Calibri" w:eastAsia="Times New Roman" w:hAnsi="Calibri" w:cs="Times New Roman"/>
          <w:color w:val="000000"/>
          <w:lang w:eastAsia="en-IN"/>
        </w:rPr>
      </w:pPr>
      <w:proofErr w:type="gramStart"/>
      <w:r w:rsidRPr="00195206">
        <w:rPr>
          <w:u w:val="single"/>
        </w:rPr>
        <w:t>Country(</w:t>
      </w:r>
      <w:proofErr w:type="spellStart"/>
      <w:proofErr w:type="gramEnd"/>
      <w:r w:rsidRPr="00195206">
        <w:rPr>
          <w:u w:val="single"/>
        </w:rPr>
        <w:t>ies</w:t>
      </w:r>
      <w:proofErr w:type="spellEnd"/>
      <w:r w:rsidRPr="00195206">
        <w:rPr>
          <w:u w:val="single"/>
        </w:rPr>
        <w:t>):</w:t>
      </w:r>
      <w:r w:rsidRPr="00195206">
        <w:rPr>
          <w:rFonts w:ascii="Calibri" w:eastAsia="Times New Roman" w:hAnsi="Calibri" w:cs="Times New Roman"/>
          <w:color w:val="000000"/>
          <w:lang w:eastAsia="en-IN"/>
        </w:rPr>
        <w:t xml:space="preserve"> Mali </w:t>
      </w:r>
    </w:p>
    <w:p w:rsidR="005D1093" w:rsidRPr="00195206" w:rsidRDefault="005D1093" w:rsidP="003F0968">
      <w:pPr>
        <w:tabs>
          <w:tab w:val="left" w:pos="872"/>
        </w:tabs>
        <w:ind w:left="151"/>
        <w:jc w:val="both"/>
        <w:rPr>
          <w:rFonts w:ascii="Calibri" w:eastAsia="Times New Roman" w:hAnsi="Calibri" w:cs="Times New Roman"/>
          <w:color w:val="000000"/>
          <w:lang w:eastAsia="en-IN"/>
        </w:rPr>
      </w:pPr>
    </w:p>
    <w:p w:rsidR="005D1093" w:rsidRPr="00195206" w:rsidRDefault="005D1093" w:rsidP="003F0968">
      <w:pPr>
        <w:tabs>
          <w:tab w:val="left" w:pos="0"/>
        </w:tabs>
        <w:jc w:val="both"/>
        <w:rPr>
          <w:rFonts w:ascii="Calibri" w:eastAsia="Times New Roman" w:hAnsi="Calibri" w:cs="Times New Roman"/>
          <w:color w:val="000000"/>
          <w:lang w:eastAsia="en-IN"/>
        </w:rPr>
      </w:pPr>
      <w:r w:rsidRPr="00195206">
        <w:rPr>
          <w:u w:val="single"/>
        </w:rPr>
        <w:t>Rationale:</w:t>
      </w:r>
      <w:r>
        <w:t xml:space="preserve"> C</w:t>
      </w:r>
      <w:r w:rsidRPr="00195206">
        <w:rPr>
          <w:rFonts w:ascii="Calibri" w:eastAsia="Times New Roman" w:hAnsi="Calibri" w:cs="Times New Roman"/>
          <w:color w:val="000000"/>
          <w:lang w:eastAsia="en-IN"/>
        </w:rPr>
        <w:t>lassification</w:t>
      </w:r>
      <w:r>
        <w:rPr>
          <w:rFonts w:ascii="Calibri" w:eastAsia="Times New Roman" w:hAnsi="Calibri" w:cs="Times New Roman"/>
          <w:color w:val="000000"/>
          <w:lang w:eastAsia="en-IN"/>
        </w:rPr>
        <w:t xml:space="preserve"> </w:t>
      </w:r>
      <w:r w:rsidRPr="00195206">
        <w:rPr>
          <w:rFonts w:ascii="Calibri" w:eastAsia="Times New Roman" w:hAnsi="Calibri" w:cs="Times New Roman"/>
          <w:color w:val="000000"/>
          <w:lang w:eastAsia="en-IN"/>
        </w:rPr>
        <w:t>&amp;</w:t>
      </w:r>
      <w:r>
        <w:rPr>
          <w:rFonts w:ascii="Calibri" w:eastAsia="Times New Roman" w:hAnsi="Calibri" w:cs="Times New Roman"/>
          <w:color w:val="000000"/>
          <w:lang w:eastAsia="en-IN"/>
        </w:rPr>
        <w:t xml:space="preserve"> </w:t>
      </w:r>
      <w:r w:rsidRPr="00195206">
        <w:rPr>
          <w:rFonts w:ascii="Calibri" w:eastAsia="Times New Roman" w:hAnsi="Calibri" w:cs="Times New Roman"/>
          <w:color w:val="000000"/>
          <w:lang w:eastAsia="en-IN"/>
        </w:rPr>
        <w:t xml:space="preserve">quantification of environmental constrains is the necessary step to refine breeding targets. Here we are trying to apply the successful multidisciplinary breeding concept of developed countries (Australian breeding </w:t>
      </w:r>
      <w:r>
        <w:rPr>
          <w:rFonts w:ascii="Calibri" w:eastAsia="Times New Roman" w:hAnsi="Calibri" w:cs="Times New Roman"/>
          <w:color w:val="000000"/>
          <w:lang w:eastAsia="en-IN"/>
        </w:rPr>
        <w:t>program</w:t>
      </w:r>
      <w:r w:rsidRPr="00195206">
        <w:rPr>
          <w:rFonts w:ascii="Calibri" w:eastAsia="Times New Roman" w:hAnsi="Calibri" w:cs="Times New Roman"/>
          <w:color w:val="000000"/>
          <w:lang w:eastAsia="en-IN"/>
        </w:rPr>
        <w:t xml:space="preserve"> approach) for WCA context.</w:t>
      </w:r>
    </w:p>
    <w:p w:rsidR="003F0968" w:rsidRDefault="003F0968" w:rsidP="003F0968">
      <w:pPr>
        <w:tabs>
          <w:tab w:val="left" w:pos="0"/>
        </w:tabs>
        <w:jc w:val="both"/>
        <w:rPr>
          <w:u w:val="single"/>
        </w:rPr>
      </w:pPr>
    </w:p>
    <w:p w:rsidR="005D1093" w:rsidRPr="00195206" w:rsidRDefault="005D1093" w:rsidP="003F0968">
      <w:pPr>
        <w:tabs>
          <w:tab w:val="left" w:pos="0"/>
        </w:tabs>
        <w:jc w:val="both"/>
        <w:rPr>
          <w:rFonts w:ascii="Calibri" w:eastAsia="Times New Roman" w:hAnsi="Calibri" w:cs="Times New Roman"/>
          <w:color w:val="000000"/>
          <w:lang w:eastAsia="en-IN"/>
        </w:rPr>
      </w:pPr>
      <w:r w:rsidRPr="00195206">
        <w:rPr>
          <w:u w:val="single"/>
        </w:rPr>
        <w:t>Methodology:</w:t>
      </w:r>
      <w:r>
        <w:t xml:space="preserve"> </w:t>
      </w:r>
      <w:r w:rsidRPr="00195206">
        <w:rPr>
          <w:rFonts w:ascii="Calibri" w:eastAsia="Times New Roman" w:hAnsi="Calibri" w:cs="Times New Roman"/>
          <w:color w:val="000000"/>
          <w:lang w:eastAsia="en-IN"/>
        </w:rPr>
        <w:t xml:space="preserve">Concept of environmental characterization presented in </w:t>
      </w:r>
      <w:proofErr w:type="spellStart"/>
      <w:r w:rsidRPr="00195206">
        <w:rPr>
          <w:rFonts w:ascii="Calibri" w:eastAsia="Times New Roman" w:hAnsi="Calibri" w:cs="Times New Roman"/>
          <w:color w:val="000000"/>
          <w:lang w:eastAsia="en-IN"/>
        </w:rPr>
        <w:t>Kholova</w:t>
      </w:r>
      <w:proofErr w:type="spellEnd"/>
      <w:r w:rsidRPr="00195206">
        <w:rPr>
          <w:rFonts w:ascii="Calibri" w:eastAsia="Times New Roman" w:hAnsi="Calibri" w:cs="Times New Roman"/>
          <w:color w:val="000000"/>
          <w:lang w:eastAsia="en-IN"/>
        </w:rPr>
        <w:t xml:space="preserve"> et al. 2013 </w:t>
      </w:r>
      <w:r>
        <w:rPr>
          <w:rFonts w:ascii="Calibri" w:eastAsia="Times New Roman" w:hAnsi="Calibri" w:cs="Times New Roman"/>
          <w:color w:val="000000"/>
          <w:lang w:eastAsia="en-IN"/>
        </w:rPr>
        <w:t xml:space="preserve">and </w:t>
      </w:r>
      <w:proofErr w:type="spellStart"/>
      <w:r>
        <w:rPr>
          <w:rFonts w:ascii="Calibri" w:eastAsia="Times New Roman" w:hAnsi="Calibri" w:cs="Times New Roman"/>
          <w:color w:val="000000"/>
          <w:lang w:eastAsia="en-IN"/>
        </w:rPr>
        <w:t>Kholova</w:t>
      </w:r>
      <w:proofErr w:type="spellEnd"/>
      <w:r>
        <w:rPr>
          <w:rFonts w:ascii="Calibri" w:eastAsia="Times New Roman" w:hAnsi="Calibri" w:cs="Times New Roman"/>
          <w:color w:val="000000"/>
          <w:lang w:eastAsia="en-IN"/>
        </w:rPr>
        <w:t xml:space="preserve"> et al. 2014</w:t>
      </w:r>
      <w:r w:rsidRPr="00195206">
        <w:rPr>
          <w:rFonts w:ascii="Calibri" w:eastAsia="Times New Roman" w:hAnsi="Calibri" w:cs="Times New Roman"/>
          <w:color w:val="000000"/>
          <w:lang w:eastAsia="en-IN"/>
        </w:rPr>
        <w:t xml:space="preserve"> is being applied for WCA.</w:t>
      </w:r>
    </w:p>
    <w:p w:rsidR="003F0968" w:rsidRDefault="003F0968" w:rsidP="003F0968">
      <w:pPr>
        <w:tabs>
          <w:tab w:val="left" w:pos="0"/>
        </w:tabs>
        <w:jc w:val="both"/>
        <w:rPr>
          <w:u w:val="single"/>
        </w:rPr>
      </w:pPr>
    </w:p>
    <w:p w:rsidR="005D1093" w:rsidRDefault="005D1093" w:rsidP="003F0968">
      <w:pPr>
        <w:tabs>
          <w:tab w:val="left" w:pos="0"/>
        </w:tabs>
        <w:jc w:val="both"/>
        <w:rPr>
          <w:rFonts w:ascii="Calibri" w:eastAsia="Times New Roman" w:hAnsi="Calibri" w:cs="Times New Roman"/>
          <w:color w:val="000000"/>
          <w:lang w:eastAsia="en-IN"/>
        </w:rPr>
      </w:pPr>
      <w:r w:rsidRPr="00195206">
        <w:rPr>
          <w:u w:val="single"/>
        </w:rPr>
        <w:t>Results and discussion:</w:t>
      </w:r>
      <w:r>
        <w:t xml:space="preserve"> Complete set of </w:t>
      </w:r>
      <w:r w:rsidRPr="00195206">
        <w:rPr>
          <w:rFonts w:ascii="Calibri" w:eastAsia="Times New Roman" w:hAnsi="Calibri" w:cs="Times New Roman"/>
          <w:color w:val="000000"/>
          <w:lang w:eastAsia="en-IN"/>
        </w:rPr>
        <w:t>representative soil (WISE database</w:t>
      </w:r>
      <w:proofErr w:type="gramStart"/>
      <w:r w:rsidRPr="00195206">
        <w:rPr>
          <w:rFonts w:ascii="Calibri" w:eastAsia="Times New Roman" w:hAnsi="Calibri" w:cs="Times New Roman"/>
          <w:color w:val="000000"/>
          <w:lang w:eastAsia="en-IN"/>
        </w:rPr>
        <w:t>)&amp;</w:t>
      </w:r>
      <w:proofErr w:type="gramEnd"/>
      <w:r w:rsidRPr="00195206">
        <w:rPr>
          <w:rFonts w:ascii="Calibri" w:eastAsia="Times New Roman" w:hAnsi="Calibri" w:cs="Times New Roman"/>
          <w:color w:val="000000"/>
          <w:lang w:eastAsia="en-IN"/>
        </w:rPr>
        <w:t xml:space="preserve">weather (from P. </w:t>
      </w:r>
      <w:proofErr w:type="spellStart"/>
      <w:r w:rsidRPr="00195206">
        <w:rPr>
          <w:rFonts w:ascii="Calibri" w:eastAsia="Times New Roman" w:hAnsi="Calibri" w:cs="Times New Roman"/>
          <w:color w:val="000000"/>
          <w:lang w:eastAsia="en-IN"/>
        </w:rPr>
        <w:t>Sibiry’s</w:t>
      </w:r>
      <w:proofErr w:type="spellEnd"/>
      <w:r w:rsidRPr="00195206">
        <w:rPr>
          <w:rFonts w:ascii="Calibri" w:eastAsia="Times New Roman" w:hAnsi="Calibri" w:cs="Times New Roman"/>
          <w:color w:val="000000"/>
          <w:lang w:eastAsia="en-IN"/>
        </w:rPr>
        <w:t xml:space="preserve"> repository-ICRISAT Mali) data for Mali have been gathered and their quality checked. Previous reports (Benoit </w:t>
      </w:r>
      <w:proofErr w:type="spellStart"/>
      <w:r w:rsidRPr="00195206">
        <w:rPr>
          <w:rFonts w:ascii="Calibri" w:eastAsia="Times New Roman" w:hAnsi="Calibri" w:cs="Times New Roman"/>
          <w:color w:val="000000"/>
          <w:lang w:eastAsia="en-IN"/>
        </w:rPr>
        <w:t>Clerget</w:t>
      </w:r>
      <w:proofErr w:type="spellEnd"/>
      <w:r w:rsidRPr="00195206">
        <w:rPr>
          <w:rFonts w:ascii="Calibri" w:eastAsia="Times New Roman" w:hAnsi="Calibri" w:cs="Times New Roman"/>
          <w:color w:val="000000"/>
          <w:lang w:eastAsia="en-IN"/>
        </w:rPr>
        <w:t xml:space="preserve"> – </w:t>
      </w:r>
      <w:proofErr w:type="spellStart"/>
      <w:r w:rsidRPr="00195206">
        <w:rPr>
          <w:rFonts w:ascii="Calibri" w:eastAsia="Times New Roman" w:hAnsi="Calibri" w:cs="Times New Roman"/>
          <w:color w:val="000000"/>
          <w:lang w:eastAsia="en-IN"/>
        </w:rPr>
        <w:t>sorghum&amp;millet</w:t>
      </w:r>
      <w:proofErr w:type="spellEnd"/>
      <w:r w:rsidRPr="00195206">
        <w:rPr>
          <w:rFonts w:ascii="Calibri" w:eastAsia="Times New Roman" w:hAnsi="Calibri" w:cs="Times New Roman"/>
          <w:color w:val="000000"/>
          <w:lang w:eastAsia="en-IN"/>
        </w:rPr>
        <w:t xml:space="preserve"> reports ICRISAT-CIRAD, </w:t>
      </w:r>
      <w:proofErr w:type="spellStart"/>
      <w:r w:rsidRPr="00195206">
        <w:rPr>
          <w:rFonts w:ascii="Calibri" w:eastAsia="Times New Roman" w:hAnsi="Calibri" w:cs="Times New Roman"/>
          <w:color w:val="000000"/>
          <w:lang w:eastAsia="en-IN"/>
        </w:rPr>
        <w:t>Mali&amp;Senegal</w:t>
      </w:r>
      <w:proofErr w:type="spellEnd"/>
      <w:r w:rsidRPr="00195206">
        <w:rPr>
          <w:rFonts w:ascii="Calibri" w:eastAsia="Times New Roman" w:hAnsi="Calibri" w:cs="Times New Roman"/>
          <w:color w:val="000000"/>
          <w:lang w:eastAsia="en-IN"/>
        </w:rPr>
        <w:t xml:space="preserve"> 2000-2008) have been used to calculate main APSIM coefficients to mimic the growth of popular WCA sorghum types (Sariaso10, CSM335, IRAT174, CSM63E, </w:t>
      </w:r>
      <w:proofErr w:type="spellStart"/>
      <w:r w:rsidRPr="00195206">
        <w:rPr>
          <w:rFonts w:ascii="Calibri" w:eastAsia="Times New Roman" w:hAnsi="Calibri" w:cs="Times New Roman"/>
          <w:color w:val="000000"/>
          <w:lang w:eastAsia="en-IN"/>
        </w:rPr>
        <w:t>Lata</w:t>
      </w:r>
      <w:proofErr w:type="spellEnd"/>
      <w:r w:rsidRPr="00195206">
        <w:rPr>
          <w:rFonts w:ascii="Calibri" w:eastAsia="Times New Roman" w:hAnsi="Calibri" w:cs="Times New Roman"/>
          <w:color w:val="000000"/>
          <w:lang w:eastAsia="en-IN"/>
        </w:rPr>
        <w:t>, IS15401) with APSIM. These genotypes have not been calibrated since far. The biomass distribution and canopy parameterization was satisfying for genotypes</w:t>
      </w:r>
      <w:r w:rsidRPr="00195206">
        <w:rPr>
          <w:sz w:val="24"/>
          <w:szCs w:val="24"/>
        </w:rPr>
        <w:t xml:space="preserve"> </w:t>
      </w:r>
      <w:r w:rsidRPr="00195206">
        <w:rPr>
          <w:rFonts w:ascii="Calibri" w:eastAsia="Times New Roman" w:hAnsi="Calibri" w:cs="Times New Roman"/>
          <w:color w:val="000000"/>
          <w:lang w:eastAsia="en-IN"/>
        </w:rPr>
        <w:t xml:space="preserve">Sariaso10, CSM335, IRAT174, CSM63E, </w:t>
      </w:r>
      <w:proofErr w:type="spellStart"/>
      <w:proofErr w:type="gramStart"/>
      <w:r w:rsidRPr="00195206">
        <w:rPr>
          <w:rFonts w:ascii="Calibri" w:eastAsia="Times New Roman" w:hAnsi="Calibri" w:cs="Times New Roman"/>
          <w:color w:val="000000"/>
          <w:lang w:eastAsia="en-IN"/>
        </w:rPr>
        <w:t>Lata</w:t>
      </w:r>
      <w:proofErr w:type="spellEnd"/>
      <w:proofErr w:type="gramEnd"/>
      <w:r w:rsidRPr="00195206">
        <w:rPr>
          <w:rFonts w:ascii="Calibri" w:eastAsia="Times New Roman" w:hAnsi="Calibri" w:cs="Times New Roman"/>
          <w:color w:val="000000"/>
          <w:lang w:eastAsia="en-IN"/>
        </w:rPr>
        <w:t>. To reliably parameterize important photoperiod sensitive plant types (e.g. CSM335) the APSIM code had to be modified to simulate canopy based on individual leaf approach</w:t>
      </w:r>
      <w:r>
        <w:rPr>
          <w:rFonts w:ascii="Calibri" w:eastAsia="Times New Roman" w:hAnsi="Calibri" w:cs="Times New Roman"/>
          <w:color w:val="000000"/>
          <w:lang w:eastAsia="en-IN"/>
        </w:rPr>
        <w:t xml:space="preserve"> (Fig 1 a, b)</w:t>
      </w:r>
      <w:r w:rsidRPr="00195206">
        <w:rPr>
          <w:rFonts w:ascii="Calibri" w:eastAsia="Times New Roman" w:hAnsi="Calibri" w:cs="Times New Roman"/>
          <w:color w:val="000000"/>
          <w:lang w:eastAsia="en-IN"/>
        </w:rPr>
        <w:t>. Parameterization for photoperiod sensitivity is one of the key adaptations for WCA sorghum and needs to be done utmost sensibly</w:t>
      </w:r>
      <w:r>
        <w:rPr>
          <w:rFonts w:ascii="Calibri" w:eastAsia="Times New Roman" w:hAnsi="Calibri" w:cs="Times New Roman"/>
          <w:color w:val="000000"/>
          <w:lang w:eastAsia="en-IN"/>
        </w:rPr>
        <w:t xml:space="preserve"> and is now reliably resolved. </w:t>
      </w:r>
      <w:r w:rsidRPr="00195206">
        <w:rPr>
          <w:rFonts w:ascii="Calibri" w:eastAsia="Times New Roman" w:hAnsi="Calibri" w:cs="Times New Roman"/>
          <w:color w:val="000000"/>
          <w:lang w:eastAsia="en-IN"/>
        </w:rPr>
        <w:t xml:space="preserve">Another problem occurred while simulating extremely long duration sorghum type (IS15401) where leaf area simulation was not supported by any existing algorithms. With the help of partners we constructed the equations which </w:t>
      </w:r>
      <w:r>
        <w:rPr>
          <w:rFonts w:ascii="Calibri" w:eastAsia="Times New Roman" w:hAnsi="Calibri" w:cs="Times New Roman"/>
          <w:color w:val="000000"/>
          <w:lang w:eastAsia="en-IN"/>
        </w:rPr>
        <w:t>have been recently coded</w:t>
      </w:r>
      <w:r w:rsidRPr="00195206">
        <w:rPr>
          <w:rFonts w:ascii="Calibri" w:eastAsia="Times New Roman" w:hAnsi="Calibri" w:cs="Times New Roman"/>
          <w:color w:val="000000"/>
          <w:lang w:eastAsia="en-IN"/>
        </w:rPr>
        <w:t xml:space="preserve"> </w:t>
      </w:r>
      <w:r>
        <w:rPr>
          <w:rFonts w:ascii="Calibri" w:eastAsia="Times New Roman" w:hAnsi="Calibri" w:cs="Times New Roman"/>
          <w:color w:val="000000"/>
          <w:lang w:eastAsia="en-IN"/>
        </w:rPr>
        <w:t>within</w:t>
      </w:r>
      <w:r w:rsidRPr="00195206">
        <w:rPr>
          <w:rFonts w:ascii="Calibri" w:eastAsia="Times New Roman" w:hAnsi="Calibri" w:cs="Times New Roman"/>
          <w:color w:val="000000"/>
          <w:lang w:eastAsia="en-IN"/>
        </w:rPr>
        <w:t xml:space="preserve"> APSIM </w:t>
      </w:r>
      <w:r>
        <w:rPr>
          <w:rFonts w:ascii="Calibri" w:eastAsia="Times New Roman" w:hAnsi="Calibri" w:cs="Times New Roman"/>
          <w:color w:val="000000"/>
          <w:lang w:eastAsia="en-IN"/>
        </w:rPr>
        <w:t>framework</w:t>
      </w:r>
      <w:r w:rsidRPr="00195206">
        <w:rPr>
          <w:rFonts w:ascii="Calibri" w:eastAsia="Times New Roman" w:hAnsi="Calibri" w:cs="Times New Roman"/>
          <w:color w:val="000000"/>
          <w:lang w:eastAsia="en-IN"/>
        </w:rPr>
        <w:t xml:space="preserve"> </w:t>
      </w:r>
      <w:r>
        <w:rPr>
          <w:rFonts w:ascii="Calibri" w:eastAsia="Times New Roman" w:hAnsi="Calibri" w:cs="Times New Roman"/>
          <w:color w:val="000000"/>
          <w:lang w:eastAsia="en-IN"/>
        </w:rPr>
        <w:t>and the prototype will be evaluated shortly</w:t>
      </w:r>
      <w:r w:rsidRPr="00195206">
        <w:rPr>
          <w:rFonts w:ascii="Calibri" w:eastAsia="Times New Roman" w:hAnsi="Calibri" w:cs="Times New Roman"/>
          <w:color w:val="000000"/>
          <w:lang w:eastAsia="en-IN"/>
        </w:rPr>
        <w:t xml:space="preserve"> (Fig </w:t>
      </w:r>
      <w:r>
        <w:rPr>
          <w:rFonts w:ascii="Calibri" w:eastAsia="Times New Roman" w:hAnsi="Calibri" w:cs="Times New Roman"/>
          <w:color w:val="000000"/>
          <w:lang w:eastAsia="en-IN"/>
        </w:rPr>
        <w:t xml:space="preserve">1a, </w:t>
      </w:r>
      <w:r w:rsidRPr="00195206">
        <w:rPr>
          <w:rFonts w:ascii="Calibri" w:eastAsia="Times New Roman" w:hAnsi="Calibri" w:cs="Times New Roman"/>
          <w:color w:val="000000"/>
          <w:lang w:eastAsia="en-IN"/>
        </w:rPr>
        <w:t xml:space="preserve">b). </w:t>
      </w:r>
      <w:r>
        <w:rPr>
          <w:rFonts w:ascii="Calibri" w:eastAsia="Times New Roman" w:hAnsi="Calibri" w:cs="Times New Roman"/>
          <w:color w:val="000000"/>
          <w:lang w:eastAsia="en-IN"/>
        </w:rPr>
        <w:t>Now,</w:t>
      </w:r>
      <w:r w:rsidRPr="00854782">
        <w:rPr>
          <w:rFonts w:ascii="Calibri" w:eastAsia="Times New Roman" w:hAnsi="Calibri" w:cs="Times New Roman"/>
          <w:color w:val="000000"/>
          <w:lang w:eastAsia="en-IN"/>
        </w:rPr>
        <w:t xml:space="preserve"> PhD student from Mali (</w:t>
      </w:r>
      <w:proofErr w:type="spellStart"/>
      <w:r w:rsidRPr="00854782">
        <w:rPr>
          <w:rFonts w:ascii="Calibri" w:eastAsia="Times New Roman" w:hAnsi="Calibri" w:cs="Times New Roman"/>
          <w:color w:val="000000"/>
          <w:lang w:eastAsia="en-IN"/>
        </w:rPr>
        <w:t>Madina</w:t>
      </w:r>
      <w:proofErr w:type="spellEnd"/>
      <w:r w:rsidRPr="00854782">
        <w:rPr>
          <w:rFonts w:ascii="Calibri" w:eastAsia="Times New Roman" w:hAnsi="Calibri" w:cs="Times New Roman"/>
          <w:color w:val="000000"/>
          <w:lang w:eastAsia="en-IN"/>
        </w:rPr>
        <w:t xml:space="preserve"> </w:t>
      </w:r>
      <w:proofErr w:type="spellStart"/>
      <w:r w:rsidRPr="00854782">
        <w:rPr>
          <w:rFonts w:ascii="Calibri" w:eastAsia="Times New Roman" w:hAnsi="Calibri" w:cs="Times New Roman"/>
          <w:color w:val="000000"/>
          <w:lang w:eastAsia="en-IN"/>
        </w:rPr>
        <w:t>Diancoumba</w:t>
      </w:r>
      <w:proofErr w:type="spellEnd"/>
      <w:r w:rsidRPr="00854782">
        <w:rPr>
          <w:rFonts w:ascii="Calibri" w:eastAsia="Times New Roman" w:hAnsi="Calibri" w:cs="Times New Roman"/>
          <w:color w:val="000000"/>
          <w:lang w:eastAsia="en-IN"/>
        </w:rPr>
        <w:t xml:space="preserve">) </w:t>
      </w:r>
      <w:r>
        <w:rPr>
          <w:rFonts w:ascii="Calibri" w:eastAsia="Times New Roman" w:hAnsi="Calibri" w:cs="Times New Roman"/>
          <w:color w:val="000000"/>
          <w:lang w:eastAsia="en-IN"/>
        </w:rPr>
        <w:t>is at</w:t>
      </w:r>
      <w:r w:rsidRPr="00854782">
        <w:rPr>
          <w:rFonts w:ascii="Calibri" w:eastAsia="Times New Roman" w:hAnsi="Calibri" w:cs="Times New Roman"/>
          <w:color w:val="000000"/>
          <w:lang w:eastAsia="en-IN"/>
        </w:rPr>
        <w:t xml:space="preserve"> ICRISAT headquarters to continue </w:t>
      </w:r>
      <w:r>
        <w:rPr>
          <w:rFonts w:ascii="Calibri" w:eastAsia="Times New Roman" w:hAnsi="Calibri" w:cs="Times New Roman"/>
          <w:color w:val="000000"/>
          <w:lang w:eastAsia="en-IN"/>
        </w:rPr>
        <w:t>work on the MS-</w:t>
      </w:r>
      <w:proofErr w:type="spellStart"/>
      <w:r w:rsidRPr="00854782">
        <w:rPr>
          <w:rFonts w:ascii="Calibri" w:eastAsia="Times New Roman" w:hAnsi="Calibri" w:cs="Times New Roman"/>
          <w:color w:val="000000"/>
          <w:lang w:eastAsia="en-IN"/>
        </w:rPr>
        <w:t>Envirotyping</w:t>
      </w:r>
      <w:proofErr w:type="spellEnd"/>
      <w:r>
        <w:rPr>
          <w:rFonts w:ascii="Calibri" w:eastAsia="Times New Roman" w:hAnsi="Calibri" w:cs="Times New Roman"/>
          <w:color w:val="000000"/>
          <w:lang w:eastAsia="en-IN"/>
        </w:rPr>
        <w:t xml:space="preserve"> for Mali (example on Fig. 2a</w:t>
      </w:r>
      <w:proofErr w:type="gramStart"/>
      <w:r>
        <w:rPr>
          <w:rFonts w:ascii="Calibri" w:eastAsia="Times New Roman" w:hAnsi="Calibri" w:cs="Times New Roman"/>
          <w:color w:val="000000"/>
          <w:lang w:eastAsia="en-IN"/>
        </w:rPr>
        <w:t>,b</w:t>
      </w:r>
      <w:proofErr w:type="gramEnd"/>
      <w:r>
        <w:rPr>
          <w:rFonts w:ascii="Calibri" w:eastAsia="Times New Roman" w:hAnsi="Calibri" w:cs="Times New Roman"/>
          <w:color w:val="000000"/>
          <w:lang w:eastAsia="en-IN"/>
        </w:rPr>
        <w:t xml:space="preserve">) and help with evaluation of new algorithms </w:t>
      </w:r>
      <w:r w:rsidRPr="00854782">
        <w:rPr>
          <w:rFonts w:ascii="Calibri" w:eastAsia="Times New Roman" w:hAnsi="Calibri" w:cs="Times New Roman"/>
          <w:color w:val="000000"/>
          <w:lang w:eastAsia="en-IN"/>
        </w:rPr>
        <w:t>under crop-physiology team guidance</w:t>
      </w:r>
      <w:r>
        <w:rPr>
          <w:rFonts w:ascii="Calibri" w:eastAsia="Times New Roman" w:hAnsi="Calibri" w:cs="Times New Roman"/>
          <w:color w:val="000000"/>
          <w:lang w:eastAsia="en-IN"/>
        </w:rPr>
        <w:t xml:space="preserve"> with up-to-date available tools</w:t>
      </w:r>
      <w:r w:rsidRPr="00854782">
        <w:rPr>
          <w:rFonts w:ascii="Calibri" w:eastAsia="Times New Roman" w:hAnsi="Calibri" w:cs="Times New Roman"/>
          <w:color w:val="000000"/>
          <w:lang w:eastAsia="en-IN"/>
        </w:rPr>
        <w:t xml:space="preserve">. </w:t>
      </w:r>
    </w:p>
    <w:p w:rsidR="003F0968" w:rsidRDefault="003F0968" w:rsidP="003F0968">
      <w:pPr>
        <w:tabs>
          <w:tab w:val="left" w:pos="0"/>
        </w:tabs>
        <w:jc w:val="both"/>
        <w:rPr>
          <w:rFonts w:ascii="Calibri" w:eastAsia="Times New Roman" w:hAnsi="Calibri" w:cs="Times New Roman"/>
          <w:color w:val="000000"/>
          <w:lang w:eastAsia="en-IN"/>
        </w:rPr>
      </w:pPr>
    </w:p>
    <w:p w:rsidR="005D1093" w:rsidRDefault="005D1093" w:rsidP="003F0968">
      <w:pPr>
        <w:tabs>
          <w:tab w:val="left" w:pos="0"/>
        </w:tabs>
        <w:jc w:val="center"/>
        <w:rPr>
          <w:rFonts w:ascii="Calibri" w:eastAsia="Times New Roman" w:hAnsi="Calibri" w:cs="Times New Roman"/>
          <w:color w:val="000000"/>
          <w:lang w:eastAsia="en-IN"/>
        </w:rPr>
      </w:pPr>
      <w:r>
        <w:rPr>
          <w:noProof/>
        </w:rPr>
        <w:lastRenderedPageBreak/>
        <w:drawing>
          <wp:inline distT="0" distB="0" distL="0" distR="0" wp14:anchorId="079A7CC8" wp14:editId="4CB1C4CB">
            <wp:extent cx="3131389" cy="1854680"/>
            <wp:effectExtent l="0" t="0" r="12065" b="127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noProof/>
        </w:rPr>
        <w:drawing>
          <wp:inline distT="0" distB="0" distL="0" distR="0" wp14:anchorId="5AD78C2B" wp14:editId="1A292118">
            <wp:extent cx="3183147" cy="1880558"/>
            <wp:effectExtent l="0" t="0" r="17780" b="2476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D1093" w:rsidRPr="00195206" w:rsidRDefault="005D1093" w:rsidP="003F0968">
      <w:pPr>
        <w:tabs>
          <w:tab w:val="left" w:pos="0"/>
        </w:tabs>
        <w:jc w:val="both"/>
        <w:rPr>
          <w:rFonts w:ascii="Calibri" w:eastAsia="Times New Roman" w:hAnsi="Calibri" w:cs="Times New Roman"/>
          <w:color w:val="000000"/>
          <w:lang w:eastAsia="en-IN"/>
        </w:rPr>
      </w:pPr>
      <w:r w:rsidRPr="00195206">
        <w:rPr>
          <w:rFonts w:ascii="Calibri" w:eastAsia="Times New Roman" w:hAnsi="Calibri" w:cs="Times New Roman"/>
          <w:color w:val="000000"/>
          <w:lang w:eastAsia="en-IN"/>
        </w:rPr>
        <w:t>Fig 1</w:t>
      </w:r>
      <w:r>
        <w:rPr>
          <w:rFonts w:ascii="Calibri" w:eastAsia="Times New Roman" w:hAnsi="Calibri" w:cs="Times New Roman"/>
          <w:color w:val="000000"/>
          <w:lang w:eastAsia="en-IN"/>
        </w:rPr>
        <w:t xml:space="preserve"> </w:t>
      </w:r>
      <w:proofErr w:type="spellStart"/>
      <w:r>
        <w:rPr>
          <w:rFonts w:ascii="Calibri" w:eastAsia="Times New Roman" w:hAnsi="Calibri" w:cs="Times New Roman"/>
          <w:color w:val="000000"/>
          <w:lang w:eastAsia="en-IN"/>
        </w:rPr>
        <w:t>a</w:t>
      </w:r>
      <w:proofErr w:type="gramStart"/>
      <w:r>
        <w:rPr>
          <w:rFonts w:ascii="Calibri" w:eastAsia="Times New Roman" w:hAnsi="Calibri" w:cs="Times New Roman"/>
          <w:color w:val="000000"/>
          <w:lang w:eastAsia="en-IN"/>
        </w:rPr>
        <w:t>,b</w:t>
      </w:r>
      <w:proofErr w:type="spellEnd"/>
      <w:proofErr w:type="gramEnd"/>
      <w:r>
        <w:rPr>
          <w:rFonts w:ascii="Calibri" w:eastAsia="Times New Roman" w:hAnsi="Calibri" w:cs="Times New Roman"/>
          <w:color w:val="000000"/>
          <w:lang w:eastAsia="en-IN"/>
        </w:rPr>
        <w:t xml:space="preserve"> </w:t>
      </w:r>
      <w:r w:rsidRPr="00195206">
        <w:rPr>
          <w:rFonts w:ascii="Calibri" w:eastAsia="Times New Roman" w:hAnsi="Calibri" w:cs="Times New Roman"/>
          <w:color w:val="000000"/>
          <w:lang w:eastAsia="en-IN"/>
        </w:rPr>
        <w:t>. Simulation of individual leaves sizes and new algorithms proposed to simulate</w:t>
      </w:r>
      <w:r>
        <w:rPr>
          <w:rFonts w:ascii="Calibri" w:eastAsia="Times New Roman" w:hAnsi="Calibri" w:cs="Times New Roman"/>
          <w:color w:val="000000"/>
          <w:lang w:eastAsia="en-IN"/>
        </w:rPr>
        <w:t xml:space="preserve"> long cycle</w:t>
      </w:r>
      <w:r w:rsidRPr="00195206">
        <w:rPr>
          <w:rFonts w:ascii="Calibri" w:eastAsia="Times New Roman" w:hAnsi="Calibri" w:cs="Times New Roman"/>
          <w:color w:val="000000"/>
          <w:lang w:eastAsia="en-IN"/>
        </w:rPr>
        <w:t xml:space="preserve"> genotypes </w:t>
      </w:r>
      <w:r>
        <w:rPr>
          <w:rFonts w:ascii="Calibri" w:eastAsia="Times New Roman" w:hAnsi="Calibri" w:cs="Times New Roman"/>
          <w:color w:val="000000"/>
          <w:lang w:eastAsia="en-IN"/>
        </w:rPr>
        <w:t>(</w:t>
      </w:r>
      <w:r w:rsidRPr="00195206">
        <w:rPr>
          <w:rFonts w:ascii="Calibri" w:eastAsia="Times New Roman" w:hAnsi="Calibri" w:cs="Times New Roman"/>
          <w:color w:val="000000"/>
          <w:lang w:eastAsia="en-IN"/>
        </w:rPr>
        <w:t>with leaves No.</w:t>
      </w:r>
      <w:r>
        <w:rPr>
          <w:rFonts w:ascii="Calibri" w:eastAsia="Times New Roman" w:hAnsi="Calibri" w:cs="Times New Roman"/>
          <w:color w:val="000000"/>
          <w:lang w:eastAsia="en-IN"/>
        </w:rPr>
        <w:t>&gt;26).</w:t>
      </w:r>
    </w:p>
    <w:p w:rsidR="005D1093" w:rsidRPr="00195206" w:rsidRDefault="005D1093" w:rsidP="003F0968">
      <w:pPr>
        <w:tabs>
          <w:tab w:val="left" w:pos="0"/>
        </w:tabs>
        <w:jc w:val="both"/>
        <w:rPr>
          <w:rFonts w:ascii="Calibri" w:eastAsia="Times New Roman" w:hAnsi="Calibri" w:cs="Times New Roman"/>
          <w:color w:val="000000"/>
          <w:lang w:eastAsia="en-IN"/>
        </w:rPr>
      </w:pPr>
    </w:p>
    <w:p w:rsidR="005D1093" w:rsidRPr="00195206" w:rsidRDefault="005D1093" w:rsidP="003F0968">
      <w:pPr>
        <w:tabs>
          <w:tab w:val="left" w:pos="0"/>
        </w:tabs>
        <w:jc w:val="both"/>
        <w:rPr>
          <w:rFonts w:ascii="Calibri" w:eastAsia="Times New Roman" w:hAnsi="Calibri" w:cs="Times New Roman"/>
          <w:color w:val="000000"/>
          <w:lang w:eastAsia="en-IN"/>
        </w:rPr>
      </w:pPr>
    </w:p>
    <w:p w:rsidR="005D1093" w:rsidRPr="00195206" w:rsidRDefault="005D1093" w:rsidP="003F0968">
      <w:pPr>
        <w:tabs>
          <w:tab w:val="left" w:pos="0"/>
        </w:tabs>
        <w:jc w:val="both"/>
        <w:rPr>
          <w:rFonts w:ascii="Calibri" w:eastAsia="Times New Roman" w:hAnsi="Calibri" w:cs="Times New Roman"/>
          <w:color w:val="000000"/>
          <w:lang w:eastAsia="en-IN"/>
        </w:rPr>
      </w:pPr>
    </w:p>
    <w:p w:rsidR="003F0968" w:rsidRDefault="005D1093" w:rsidP="003F0968">
      <w:pPr>
        <w:tabs>
          <w:tab w:val="left" w:pos="0"/>
        </w:tabs>
        <w:jc w:val="center"/>
        <w:rPr>
          <w:rFonts w:ascii="Calibri" w:eastAsia="Times New Roman" w:hAnsi="Calibri" w:cs="Times New Roman"/>
          <w:color w:val="000000"/>
          <w:lang w:eastAsia="en-IN"/>
        </w:rPr>
      </w:pPr>
      <w:r w:rsidRPr="00741976">
        <w:rPr>
          <w:rFonts w:ascii="Calibri" w:eastAsia="Times New Roman" w:hAnsi="Calibri" w:cs="Times New Roman"/>
          <w:noProof/>
          <w:color w:val="000000"/>
        </w:rPr>
        <w:drawing>
          <wp:inline distT="0" distB="0" distL="0" distR="0" wp14:anchorId="36E75688" wp14:editId="63EF7DD0">
            <wp:extent cx="3209026" cy="2122098"/>
            <wp:effectExtent l="0" t="0" r="10795" b="1206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F0968" w:rsidRDefault="003F0968" w:rsidP="003F0968">
      <w:pPr>
        <w:tabs>
          <w:tab w:val="left" w:pos="0"/>
        </w:tabs>
        <w:jc w:val="center"/>
        <w:rPr>
          <w:rFonts w:ascii="Calibri" w:eastAsia="Times New Roman" w:hAnsi="Calibri" w:cs="Times New Roman"/>
          <w:color w:val="000000"/>
          <w:lang w:eastAsia="en-IN"/>
        </w:rPr>
      </w:pPr>
      <w:bookmarkStart w:id="0" w:name="_GoBack"/>
      <w:bookmarkEnd w:id="0"/>
    </w:p>
    <w:p w:rsidR="005D1093" w:rsidRDefault="005D1093" w:rsidP="003F0968">
      <w:pPr>
        <w:tabs>
          <w:tab w:val="left" w:pos="0"/>
        </w:tabs>
        <w:jc w:val="center"/>
        <w:rPr>
          <w:rFonts w:ascii="Calibri" w:eastAsia="Times New Roman" w:hAnsi="Calibri" w:cs="Times New Roman"/>
          <w:color w:val="000000"/>
          <w:lang w:eastAsia="en-IN"/>
        </w:rPr>
      </w:pPr>
      <w:r w:rsidRPr="00741976">
        <w:rPr>
          <w:rFonts w:ascii="Calibri" w:eastAsia="Times New Roman" w:hAnsi="Calibri" w:cs="Times New Roman"/>
          <w:noProof/>
          <w:color w:val="000000"/>
        </w:rPr>
        <w:lastRenderedPageBreak/>
        <w:drawing>
          <wp:inline distT="0" distB="0" distL="0" distR="0" wp14:anchorId="75BA8FAB" wp14:editId="11267DAC">
            <wp:extent cx="3122762" cy="2113471"/>
            <wp:effectExtent l="0" t="0" r="20955" b="2032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D1093" w:rsidRDefault="005D1093" w:rsidP="003F0968">
      <w:pPr>
        <w:tabs>
          <w:tab w:val="left" w:pos="0"/>
        </w:tabs>
        <w:jc w:val="both"/>
        <w:rPr>
          <w:rFonts w:ascii="Calibri" w:eastAsia="Times New Roman" w:hAnsi="Calibri" w:cs="Times New Roman"/>
          <w:color w:val="000000"/>
          <w:lang w:eastAsia="en-IN"/>
        </w:rPr>
      </w:pPr>
      <w:r>
        <w:rPr>
          <w:rFonts w:ascii="Calibri" w:eastAsia="Times New Roman" w:hAnsi="Calibri" w:cs="Times New Roman"/>
          <w:color w:val="000000"/>
          <w:lang w:eastAsia="en-IN"/>
        </w:rPr>
        <w:t xml:space="preserve">Figure 2 </w:t>
      </w:r>
      <w:proofErr w:type="spellStart"/>
      <w:r>
        <w:rPr>
          <w:rFonts w:ascii="Calibri" w:eastAsia="Times New Roman" w:hAnsi="Calibri" w:cs="Times New Roman"/>
          <w:color w:val="000000"/>
          <w:lang w:eastAsia="en-IN"/>
        </w:rPr>
        <w:t>a</w:t>
      </w:r>
      <w:proofErr w:type="gramStart"/>
      <w:r>
        <w:rPr>
          <w:rFonts w:ascii="Calibri" w:eastAsia="Times New Roman" w:hAnsi="Calibri" w:cs="Times New Roman"/>
          <w:color w:val="000000"/>
          <w:lang w:eastAsia="en-IN"/>
        </w:rPr>
        <w:t>,b</w:t>
      </w:r>
      <w:proofErr w:type="spellEnd"/>
      <w:proofErr w:type="gramEnd"/>
      <w:r>
        <w:rPr>
          <w:rFonts w:ascii="Calibri" w:eastAsia="Times New Roman" w:hAnsi="Calibri" w:cs="Times New Roman"/>
          <w:color w:val="000000"/>
          <w:lang w:eastAsia="en-IN"/>
        </w:rPr>
        <w:t>. Examples of water stress scenarios experienced by two common plant types grown in Mali.</w:t>
      </w:r>
    </w:p>
    <w:p w:rsidR="005D1093" w:rsidRPr="00195206" w:rsidRDefault="005D1093" w:rsidP="003F0968">
      <w:pPr>
        <w:tabs>
          <w:tab w:val="left" w:pos="0"/>
        </w:tabs>
        <w:jc w:val="both"/>
        <w:rPr>
          <w:rFonts w:ascii="Calibri" w:eastAsia="Times New Roman" w:hAnsi="Calibri" w:cs="Times New Roman"/>
          <w:color w:val="000000"/>
          <w:lang w:eastAsia="en-IN"/>
        </w:rPr>
      </w:pPr>
    </w:p>
    <w:p w:rsidR="005D1093" w:rsidRDefault="005D1093" w:rsidP="003F0968">
      <w:pPr>
        <w:tabs>
          <w:tab w:val="left" w:pos="0"/>
        </w:tabs>
        <w:jc w:val="both"/>
        <w:rPr>
          <w:rFonts w:ascii="Calibri" w:eastAsia="Times New Roman" w:hAnsi="Calibri" w:cs="Times New Roman"/>
          <w:color w:val="000000"/>
          <w:lang w:eastAsia="en-IN"/>
        </w:rPr>
      </w:pPr>
      <w:r w:rsidRPr="00195206">
        <w:rPr>
          <w:u w:val="single"/>
        </w:rPr>
        <w:t>Conclusions:</w:t>
      </w:r>
      <w:r>
        <w:t xml:space="preserve"> </w:t>
      </w:r>
      <w:proofErr w:type="spellStart"/>
      <w:r w:rsidRPr="00195206">
        <w:rPr>
          <w:rFonts w:ascii="Calibri" w:eastAsia="Times New Roman" w:hAnsi="Calibri" w:cs="Times New Roman"/>
          <w:color w:val="000000"/>
          <w:lang w:eastAsia="en-IN"/>
        </w:rPr>
        <w:t>Qualification&amp;quanitification</w:t>
      </w:r>
      <w:proofErr w:type="spellEnd"/>
      <w:r w:rsidRPr="00195206">
        <w:rPr>
          <w:rFonts w:ascii="Calibri" w:eastAsia="Times New Roman" w:hAnsi="Calibri" w:cs="Times New Roman"/>
          <w:color w:val="000000"/>
          <w:lang w:eastAsia="en-IN"/>
        </w:rPr>
        <w:t xml:space="preserve"> of environmental constrains for common crop ecotypes is a necessary starting point to apply principles of the precision agriculture approach. In this step of work, skills for parameterization the photoperiod sensitivity have been developed. The strategy to determine water stress scenarios analysis was developed for Mali.</w:t>
      </w:r>
    </w:p>
    <w:p w:rsidR="003F0968" w:rsidRDefault="003F0968" w:rsidP="003F0968">
      <w:pPr>
        <w:tabs>
          <w:tab w:val="left" w:pos="0"/>
        </w:tabs>
        <w:jc w:val="both"/>
        <w:rPr>
          <w:rFonts w:ascii="Calibri" w:eastAsia="Times New Roman" w:hAnsi="Calibri" w:cs="Times New Roman"/>
          <w:color w:val="000000"/>
          <w:lang w:eastAsia="en-IN"/>
        </w:rPr>
      </w:pPr>
    </w:p>
    <w:p w:rsidR="005D1093" w:rsidRDefault="005D1093" w:rsidP="003F0968">
      <w:pPr>
        <w:pStyle w:val="ListParagraph"/>
        <w:numPr>
          <w:ilvl w:val="0"/>
          <w:numId w:val="2"/>
        </w:numPr>
        <w:tabs>
          <w:tab w:val="left" w:pos="0"/>
        </w:tabs>
        <w:ind w:left="0"/>
        <w:jc w:val="both"/>
        <w:rPr>
          <w:rFonts w:ascii="Calibri" w:eastAsia="Times New Roman" w:hAnsi="Calibri" w:cs="Times New Roman"/>
          <w:color w:val="000000"/>
          <w:lang w:eastAsia="en-IN"/>
        </w:rPr>
      </w:pPr>
      <w:r>
        <w:rPr>
          <w:rFonts w:ascii="Calibri" w:eastAsia="Times New Roman" w:hAnsi="Calibri" w:cs="Times New Roman"/>
          <w:color w:val="000000"/>
          <w:lang w:eastAsia="en-IN"/>
        </w:rPr>
        <w:t>Data available at:</w:t>
      </w:r>
    </w:p>
    <w:p w:rsidR="005D1093" w:rsidRDefault="008858B6" w:rsidP="003F0968">
      <w:pPr>
        <w:pStyle w:val="ListParagraph"/>
        <w:tabs>
          <w:tab w:val="left" w:pos="0"/>
        </w:tabs>
        <w:ind w:left="0"/>
        <w:jc w:val="both"/>
        <w:rPr>
          <w:rStyle w:val="Hyperlink"/>
        </w:rPr>
      </w:pPr>
      <w:hyperlink r:id="rId12" w:history="1">
        <w:r w:rsidR="005D1093">
          <w:rPr>
            <w:rStyle w:val="Hyperlink"/>
          </w:rPr>
          <w:t>http://dataverse.icrisat.org/dvn/dv/CP/faces/study/StudyPage.xhtml?globalId=hdl:11038/10214&amp;studyListingIndex=3_a55f667c8e8dc78b696a0c14eba5</w:t>
        </w:r>
      </w:hyperlink>
    </w:p>
    <w:p w:rsidR="005D1093" w:rsidRPr="0090252A" w:rsidRDefault="005D1093" w:rsidP="003F0968">
      <w:pPr>
        <w:pStyle w:val="ListParagraph"/>
        <w:numPr>
          <w:ilvl w:val="0"/>
          <w:numId w:val="3"/>
        </w:numPr>
        <w:tabs>
          <w:tab w:val="left" w:pos="0"/>
        </w:tabs>
        <w:ind w:left="0"/>
        <w:jc w:val="both"/>
        <w:rPr>
          <w:color w:val="0000FF"/>
          <w:u w:val="single"/>
        </w:rPr>
      </w:pPr>
      <w:r w:rsidRPr="0090252A">
        <w:rPr>
          <w:rFonts w:ascii="Calibri" w:eastAsia="Times New Roman" w:hAnsi="Calibri" w:cs="Times New Roman"/>
          <w:color w:val="000000"/>
          <w:lang w:eastAsia="en-IN"/>
        </w:rPr>
        <w:t xml:space="preserve">Short overview at: </w:t>
      </w:r>
      <w:hyperlink r:id="rId13" w:tgtFrame="_blank" w:history="1">
        <w:r>
          <w:rPr>
            <w:rStyle w:val="Hyperlink"/>
            <w:rFonts w:ascii="Garamond" w:eastAsia="Times New Roman" w:hAnsi="Garamond"/>
          </w:rPr>
          <w:t>http://www.icrisat.org/identifying-climate-smart-sorghum-lines-for-mali/</w:t>
        </w:r>
      </w:hyperlink>
    </w:p>
    <w:p w:rsidR="000D3093" w:rsidRDefault="000D3093" w:rsidP="003F0968">
      <w:pPr>
        <w:tabs>
          <w:tab w:val="left" w:pos="872"/>
        </w:tabs>
      </w:pPr>
    </w:p>
    <w:sectPr w:rsidR="000D3093" w:rsidSect="003F0968">
      <w:headerReference w:type="default" r:id="rId14"/>
      <w:footerReference w:type="default" r:id="rId15"/>
      <w:pgSz w:w="12240" w:h="15840"/>
      <w:pgMar w:top="23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8B6" w:rsidRDefault="008858B6" w:rsidP="003F0968">
      <w:r>
        <w:separator/>
      </w:r>
    </w:p>
  </w:endnote>
  <w:endnote w:type="continuationSeparator" w:id="0">
    <w:p w:rsidR="008858B6" w:rsidRDefault="008858B6" w:rsidP="003F0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2073718"/>
      <w:docPartObj>
        <w:docPartGallery w:val="Page Numbers (Bottom of Page)"/>
        <w:docPartUnique/>
      </w:docPartObj>
    </w:sdtPr>
    <w:sdtEndPr>
      <w:rPr>
        <w:color w:val="7F7F7F" w:themeColor="background1" w:themeShade="7F"/>
        <w:spacing w:val="60"/>
      </w:rPr>
    </w:sdtEndPr>
    <w:sdtContent>
      <w:p w:rsidR="003F0968" w:rsidRDefault="003F096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rsidR="003F0968" w:rsidRDefault="003F09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8B6" w:rsidRDefault="008858B6" w:rsidP="003F0968">
      <w:r>
        <w:separator/>
      </w:r>
    </w:p>
  </w:footnote>
  <w:footnote w:type="continuationSeparator" w:id="0">
    <w:p w:rsidR="008858B6" w:rsidRDefault="008858B6" w:rsidP="003F09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968" w:rsidRDefault="003F0968" w:rsidP="003F0968">
    <w:pPr>
      <w:pStyle w:val="Header"/>
      <w:jc w:val="center"/>
    </w:pPr>
    <w:r>
      <w:rPr>
        <w:rFonts w:ascii="Calibri" w:eastAsia="Calibri" w:hAnsi="Calibri" w:cs="Calibri"/>
        <w:b/>
        <w:bCs/>
        <w:noProof/>
        <w:sz w:val="19"/>
        <w:szCs w:val="19"/>
      </w:rPr>
      <w:drawing>
        <wp:inline distT="0" distB="0" distL="0" distR="0" wp14:anchorId="6E656254" wp14:editId="427A2481">
          <wp:extent cx="1981200" cy="792480"/>
          <wp:effectExtent l="0" t="0" r="0" b="7620"/>
          <wp:docPr id="31" name="Picture 31" descr="C:\Users\ICARDA\Pictures\CGIAR Research Program on Dryland Cereals gree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CARDA\Pictures\CGIAR Research Program on Dryland Cereals green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2246" cy="796898"/>
                  </a:xfrm>
                  <a:prstGeom prst="rect">
                    <a:avLst/>
                  </a:prstGeom>
                  <a:noFill/>
                  <a:ln>
                    <a:noFill/>
                  </a:ln>
                </pic:spPr>
              </pic:pic>
            </a:graphicData>
          </a:graphic>
        </wp:inline>
      </w:drawing>
    </w:r>
    <w:r>
      <w:rPr>
        <w:rFonts w:ascii="Calibri" w:eastAsia="Calibri" w:hAnsi="Calibri" w:cs="Calibri"/>
        <w:b/>
        <w:bCs/>
        <w:noProof/>
        <w:sz w:val="19"/>
        <w:szCs w:val="19"/>
      </w:rPr>
      <w:drawing>
        <wp:inline distT="0" distB="0" distL="0" distR="0" wp14:anchorId="0F502A3D" wp14:editId="11712E9E">
          <wp:extent cx="1744980" cy="785942"/>
          <wp:effectExtent l="0" t="0" r="7620" b="0"/>
          <wp:docPr id="32" name="Picture 32" descr="C:\Users\ICARDA\Pictures\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CARDA\Pictures\Capture.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9578" cy="8015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410C77"/>
    <w:multiLevelType w:val="hybridMultilevel"/>
    <w:tmpl w:val="AE64CB4E"/>
    <w:lvl w:ilvl="0" w:tplc="04090001">
      <w:start w:val="1"/>
      <w:numFmt w:val="bullet"/>
      <w:lvlText w:val=""/>
      <w:lvlJc w:val="left"/>
      <w:pPr>
        <w:ind w:left="871" w:hanging="360"/>
      </w:pPr>
      <w:rPr>
        <w:rFonts w:ascii="Symbol" w:hAnsi="Symbol" w:hint="default"/>
      </w:rPr>
    </w:lvl>
    <w:lvl w:ilvl="1" w:tplc="04090003" w:tentative="1">
      <w:start w:val="1"/>
      <w:numFmt w:val="bullet"/>
      <w:lvlText w:val="o"/>
      <w:lvlJc w:val="left"/>
      <w:pPr>
        <w:ind w:left="1591" w:hanging="360"/>
      </w:pPr>
      <w:rPr>
        <w:rFonts w:ascii="Courier New" w:hAnsi="Courier New" w:cs="Courier New" w:hint="default"/>
      </w:rPr>
    </w:lvl>
    <w:lvl w:ilvl="2" w:tplc="04090005" w:tentative="1">
      <w:start w:val="1"/>
      <w:numFmt w:val="bullet"/>
      <w:lvlText w:val=""/>
      <w:lvlJc w:val="left"/>
      <w:pPr>
        <w:ind w:left="2311" w:hanging="360"/>
      </w:pPr>
      <w:rPr>
        <w:rFonts w:ascii="Wingdings" w:hAnsi="Wingdings" w:hint="default"/>
      </w:rPr>
    </w:lvl>
    <w:lvl w:ilvl="3" w:tplc="04090001" w:tentative="1">
      <w:start w:val="1"/>
      <w:numFmt w:val="bullet"/>
      <w:lvlText w:val=""/>
      <w:lvlJc w:val="left"/>
      <w:pPr>
        <w:ind w:left="3031" w:hanging="360"/>
      </w:pPr>
      <w:rPr>
        <w:rFonts w:ascii="Symbol" w:hAnsi="Symbol" w:hint="default"/>
      </w:rPr>
    </w:lvl>
    <w:lvl w:ilvl="4" w:tplc="04090003" w:tentative="1">
      <w:start w:val="1"/>
      <w:numFmt w:val="bullet"/>
      <w:lvlText w:val="o"/>
      <w:lvlJc w:val="left"/>
      <w:pPr>
        <w:ind w:left="3751" w:hanging="360"/>
      </w:pPr>
      <w:rPr>
        <w:rFonts w:ascii="Courier New" w:hAnsi="Courier New" w:cs="Courier New" w:hint="default"/>
      </w:rPr>
    </w:lvl>
    <w:lvl w:ilvl="5" w:tplc="04090005" w:tentative="1">
      <w:start w:val="1"/>
      <w:numFmt w:val="bullet"/>
      <w:lvlText w:val=""/>
      <w:lvlJc w:val="left"/>
      <w:pPr>
        <w:ind w:left="4471" w:hanging="360"/>
      </w:pPr>
      <w:rPr>
        <w:rFonts w:ascii="Wingdings" w:hAnsi="Wingdings" w:hint="default"/>
      </w:rPr>
    </w:lvl>
    <w:lvl w:ilvl="6" w:tplc="04090001" w:tentative="1">
      <w:start w:val="1"/>
      <w:numFmt w:val="bullet"/>
      <w:lvlText w:val=""/>
      <w:lvlJc w:val="left"/>
      <w:pPr>
        <w:ind w:left="5191" w:hanging="360"/>
      </w:pPr>
      <w:rPr>
        <w:rFonts w:ascii="Symbol" w:hAnsi="Symbol" w:hint="default"/>
      </w:rPr>
    </w:lvl>
    <w:lvl w:ilvl="7" w:tplc="04090003" w:tentative="1">
      <w:start w:val="1"/>
      <w:numFmt w:val="bullet"/>
      <w:lvlText w:val="o"/>
      <w:lvlJc w:val="left"/>
      <w:pPr>
        <w:ind w:left="5911" w:hanging="360"/>
      </w:pPr>
      <w:rPr>
        <w:rFonts w:ascii="Courier New" w:hAnsi="Courier New" w:cs="Courier New" w:hint="default"/>
      </w:rPr>
    </w:lvl>
    <w:lvl w:ilvl="8" w:tplc="04090005" w:tentative="1">
      <w:start w:val="1"/>
      <w:numFmt w:val="bullet"/>
      <w:lvlText w:val=""/>
      <w:lvlJc w:val="left"/>
      <w:pPr>
        <w:ind w:left="6631" w:hanging="360"/>
      </w:pPr>
      <w:rPr>
        <w:rFonts w:ascii="Wingdings" w:hAnsi="Wingdings" w:hint="default"/>
      </w:rPr>
    </w:lvl>
  </w:abstractNum>
  <w:abstractNum w:abstractNumId="1" w15:restartNumberingAfterBreak="0">
    <w:nsid w:val="6E561860"/>
    <w:multiLevelType w:val="hybridMultilevel"/>
    <w:tmpl w:val="C0A614AA"/>
    <w:lvl w:ilvl="0" w:tplc="40090001">
      <w:start w:val="1"/>
      <w:numFmt w:val="bullet"/>
      <w:lvlText w:val=""/>
      <w:lvlJc w:val="left"/>
      <w:pPr>
        <w:ind w:left="151" w:hanging="360"/>
      </w:pPr>
      <w:rPr>
        <w:rFonts w:ascii="Symbol" w:hAnsi="Symbol" w:hint="default"/>
      </w:rPr>
    </w:lvl>
    <w:lvl w:ilvl="1" w:tplc="40090003" w:tentative="1">
      <w:start w:val="1"/>
      <w:numFmt w:val="bullet"/>
      <w:lvlText w:val="o"/>
      <w:lvlJc w:val="left"/>
      <w:pPr>
        <w:ind w:left="871" w:hanging="360"/>
      </w:pPr>
      <w:rPr>
        <w:rFonts w:ascii="Courier New" w:hAnsi="Courier New" w:cs="Courier New" w:hint="default"/>
      </w:rPr>
    </w:lvl>
    <w:lvl w:ilvl="2" w:tplc="40090005" w:tentative="1">
      <w:start w:val="1"/>
      <w:numFmt w:val="bullet"/>
      <w:lvlText w:val=""/>
      <w:lvlJc w:val="left"/>
      <w:pPr>
        <w:ind w:left="1591" w:hanging="360"/>
      </w:pPr>
      <w:rPr>
        <w:rFonts w:ascii="Wingdings" w:hAnsi="Wingdings" w:hint="default"/>
      </w:rPr>
    </w:lvl>
    <w:lvl w:ilvl="3" w:tplc="40090001" w:tentative="1">
      <w:start w:val="1"/>
      <w:numFmt w:val="bullet"/>
      <w:lvlText w:val=""/>
      <w:lvlJc w:val="left"/>
      <w:pPr>
        <w:ind w:left="2311" w:hanging="360"/>
      </w:pPr>
      <w:rPr>
        <w:rFonts w:ascii="Symbol" w:hAnsi="Symbol" w:hint="default"/>
      </w:rPr>
    </w:lvl>
    <w:lvl w:ilvl="4" w:tplc="40090003" w:tentative="1">
      <w:start w:val="1"/>
      <w:numFmt w:val="bullet"/>
      <w:lvlText w:val="o"/>
      <w:lvlJc w:val="left"/>
      <w:pPr>
        <w:ind w:left="3031" w:hanging="360"/>
      </w:pPr>
      <w:rPr>
        <w:rFonts w:ascii="Courier New" w:hAnsi="Courier New" w:cs="Courier New" w:hint="default"/>
      </w:rPr>
    </w:lvl>
    <w:lvl w:ilvl="5" w:tplc="40090005" w:tentative="1">
      <w:start w:val="1"/>
      <w:numFmt w:val="bullet"/>
      <w:lvlText w:val=""/>
      <w:lvlJc w:val="left"/>
      <w:pPr>
        <w:ind w:left="3751" w:hanging="360"/>
      </w:pPr>
      <w:rPr>
        <w:rFonts w:ascii="Wingdings" w:hAnsi="Wingdings" w:hint="default"/>
      </w:rPr>
    </w:lvl>
    <w:lvl w:ilvl="6" w:tplc="40090001" w:tentative="1">
      <w:start w:val="1"/>
      <w:numFmt w:val="bullet"/>
      <w:lvlText w:val=""/>
      <w:lvlJc w:val="left"/>
      <w:pPr>
        <w:ind w:left="4471" w:hanging="360"/>
      </w:pPr>
      <w:rPr>
        <w:rFonts w:ascii="Symbol" w:hAnsi="Symbol" w:hint="default"/>
      </w:rPr>
    </w:lvl>
    <w:lvl w:ilvl="7" w:tplc="40090003" w:tentative="1">
      <w:start w:val="1"/>
      <w:numFmt w:val="bullet"/>
      <w:lvlText w:val="o"/>
      <w:lvlJc w:val="left"/>
      <w:pPr>
        <w:ind w:left="5191" w:hanging="360"/>
      </w:pPr>
      <w:rPr>
        <w:rFonts w:ascii="Courier New" w:hAnsi="Courier New" w:cs="Courier New" w:hint="default"/>
      </w:rPr>
    </w:lvl>
    <w:lvl w:ilvl="8" w:tplc="40090005" w:tentative="1">
      <w:start w:val="1"/>
      <w:numFmt w:val="bullet"/>
      <w:lvlText w:val=""/>
      <w:lvlJc w:val="left"/>
      <w:pPr>
        <w:ind w:left="5911" w:hanging="360"/>
      </w:pPr>
      <w:rPr>
        <w:rFonts w:ascii="Wingdings" w:hAnsi="Wingdings" w:hint="default"/>
      </w:rPr>
    </w:lvl>
  </w:abstractNum>
  <w:abstractNum w:abstractNumId="2" w15:restartNumberingAfterBreak="0">
    <w:nsid w:val="71813270"/>
    <w:multiLevelType w:val="multilevel"/>
    <w:tmpl w:val="27CE5008"/>
    <w:lvl w:ilvl="0">
      <w:start w:val="1"/>
      <w:numFmt w:val="decimal"/>
      <w:lvlText w:val="%1"/>
      <w:lvlJc w:val="left"/>
      <w:pPr>
        <w:ind w:left="871" w:hanging="720"/>
      </w:pPr>
      <w:rPr>
        <w:rFonts w:hint="default"/>
      </w:rPr>
    </w:lvl>
    <w:lvl w:ilvl="1">
      <w:start w:val="1"/>
      <w:numFmt w:val="decimal"/>
      <w:lvlText w:val="%1.%2."/>
      <w:lvlJc w:val="left"/>
      <w:pPr>
        <w:ind w:left="871" w:hanging="720"/>
      </w:pPr>
      <w:rPr>
        <w:rFonts w:ascii="Calibri" w:eastAsia="Calibri" w:hAnsi="Calibri" w:hint="default"/>
        <w:b/>
        <w:bCs/>
        <w:w w:val="99"/>
        <w:sz w:val="24"/>
        <w:szCs w:val="24"/>
      </w:rPr>
    </w:lvl>
    <w:lvl w:ilvl="2">
      <w:start w:val="1"/>
      <w:numFmt w:val="lowerRoman"/>
      <w:lvlText w:val="(%3)"/>
      <w:lvlJc w:val="left"/>
      <w:pPr>
        <w:ind w:left="1003" w:hanging="569"/>
      </w:pPr>
      <w:rPr>
        <w:rFonts w:ascii="Calibri" w:eastAsia="Calibri" w:hAnsi="Calibri" w:hint="default"/>
        <w:spacing w:val="-1"/>
        <w:sz w:val="22"/>
        <w:szCs w:val="22"/>
      </w:rPr>
    </w:lvl>
    <w:lvl w:ilvl="3">
      <w:start w:val="1"/>
      <w:numFmt w:val="bullet"/>
      <w:lvlText w:val="•"/>
      <w:lvlJc w:val="left"/>
      <w:pPr>
        <w:ind w:left="2893" w:hanging="569"/>
      </w:pPr>
      <w:rPr>
        <w:rFonts w:hint="default"/>
      </w:rPr>
    </w:lvl>
    <w:lvl w:ilvl="4">
      <w:start w:val="1"/>
      <w:numFmt w:val="bullet"/>
      <w:lvlText w:val="•"/>
      <w:lvlJc w:val="left"/>
      <w:pPr>
        <w:ind w:left="3837" w:hanging="569"/>
      </w:pPr>
      <w:rPr>
        <w:rFonts w:hint="default"/>
      </w:rPr>
    </w:lvl>
    <w:lvl w:ilvl="5">
      <w:start w:val="1"/>
      <w:numFmt w:val="bullet"/>
      <w:lvlText w:val="•"/>
      <w:lvlJc w:val="left"/>
      <w:pPr>
        <w:ind w:left="4782" w:hanging="569"/>
      </w:pPr>
      <w:rPr>
        <w:rFonts w:hint="default"/>
      </w:rPr>
    </w:lvl>
    <w:lvl w:ilvl="6">
      <w:start w:val="1"/>
      <w:numFmt w:val="bullet"/>
      <w:lvlText w:val="•"/>
      <w:lvlJc w:val="left"/>
      <w:pPr>
        <w:ind w:left="5727" w:hanging="569"/>
      </w:pPr>
      <w:rPr>
        <w:rFonts w:hint="default"/>
      </w:rPr>
    </w:lvl>
    <w:lvl w:ilvl="7">
      <w:start w:val="1"/>
      <w:numFmt w:val="bullet"/>
      <w:lvlText w:val="•"/>
      <w:lvlJc w:val="left"/>
      <w:pPr>
        <w:ind w:left="6672" w:hanging="569"/>
      </w:pPr>
      <w:rPr>
        <w:rFonts w:hint="default"/>
      </w:rPr>
    </w:lvl>
    <w:lvl w:ilvl="8">
      <w:start w:val="1"/>
      <w:numFmt w:val="bullet"/>
      <w:lvlText w:val="•"/>
      <w:lvlJc w:val="left"/>
      <w:pPr>
        <w:ind w:left="7616" w:hanging="569"/>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27A"/>
    <w:rsid w:val="000D3093"/>
    <w:rsid w:val="003F0968"/>
    <w:rsid w:val="005D1093"/>
    <w:rsid w:val="0061027A"/>
    <w:rsid w:val="008858B6"/>
    <w:rsid w:val="00BD58CC"/>
    <w:rsid w:val="00D739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687910-7E44-44A8-B052-8D4908274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D1093"/>
    <w:pPr>
      <w:widowControl w:val="0"/>
      <w:spacing w:after="0" w:line="240" w:lineRule="auto"/>
    </w:pPr>
  </w:style>
  <w:style w:type="paragraph" w:styleId="Heading2">
    <w:name w:val="heading 2"/>
    <w:basedOn w:val="Normal"/>
    <w:link w:val="Heading2Char"/>
    <w:uiPriority w:val="1"/>
    <w:qFormat/>
    <w:rsid w:val="005D1093"/>
    <w:pPr>
      <w:ind w:left="871" w:hanging="720"/>
      <w:outlineLvl w:val="1"/>
    </w:pPr>
    <w:rPr>
      <w:rFonts w:ascii="Calibri" w:eastAsia="Calibri" w:hAnsi="Calibr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5D1093"/>
    <w:rPr>
      <w:rFonts w:ascii="Calibri" w:eastAsia="Calibri" w:hAnsi="Calibri"/>
      <w:b/>
      <w:bCs/>
      <w:sz w:val="24"/>
      <w:szCs w:val="24"/>
    </w:rPr>
  </w:style>
  <w:style w:type="paragraph" w:styleId="ListParagraph">
    <w:name w:val="List Paragraph"/>
    <w:basedOn w:val="Normal"/>
    <w:uiPriority w:val="34"/>
    <w:qFormat/>
    <w:rsid w:val="005D1093"/>
    <w:pPr>
      <w:ind w:left="720"/>
      <w:contextualSpacing/>
    </w:pPr>
  </w:style>
  <w:style w:type="character" w:styleId="Hyperlink">
    <w:name w:val="Hyperlink"/>
    <w:basedOn w:val="DefaultParagraphFont"/>
    <w:uiPriority w:val="99"/>
    <w:semiHidden/>
    <w:unhideWhenUsed/>
    <w:rsid w:val="005D1093"/>
    <w:rPr>
      <w:color w:val="0000FF"/>
      <w:u w:val="single"/>
    </w:rPr>
  </w:style>
  <w:style w:type="paragraph" w:styleId="Header">
    <w:name w:val="header"/>
    <w:basedOn w:val="Normal"/>
    <w:link w:val="HeaderChar"/>
    <w:uiPriority w:val="99"/>
    <w:unhideWhenUsed/>
    <w:rsid w:val="003F0968"/>
    <w:pPr>
      <w:tabs>
        <w:tab w:val="center" w:pos="4680"/>
        <w:tab w:val="right" w:pos="9360"/>
      </w:tabs>
    </w:pPr>
  </w:style>
  <w:style w:type="character" w:customStyle="1" w:styleId="HeaderChar">
    <w:name w:val="Header Char"/>
    <w:basedOn w:val="DefaultParagraphFont"/>
    <w:link w:val="Header"/>
    <w:uiPriority w:val="99"/>
    <w:rsid w:val="003F0968"/>
  </w:style>
  <w:style w:type="paragraph" w:styleId="Footer">
    <w:name w:val="footer"/>
    <w:basedOn w:val="Normal"/>
    <w:link w:val="FooterChar"/>
    <w:uiPriority w:val="99"/>
    <w:unhideWhenUsed/>
    <w:rsid w:val="003F0968"/>
    <w:pPr>
      <w:tabs>
        <w:tab w:val="center" w:pos="4680"/>
        <w:tab w:val="right" w:pos="9360"/>
      </w:tabs>
    </w:pPr>
  </w:style>
  <w:style w:type="character" w:customStyle="1" w:styleId="FooterChar">
    <w:name w:val="Footer Char"/>
    <w:basedOn w:val="DefaultParagraphFont"/>
    <w:link w:val="Footer"/>
    <w:uiPriority w:val="99"/>
    <w:rsid w:val="003F09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icrisat.org/identifying-climate-smart-sorghum-lines-for-mal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ataverse.icrisat.org/dvn/dv/CP/faces/study/StudyPage.xhtml?globalId=hdl:11038/10214&amp;studyListingIndex=3_a55f667c8e8dc78b696a0c14eba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oleObject" Target="file:///C:\APSIM7.6\Mali-simulation_characterization-7.6\selected-sit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APSIM7.6\Mali-simulation_characterization-7.6\selected-sit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406946571345992"/>
          <c:y val="3.2969620445551212E-2"/>
          <c:w val="0.80103091960391992"/>
          <c:h val="0.89263794141545227"/>
        </c:manualLayout>
      </c:layout>
      <c:scatterChart>
        <c:scatterStyle val="lineMarker"/>
        <c:varyColors val="0"/>
        <c:ser>
          <c:idx val="2"/>
          <c:order val="0"/>
          <c:tx>
            <c:strRef>
              <c:f>GLHmail!$C$50</c:f>
              <c:strCache>
                <c:ptCount val="1"/>
                <c:pt idx="0">
                  <c:v>CSM335 (28 leaves)</c:v>
                </c:pt>
              </c:strCache>
            </c:strRef>
          </c:tx>
          <c:spPr>
            <a:ln w="28575">
              <a:noFill/>
            </a:ln>
          </c:spPr>
          <c:marker>
            <c:spPr>
              <a:solidFill>
                <a:schemeClr val="accent4"/>
              </a:solidFill>
            </c:spPr>
          </c:marker>
          <c:xVal>
            <c:numRef>
              <c:f>GLHmail!$B$51:$B$78</c:f>
              <c:numCache>
                <c:formatCode>General</c:formatCode>
                <c:ptCount val="28"/>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numCache>
            </c:numRef>
          </c:xVal>
          <c:yVal>
            <c:numRef>
              <c:f>GLHmail!$C$51:$C$78</c:f>
              <c:numCache>
                <c:formatCode>General</c:formatCode>
                <c:ptCount val="28"/>
                <c:pt idx="0">
                  <c:v>1.6233029923046498</c:v>
                </c:pt>
                <c:pt idx="1">
                  <c:v>3.7849705170046466</c:v>
                </c:pt>
                <c:pt idx="2">
                  <c:v>8.1471552997183867</c:v>
                </c:pt>
                <c:pt idx="3">
                  <c:v>11.67</c:v>
                </c:pt>
                <c:pt idx="4">
                  <c:v>23.084000000000003</c:v>
                </c:pt>
                <c:pt idx="5">
                  <c:v>43.650666666666666</c:v>
                </c:pt>
                <c:pt idx="6">
                  <c:v>70.152000000000001</c:v>
                </c:pt>
                <c:pt idx="7">
                  <c:v>106.62857142857141</c:v>
                </c:pt>
                <c:pt idx="8">
                  <c:v>157.71846153846155</c:v>
                </c:pt>
                <c:pt idx="9">
                  <c:v>221.46199999999999</c:v>
                </c:pt>
                <c:pt idx="10">
                  <c:v>305.11789473684217</c:v>
                </c:pt>
                <c:pt idx="11">
                  <c:v>399.226</c:v>
                </c:pt>
                <c:pt idx="12">
                  <c:v>495.68400000000003</c:v>
                </c:pt>
                <c:pt idx="13">
                  <c:v>554.44857142857143</c:v>
                </c:pt>
                <c:pt idx="14">
                  <c:v>588.35866666666664</c:v>
                </c:pt>
                <c:pt idx="15">
                  <c:v>584.97933333333322</c:v>
                </c:pt>
                <c:pt idx="16">
                  <c:v>592.12428571428575</c:v>
                </c:pt>
                <c:pt idx="17">
                  <c:v>595.3346153846154</c:v>
                </c:pt>
                <c:pt idx="18">
                  <c:v>577.47357142857152</c:v>
                </c:pt>
                <c:pt idx="19">
                  <c:v>573.14874999999995</c:v>
                </c:pt>
                <c:pt idx="20">
                  <c:v>554.96800000000007</c:v>
                </c:pt>
                <c:pt idx="21">
                  <c:v>542.40499999999997</c:v>
                </c:pt>
                <c:pt idx="22">
                  <c:v>493.77928571428572</c:v>
                </c:pt>
                <c:pt idx="23">
                  <c:v>457.58333333333331</c:v>
                </c:pt>
                <c:pt idx="24">
                  <c:v>326.64</c:v>
                </c:pt>
                <c:pt idx="25">
                  <c:v>244.35333333333332</c:v>
                </c:pt>
                <c:pt idx="26">
                  <c:v>230.22499999999999</c:v>
                </c:pt>
                <c:pt idx="27">
                  <c:v>114.98</c:v>
                </c:pt>
              </c:numCache>
            </c:numRef>
          </c:yVal>
          <c:smooth val="0"/>
        </c:ser>
        <c:ser>
          <c:idx val="3"/>
          <c:order val="1"/>
          <c:tx>
            <c:strRef>
              <c:f>GLHmail!$D$50</c:f>
              <c:strCache>
                <c:ptCount val="1"/>
                <c:pt idx="0">
                  <c:v>Pred</c:v>
                </c:pt>
              </c:strCache>
            </c:strRef>
          </c:tx>
          <c:marker>
            <c:symbol val="none"/>
          </c:marker>
          <c:xVal>
            <c:numRef>
              <c:f>GLHmail!$B$51:$B$78</c:f>
              <c:numCache>
                <c:formatCode>General</c:formatCode>
                <c:ptCount val="28"/>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numCache>
            </c:numRef>
          </c:xVal>
          <c:yVal>
            <c:numRef>
              <c:f>GLHmail!$D$51:$D$78</c:f>
              <c:numCache>
                <c:formatCode>General</c:formatCode>
                <c:ptCount val="28"/>
                <c:pt idx="0">
                  <c:v>1.6233029923046498</c:v>
                </c:pt>
                <c:pt idx="1">
                  <c:v>3.7849705170046466</c:v>
                </c:pt>
                <c:pt idx="2">
                  <c:v>8.1471552997183867</c:v>
                </c:pt>
                <c:pt idx="3">
                  <c:v>16.247185855568922</c:v>
                </c:pt>
                <c:pt idx="4">
                  <c:v>30.124998879342673</c:v>
                </c:pt>
                <c:pt idx="5">
                  <c:v>52.119560535041984</c:v>
                </c:pt>
                <c:pt idx="6">
                  <c:v>84.439828618352777</c:v>
                </c:pt>
                <c:pt idx="7">
                  <c:v>128.5626782130617</c:v>
                </c:pt>
                <c:pt idx="8">
                  <c:v>184.60842891214895</c:v>
                </c:pt>
                <c:pt idx="9">
                  <c:v>250.90266048235091</c:v>
                </c:pt>
                <c:pt idx="10">
                  <c:v>323.90989029702024</c:v>
                </c:pt>
                <c:pt idx="11">
                  <c:v>398.6175646596102</c:v>
                </c:pt>
                <c:pt idx="12">
                  <c:v>469.29941353359726</c:v>
                </c:pt>
                <c:pt idx="13">
                  <c:v>530.46047088005218</c:v>
                </c:pt>
                <c:pt idx="14">
                  <c:v>577.71488041789996</c:v>
                </c:pt>
                <c:pt idx="15">
                  <c:v>608.38664423333194</c:v>
                </c:pt>
                <c:pt idx="16">
                  <c:v>621.72661144603285</c:v>
                </c:pt>
                <c:pt idx="17">
                  <c:v>617.16635677143938</c:v>
                </c:pt>
                <c:pt idx="18">
                  <c:v>592.73537948230694</c:v>
                </c:pt>
                <c:pt idx="19">
                  <c:v>552.47417275592341</c:v>
                </c:pt>
                <c:pt idx="20">
                  <c:v>501.53784644930812</c:v>
                </c:pt>
                <c:pt idx="21">
                  <c:v>445.02470344989428</c:v>
                </c:pt>
                <c:pt idx="22">
                  <c:v>387.34796957052509</c:v>
                </c:pt>
                <c:pt idx="23">
                  <c:v>331.8969651949381</c:v>
                </c:pt>
                <c:pt idx="24">
                  <c:v>280.9559213289657</c:v>
                </c:pt>
                <c:pt idx="25">
                  <c:v>235.80558446782825</c:v>
                </c:pt>
                <c:pt idx="26">
                  <c:v>196.92418118338182</c:v>
                </c:pt>
                <c:pt idx="27">
                  <c:v>164.21814948287457</c:v>
                </c:pt>
              </c:numCache>
            </c:numRef>
          </c:yVal>
          <c:smooth val="0"/>
        </c:ser>
        <c:ser>
          <c:idx val="4"/>
          <c:order val="2"/>
          <c:tx>
            <c:strRef>
              <c:f>GLHmail!$C$85</c:f>
              <c:strCache>
                <c:ptCount val="1"/>
                <c:pt idx="0">
                  <c:v>CSM335(31 leaves)</c:v>
                </c:pt>
              </c:strCache>
            </c:strRef>
          </c:tx>
          <c:spPr>
            <a:ln w="28575">
              <a:noFill/>
            </a:ln>
          </c:spPr>
          <c:marker>
            <c:symbol val="circle"/>
            <c:size val="7"/>
            <c:spPr>
              <a:solidFill>
                <a:schemeClr val="accent6"/>
              </a:solidFill>
            </c:spPr>
          </c:marker>
          <c:xVal>
            <c:numRef>
              <c:f>GLHmail!$B$86:$B$116</c:f>
              <c:numCache>
                <c:formatCode>General</c:formatCode>
                <c:ptCount val="3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numCache>
            </c:numRef>
          </c:xVal>
          <c:yVal>
            <c:numRef>
              <c:f>GLHmail!$C$86:$C$116</c:f>
              <c:numCache>
                <c:formatCode>General</c:formatCode>
                <c:ptCount val="31"/>
                <c:pt idx="0">
                  <c:v>0.931111111111111</c:v>
                </c:pt>
                <c:pt idx="1">
                  <c:v>1.9830000000000001</c:v>
                </c:pt>
                <c:pt idx="2">
                  <c:v>5.7533333333333339</c:v>
                </c:pt>
                <c:pt idx="3">
                  <c:v>15.825999999999999</c:v>
                </c:pt>
                <c:pt idx="4">
                  <c:v>31.836000000000002</c:v>
                </c:pt>
                <c:pt idx="5">
                  <c:v>44.594210526315784</c:v>
                </c:pt>
                <c:pt idx="6">
                  <c:v>66.715333333333334</c:v>
                </c:pt>
                <c:pt idx="7">
                  <c:v>109.68066666666667</c:v>
                </c:pt>
                <c:pt idx="8">
                  <c:v>161.40133333333335</c:v>
                </c:pt>
                <c:pt idx="9">
                  <c:v>223.96384615384613</c:v>
                </c:pt>
                <c:pt idx="10">
                  <c:v>316.47571428571428</c:v>
                </c:pt>
                <c:pt idx="11">
                  <c:v>415.35266666666666</c:v>
                </c:pt>
                <c:pt idx="12">
                  <c:v>504.72714285714284</c:v>
                </c:pt>
                <c:pt idx="13">
                  <c:v>591.52076923076925</c:v>
                </c:pt>
                <c:pt idx="14">
                  <c:v>642.67999999999995</c:v>
                </c:pt>
                <c:pt idx="15">
                  <c:v>663.08333333333337</c:v>
                </c:pt>
                <c:pt idx="16">
                  <c:v>680.15</c:v>
                </c:pt>
                <c:pt idx="17">
                  <c:v>709.28916666666646</c:v>
                </c:pt>
                <c:pt idx="18">
                  <c:v>689.75</c:v>
                </c:pt>
                <c:pt idx="19">
                  <c:v>642.98466666666673</c:v>
                </c:pt>
                <c:pt idx="20">
                  <c:v>612.47571428571439</c:v>
                </c:pt>
                <c:pt idx="21">
                  <c:v>571.92454545454541</c:v>
                </c:pt>
                <c:pt idx="22">
                  <c:v>520.88599999999997</c:v>
                </c:pt>
                <c:pt idx="23">
                  <c:v>492.26692307692304</c:v>
                </c:pt>
                <c:pt idx="24">
                  <c:v>458.32866666666672</c:v>
                </c:pt>
                <c:pt idx="25">
                  <c:v>395.33937499999996</c:v>
                </c:pt>
                <c:pt idx="26">
                  <c:v>275.14999999999998</c:v>
                </c:pt>
                <c:pt idx="27">
                  <c:v>233.16909090909093</c:v>
                </c:pt>
                <c:pt idx="28">
                  <c:v>196.12</c:v>
                </c:pt>
                <c:pt idx="29">
                  <c:v>244.05</c:v>
                </c:pt>
                <c:pt idx="30">
                  <c:v>152.39500000000001</c:v>
                </c:pt>
              </c:numCache>
            </c:numRef>
          </c:yVal>
          <c:smooth val="0"/>
        </c:ser>
        <c:ser>
          <c:idx val="5"/>
          <c:order val="3"/>
          <c:tx>
            <c:strRef>
              <c:f>GLHmail!$D$85</c:f>
              <c:strCache>
                <c:ptCount val="1"/>
                <c:pt idx="0">
                  <c:v>Pred</c:v>
                </c:pt>
              </c:strCache>
            </c:strRef>
          </c:tx>
          <c:marker>
            <c:symbol val="none"/>
          </c:marker>
          <c:xVal>
            <c:numRef>
              <c:f>GLHmail!$B$86:$B$116</c:f>
              <c:numCache>
                <c:formatCode>General</c:formatCode>
                <c:ptCount val="3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numCache>
            </c:numRef>
          </c:xVal>
          <c:yVal>
            <c:numRef>
              <c:f>GLHmail!$D$86:$D$116</c:f>
              <c:numCache>
                <c:formatCode>General</c:formatCode>
                <c:ptCount val="31"/>
                <c:pt idx="0">
                  <c:v>2.8797514157053885</c:v>
                </c:pt>
                <c:pt idx="1">
                  <c:v>6.3855838236365354</c:v>
                </c:pt>
                <c:pt idx="2">
                  <c:v>13.110505569437017</c:v>
                </c:pt>
                <c:pt idx="3">
                  <c:v>25.01328396356875</c:v>
                </c:pt>
                <c:pt idx="4">
                  <c:v>44.505497321319986</c:v>
                </c:pt>
                <c:pt idx="5">
                  <c:v>74.115236677522688</c:v>
                </c:pt>
                <c:pt idx="6">
                  <c:v>115.93417170609632</c:v>
                </c:pt>
                <c:pt idx="7">
                  <c:v>170.95616831416353</c:v>
                </c:pt>
                <c:pt idx="8">
                  <c:v>238.49905405842358</c:v>
                </c:pt>
                <c:pt idx="9">
                  <c:v>315.91943641857961</c:v>
                </c:pt>
                <c:pt idx="10">
                  <c:v>398.76134885176742</c:v>
                </c:pt>
                <c:pt idx="11">
                  <c:v>481.34450447367448</c:v>
                </c:pt>
                <c:pt idx="12">
                  <c:v>557.6535305192283</c:v>
                </c:pt>
                <c:pt idx="13">
                  <c:v>622.29684174614783</c:v>
                </c:pt>
                <c:pt idx="14">
                  <c:v>671.29693761555336</c:v>
                </c:pt>
                <c:pt idx="15">
                  <c:v>702.54620012888438</c:v>
                </c:pt>
                <c:pt idx="16">
                  <c:v>715.44440921375974</c:v>
                </c:pt>
                <c:pt idx="17">
                  <c:v>710.31769200917938</c:v>
                </c:pt>
                <c:pt idx="18">
                  <c:v>682.0176926964557</c:v>
                </c:pt>
                <c:pt idx="19">
                  <c:v>635.57110972884959</c:v>
                </c:pt>
                <c:pt idx="20">
                  <c:v>576.92236848168545</c:v>
                </c:pt>
                <c:pt idx="21">
                  <c:v>511.93468670764139</c:v>
                </c:pt>
                <c:pt idx="22">
                  <c:v>445.67154895875507</c:v>
                </c:pt>
                <c:pt idx="23">
                  <c:v>382.0125794835522</c:v>
                </c:pt>
                <c:pt idx="24">
                  <c:v>323.56537742954868</c:v>
                </c:pt>
                <c:pt idx="25">
                  <c:v>271.78612183068742</c:v>
                </c:pt>
                <c:pt idx="26">
                  <c:v>227.2126916512145</c:v>
                </c:pt>
                <c:pt idx="27">
                  <c:v>189.73052126550502</c:v>
                </c:pt>
                <c:pt idx="28">
                  <c:v>158.81822666520952</c:v>
                </c:pt>
                <c:pt idx="29">
                  <c:v>133.7461348057</c:v>
                </c:pt>
                <c:pt idx="30">
                  <c:v>113.72059367138813</c:v>
                </c:pt>
              </c:numCache>
            </c:numRef>
          </c:yVal>
          <c:smooth val="0"/>
        </c:ser>
        <c:ser>
          <c:idx val="6"/>
          <c:order val="4"/>
          <c:tx>
            <c:strRef>
              <c:f>'18.8.meeting'!$C$123</c:f>
              <c:strCache>
                <c:ptCount val="1"/>
                <c:pt idx="0">
                  <c:v>CSM335 (21 leaves)</c:v>
                </c:pt>
              </c:strCache>
            </c:strRef>
          </c:tx>
          <c:spPr>
            <a:ln w="28575">
              <a:noFill/>
            </a:ln>
          </c:spPr>
          <c:marker>
            <c:symbol val="circle"/>
            <c:size val="7"/>
            <c:spPr>
              <a:solidFill>
                <a:schemeClr val="accent2">
                  <a:lumMod val="40000"/>
                  <a:lumOff val="60000"/>
                </a:schemeClr>
              </a:solidFill>
            </c:spPr>
          </c:marker>
          <c:xVal>
            <c:numRef>
              <c:f>'18.8.meeting'!$B$124:$B$144</c:f>
              <c:numCache>
                <c:formatCode>General</c:formatCode>
                <c:ptCount val="2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numCache>
            </c:numRef>
          </c:xVal>
          <c:yVal>
            <c:numRef>
              <c:f>'18.8.meeting'!$C$124:$C$144</c:f>
              <c:numCache>
                <c:formatCode>General</c:formatCode>
                <c:ptCount val="21"/>
                <c:pt idx="0">
                  <c:v>6.3200000000000006E-2</c:v>
                </c:pt>
                <c:pt idx="1">
                  <c:v>0.65187550420652918</c:v>
                </c:pt>
                <c:pt idx="2">
                  <c:v>2.5526630643810821</c:v>
                </c:pt>
                <c:pt idx="3">
                  <c:v>6.7237606484891863</c:v>
                </c:pt>
                <c:pt idx="4">
                  <c:v>14.25179264100446</c:v>
                </c:pt>
                <c:pt idx="5">
                  <c:v>26.329406996246849</c:v>
                </c:pt>
                <c:pt idx="6">
                  <c:v>44.240918996722272</c:v>
                </c:pt>
                <c:pt idx="7">
                  <c:v>69.352133906612465</c:v>
                </c:pt>
                <c:pt idx="8">
                  <c:v>103.10266962429456</c:v>
                </c:pt>
                <c:pt idx="9">
                  <c:v>146.99991319148259</c:v>
                </c:pt>
                <c:pt idx="10">
                  <c:v>202.61411274830249</c:v>
                </c:pt>
                <c:pt idx="11">
                  <c:v>271.57429527116057</c:v>
                </c:pt>
                <c:pt idx="12">
                  <c:v>355.56480636001612</c:v>
                </c:pt>
                <c:pt idx="13">
                  <c:v>376.4983319232374</c:v>
                </c:pt>
                <c:pt idx="14">
                  <c:v>376.33330183402268</c:v>
                </c:pt>
                <c:pt idx="15">
                  <c:v>360.8076021862621</c:v>
                </c:pt>
                <c:pt idx="16">
                  <c:v>331.80054093222861</c:v>
                </c:pt>
                <c:pt idx="17">
                  <c:v>291.23502446797829</c:v>
                </c:pt>
                <c:pt idx="18">
                  <c:v>241.07591196324665</c:v>
                </c:pt>
                <c:pt idx="19">
                  <c:v>183.32852104452013</c:v>
                </c:pt>
                <c:pt idx="20">
                  <c:v>120.03726356342304</c:v>
                </c:pt>
              </c:numCache>
            </c:numRef>
          </c:yVal>
          <c:smooth val="0"/>
        </c:ser>
        <c:ser>
          <c:idx val="7"/>
          <c:order val="5"/>
          <c:tx>
            <c:strRef>
              <c:f>'18.8.meeting'!$D$124</c:f>
              <c:strCache>
                <c:ptCount val="1"/>
                <c:pt idx="0">
                  <c:v>Pred</c:v>
                </c:pt>
              </c:strCache>
            </c:strRef>
          </c:tx>
          <c:marker>
            <c:symbol val="none"/>
          </c:marker>
          <c:xVal>
            <c:numRef>
              <c:f>'18.8.meeting'!$B$124:$B$144</c:f>
              <c:numCache>
                <c:formatCode>General</c:formatCode>
                <c:ptCount val="2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numCache>
            </c:numRef>
          </c:xVal>
          <c:yVal>
            <c:numRef>
              <c:f>'18.8.meeting'!$D$125:$D$145</c:f>
              <c:numCache>
                <c:formatCode>General</c:formatCode>
                <c:ptCount val="21"/>
                <c:pt idx="0">
                  <c:v>0.72158572062558779</c:v>
                </c:pt>
                <c:pt idx="1">
                  <c:v>1.8435530070029016</c:v>
                </c:pt>
                <c:pt idx="2">
                  <c:v>4.320360933428514</c:v>
                </c:pt>
                <c:pt idx="3">
                  <c:v>9.3139203736343887</c:v>
                </c:pt>
                <c:pt idx="4">
                  <c:v>18.524414384738137</c:v>
                </c:pt>
                <c:pt idx="5">
                  <c:v>34.088454952611826</c:v>
                </c:pt>
                <c:pt idx="6">
                  <c:v>58.206622240403121</c:v>
                </c:pt>
                <c:pt idx="7">
                  <c:v>92.489219648209044</c:v>
                </c:pt>
                <c:pt idx="8">
                  <c:v>137.15601456239943</c:v>
                </c:pt>
                <c:pt idx="9">
                  <c:v>190.36846589144471</c:v>
                </c:pt>
                <c:pt idx="10">
                  <c:v>248.01786315586961</c:v>
                </c:pt>
                <c:pt idx="11">
                  <c:v>304.17960950216246</c:v>
                </c:pt>
                <c:pt idx="12">
                  <c:v>352.19874724056393</c:v>
                </c:pt>
                <c:pt idx="13">
                  <c:v>386.10682186268616</c:v>
                </c:pt>
                <c:pt idx="14">
                  <c:v>401.92080658890541</c:v>
                </c:pt>
                <c:pt idx="15">
                  <c:v>398.41734479917881</c:v>
                </c:pt>
                <c:pt idx="16">
                  <c:v>377.18299497088645</c:v>
                </c:pt>
                <c:pt idx="17">
                  <c:v>342.00580665655019</c:v>
                </c:pt>
                <c:pt idx="18">
                  <c:v>297.87478982615897</c:v>
                </c:pt>
                <c:pt idx="19">
                  <c:v>249.92189166560175</c:v>
                </c:pt>
                <c:pt idx="20">
                  <c:v>202.5799772758406</c:v>
                </c:pt>
              </c:numCache>
            </c:numRef>
          </c:yVal>
          <c:smooth val="0"/>
        </c:ser>
        <c:ser>
          <c:idx val="8"/>
          <c:order val="6"/>
          <c:tx>
            <c:strRef>
              <c:f>'18.8.meeting'!$C$153</c:f>
              <c:strCache>
                <c:ptCount val="1"/>
                <c:pt idx="0">
                  <c:v>CSM335(24 leaves)</c:v>
                </c:pt>
              </c:strCache>
            </c:strRef>
          </c:tx>
          <c:spPr>
            <a:ln w="28575">
              <a:noFill/>
            </a:ln>
          </c:spPr>
          <c:marker>
            <c:symbol val="circle"/>
            <c:size val="7"/>
            <c:spPr>
              <a:solidFill>
                <a:schemeClr val="accent4">
                  <a:lumMod val="60000"/>
                  <a:lumOff val="40000"/>
                </a:schemeClr>
              </a:solidFill>
            </c:spPr>
          </c:marker>
          <c:xVal>
            <c:numRef>
              <c:f>'18.8.meeting'!$B$154:$B$177</c:f>
              <c:numCache>
                <c:formatCode>General</c:formatCode>
                <c:ptCount val="24"/>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numCache>
            </c:numRef>
          </c:xVal>
          <c:yVal>
            <c:numRef>
              <c:f>'18.8.meeting'!$C$154:$C$177</c:f>
              <c:numCache>
                <c:formatCode>General</c:formatCode>
                <c:ptCount val="24"/>
                <c:pt idx="0">
                  <c:v>0.16900000000000001</c:v>
                </c:pt>
                <c:pt idx="1">
                  <c:v>1.3578227396130267</c:v>
                </c:pt>
                <c:pt idx="2">
                  <c:v>4.5941864920152495</c:v>
                </c:pt>
                <c:pt idx="3">
                  <c:v>10.909364450948082</c:v>
                </c:pt>
                <c:pt idx="4">
                  <c:v>21.336851353695266</c:v>
                </c:pt>
                <c:pt idx="5">
                  <c:v>36.911780407581688</c:v>
                </c:pt>
                <c:pt idx="6">
                  <c:v>58.67058688441638</c:v>
                </c:pt>
                <c:pt idx="7">
                  <c:v>87.650787729131793</c:v>
                </c:pt>
                <c:pt idx="8">
                  <c:v>124.89082558233957</c:v>
                </c:pt>
                <c:pt idx="9">
                  <c:v>171.42995242479557</c:v>
                </c:pt>
                <c:pt idx="10">
                  <c:v>228.30813938063301</c:v>
                </c:pt>
                <c:pt idx="11">
                  <c:v>296.56600471607703</c:v>
                </c:pt>
                <c:pt idx="12">
                  <c:v>379.40275501421638</c:v>
                </c:pt>
                <c:pt idx="13">
                  <c:v>448.79813620178857</c:v>
                </c:pt>
                <c:pt idx="14">
                  <c:v>496.98239213777561</c:v>
                </c:pt>
                <c:pt idx="15">
                  <c:v>524.99822913378512</c:v>
                </c:pt>
                <c:pt idx="16">
                  <c:v>533.88878521412607</c:v>
                </c:pt>
                <c:pt idx="17">
                  <c:v>524.6976032233415</c:v>
                </c:pt>
                <c:pt idx="18">
                  <c:v>498.46860710005058</c:v>
                </c:pt>
                <c:pt idx="19">
                  <c:v>456.24608078796791</c:v>
                </c:pt>
                <c:pt idx="20">
                  <c:v>399.07464936682027</c:v>
                </c:pt>
                <c:pt idx="21">
                  <c:v>327.99926206960936</c:v>
                </c:pt>
                <c:pt idx="22">
                  <c:v>244.06517691634508</c:v>
                </c:pt>
                <c:pt idx="23">
                  <c:v>148.31794674363209</c:v>
                </c:pt>
              </c:numCache>
            </c:numRef>
          </c:yVal>
          <c:smooth val="0"/>
        </c:ser>
        <c:ser>
          <c:idx val="9"/>
          <c:order val="7"/>
          <c:tx>
            <c:strRef>
              <c:f>'18.8.meeting'!$D$154</c:f>
              <c:strCache>
                <c:ptCount val="1"/>
                <c:pt idx="0">
                  <c:v>Pred</c:v>
                </c:pt>
              </c:strCache>
            </c:strRef>
          </c:tx>
          <c:marker>
            <c:symbol val="none"/>
          </c:marker>
          <c:xVal>
            <c:numRef>
              <c:f>'18.8.meeting'!$B$154:$B$177</c:f>
              <c:numCache>
                <c:formatCode>General</c:formatCode>
                <c:ptCount val="24"/>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numCache>
            </c:numRef>
          </c:xVal>
          <c:yVal>
            <c:numRef>
              <c:f>'18.8.meeting'!$D$155:$D$178</c:f>
              <c:numCache>
                <c:formatCode>General</c:formatCode>
                <c:ptCount val="24"/>
                <c:pt idx="0">
                  <c:v>0.7490710494642121</c:v>
                </c:pt>
                <c:pt idx="1">
                  <c:v>1.8833626818670299</c:v>
                </c:pt>
                <c:pt idx="2">
                  <c:v>4.3508397415905282</c:v>
                </c:pt>
                <c:pt idx="3">
                  <c:v>9.2665472847099384</c:v>
                </c:pt>
                <c:pt idx="4">
                  <c:v>18.257701160736026</c:v>
                </c:pt>
                <c:pt idx="5">
                  <c:v>33.391435271738857</c:v>
                </c:pt>
                <c:pt idx="6">
                  <c:v>56.880378699934745</c:v>
                </c:pt>
                <c:pt idx="7">
                  <c:v>90.553622174259019</c:v>
                </c:pt>
                <c:pt idx="8">
                  <c:v>135.18941400115398</c:v>
                </c:pt>
                <c:pt idx="9">
                  <c:v>189.91121424561163</c:v>
                </c:pt>
                <c:pt idx="10">
                  <c:v>251.88781405284459</c:v>
                </c:pt>
                <c:pt idx="11">
                  <c:v>316.51178260669474</c:v>
                </c:pt>
                <c:pt idx="12">
                  <c:v>378.07358832608571</c:v>
                </c:pt>
                <c:pt idx="13">
                  <c:v>430.76864591688314</c:v>
                </c:pt>
                <c:pt idx="14">
                  <c:v>469.75420338126071</c:v>
                </c:pt>
                <c:pt idx="15">
                  <c:v>491.96438542325933</c:v>
                </c:pt>
                <c:pt idx="16">
                  <c:v>496.49011767376595</c:v>
                </c:pt>
                <c:pt idx="17">
                  <c:v>484.48358091824787</c:v>
                </c:pt>
                <c:pt idx="18">
                  <c:v>458.68716136609777</c:v>
                </c:pt>
                <c:pt idx="19">
                  <c:v>422.76665617978227</c:v>
                </c:pt>
                <c:pt idx="20">
                  <c:v>380.6352863671554</c:v>
                </c:pt>
                <c:pt idx="21">
                  <c:v>335.90703450497801</c:v>
                </c:pt>
                <c:pt idx="22">
                  <c:v>291.54690757573894</c:v>
                </c:pt>
                <c:pt idx="23">
                  <c:v>249.72074578783281</c:v>
                </c:pt>
              </c:numCache>
            </c:numRef>
          </c:yVal>
          <c:smooth val="0"/>
        </c:ser>
        <c:dLbls>
          <c:showLegendKey val="0"/>
          <c:showVal val="0"/>
          <c:showCatName val="0"/>
          <c:showSerName val="0"/>
          <c:showPercent val="0"/>
          <c:showBubbleSize val="0"/>
        </c:dLbls>
        <c:axId val="268907792"/>
        <c:axId val="268910592"/>
      </c:scatterChart>
      <c:valAx>
        <c:axId val="268907792"/>
        <c:scaling>
          <c:orientation val="minMax"/>
        </c:scaling>
        <c:delete val="0"/>
        <c:axPos val="b"/>
        <c:title>
          <c:tx>
            <c:rich>
              <a:bodyPr/>
              <a:lstStyle/>
              <a:p>
                <a:pPr>
                  <a:defRPr/>
                </a:pPr>
                <a:r>
                  <a:rPr lang="en-IN"/>
                  <a:t>TLN</a:t>
                </a:r>
              </a:p>
            </c:rich>
          </c:tx>
          <c:overlay val="0"/>
        </c:title>
        <c:numFmt formatCode="General" sourceLinked="1"/>
        <c:majorTickMark val="out"/>
        <c:minorTickMark val="none"/>
        <c:tickLblPos val="nextTo"/>
        <c:crossAx val="268910592"/>
        <c:crosses val="autoZero"/>
        <c:crossBetween val="midCat"/>
      </c:valAx>
      <c:valAx>
        <c:axId val="268910592"/>
        <c:scaling>
          <c:orientation val="minMax"/>
        </c:scaling>
        <c:delete val="0"/>
        <c:axPos val="l"/>
        <c:title>
          <c:tx>
            <c:rich>
              <a:bodyPr rot="-5400000" vert="horz"/>
              <a:lstStyle/>
              <a:p>
                <a:pPr>
                  <a:defRPr/>
                </a:pPr>
                <a:r>
                  <a:rPr lang="en-IN"/>
                  <a:t>ILA</a:t>
                </a:r>
              </a:p>
            </c:rich>
          </c:tx>
          <c:overlay val="0"/>
        </c:title>
        <c:numFmt formatCode="General" sourceLinked="1"/>
        <c:majorTickMark val="out"/>
        <c:minorTickMark val="none"/>
        <c:tickLblPos val="nextTo"/>
        <c:crossAx val="268907792"/>
        <c:crosses val="autoZero"/>
        <c:crossBetween val="midCat"/>
      </c:valAx>
    </c:plotArea>
    <c:legend>
      <c:legendPos val="r"/>
      <c:layout>
        <c:manualLayout>
          <c:xMode val="edge"/>
          <c:yMode val="edge"/>
          <c:x val="9.5542265748522467E-2"/>
          <c:y val="4.0065796569949304E-3"/>
          <c:w val="0.43401634226855879"/>
          <c:h val="0.48813190854050753"/>
        </c:manualLayout>
      </c:layout>
      <c:overlay val="0"/>
    </c:legend>
    <c:plotVisOnly val="1"/>
    <c:dispBlanksAs val="gap"/>
    <c:showDLblsOverMax val="0"/>
  </c:chart>
  <c:txPr>
    <a:bodyPr/>
    <a:lstStyle/>
    <a:p>
      <a:pPr>
        <a:defRPr sz="800"/>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894486841328144"/>
          <c:y val="7.4286422281885339E-2"/>
          <c:w val="0.77338199345193581"/>
          <c:h val="0.74953556337372718"/>
        </c:manualLayout>
      </c:layout>
      <c:lineChart>
        <c:grouping val="standard"/>
        <c:varyColors val="0"/>
        <c:ser>
          <c:idx val="2"/>
          <c:order val="2"/>
          <c:tx>
            <c:strRef>
              <c:f>SOUR!$D$2</c:f>
              <c:strCache>
                <c:ptCount val="1"/>
                <c:pt idx="0">
                  <c:v>SOUR</c:v>
                </c:pt>
              </c:strCache>
            </c:strRef>
          </c:tx>
          <c:spPr>
            <a:ln>
              <a:noFill/>
            </a:ln>
          </c:spPr>
          <c:marker>
            <c:symbol val="square"/>
            <c:size val="5"/>
            <c:spPr>
              <a:solidFill>
                <a:schemeClr val="accent4"/>
              </a:solidFill>
              <a:ln>
                <a:solidFill>
                  <a:schemeClr val="accent4"/>
                </a:solidFill>
              </a:ln>
            </c:spPr>
          </c:marker>
          <c:val>
            <c:numRef>
              <c:f>SOUR!$D$3:$D$46</c:f>
              <c:numCache>
                <c:formatCode>General</c:formatCode>
                <c:ptCount val="44"/>
                <c:pt idx="0">
                  <c:v>1</c:v>
                </c:pt>
                <c:pt idx="1">
                  <c:v>1.9444444444444444</c:v>
                </c:pt>
                <c:pt idx="2">
                  <c:v>5.5555555555555554</c:v>
                </c:pt>
                <c:pt idx="3">
                  <c:v>9.9444444444444446</c:v>
                </c:pt>
                <c:pt idx="4">
                  <c:v>14.111111111111111</c:v>
                </c:pt>
                <c:pt idx="5">
                  <c:v>21.333333333333332</c:v>
                </c:pt>
                <c:pt idx="6">
                  <c:v>37.222222222222221</c:v>
                </c:pt>
                <c:pt idx="7">
                  <c:v>69.611111111111114</c:v>
                </c:pt>
                <c:pt idx="8">
                  <c:v>104.5</c:v>
                </c:pt>
                <c:pt idx="9">
                  <c:v>150.27777777777777</c:v>
                </c:pt>
                <c:pt idx="10">
                  <c:v>196.33333333333334</c:v>
                </c:pt>
                <c:pt idx="11">
                  <c:v>241</c:v>
                </c:pt>
                <c:pt idx="12">
                  <c:v>303.16666666666669</c:v>
                </c:pt>
                <c:pt idx="13">
                  <c:v>381</c:v>
                </c:pt>
                <c:pt idx="14">
                  <c:v>449.88888888888891</c:v>
                </c:pt>
                <c:pt idx="15">
                  <c:v>533.44444444444446</c:v>
                </c:pt>
                <c:pt idx="16">
                  <c:v>612.16666666666663</c:v>
                </c:pt>
                <c:pt idx="17">
                  <c:v>673.05555555555554</c:v>
                </c:pt>
                <c:pt idx="18">
                  <c:v>704.16666666666663</c:v>
                </c:pt>
                <c:pt idx="19">
                  <c:v>764.66666666666663</c:v>
                </c:pt>
                <c:pt idx="20">
                  <c:v>786.27777777777783</c:v>
                </c:pt>
                <c:pt idx="21">
                  <c:v>803.16666666666663</c:v>
                </c:pt>
                <c:pt idx="22">
                  <c:v>812.05555555555554</c:v>
                </c:pt>
                <c:pt idx="23">
                  <c:v>789.44444444444446</c:v>
                </c:pt>
                <c:pt idx="24">
                  <c:v>791.05555555555554</c:v>
                </c:pt>
                <c:pt idx="25">
                  <c:v>791.38888888888891</c:v>
                </c:pt>
                <c:pt idx="26">
                  <c:v>781.33333333333337</c:v>
                </c:pt>
                <c:pt idx="27">
                  <c:v>768</c:v>
                </c:pt>
                <c:pt idx="28">
                  <c:v>750.11111111111109</c:v>
                </c:pt>
                <c:pt idx="29">
                  <c:v>759.22222222222217</c:v>
                </c:pt>
                <c:pt idx="30">
                  <c:v>731.88888888888891</c:v>
                </c:pt>
                <c:pt idx="31">
                  <c:v>702.5</c:v>
                </c:pt>
                <c:pt idx="32">
                  <c:v>670.77777777777783</c:v>
                </c:pt>
                <c:pt idx="33">
                  <c:v>633.16666666666663</c:v>
                </c:pt>
                <c:pt idx="34">
                  <c:v>586.5</c:v>
                </c:pt>
                <c:pt idx="35">
                  <c:v>531.33333333333337</c:v>
                </c:pt>
                <c:pt idx="36">
                  <c:v>449.72222222222223</c:v>
                </c:pt>
                <c:pt idx="37">
                  <c:v>418.11764705882354</c:v>
                </c:pt>
                <c:pt idx="38">
                  <c:v>358.70588235294116</c:v>
                </c:pt>
                <c:pt idx="39">
                  <c:v>262.23529411764707</c:v>
                </c:pt>
                <c:pt idx="40">
                  <c:v>205.30769230769232</c:v>
                </c:pt>
                <c:pt idx="41">
                  <c:v>188.71428571428572</c:v>
                </c:pt>
                <c:pt idx="42">
                  <c:v>135.66666666666666</c:v>
                </c:pt>
                <c:pt idx="43">
                  <c:v>120</c:v>
                </c:pt>
              </c:numCache>
            </c:numRef>
          </c:val>
          <c:smooth val="0"/>
        </c:ser>
        <c:ser>
          <c:idx val="3"/>
          <c:order val="3"/>
          <c:tx>
            <c:strRef>
              <c:f>SOUR!$E$2</c:f>
              <c:strCache>
                <c:ptCount val="1"/>
                <c:pt idx="0">
                  <c:v>Pred</c:v>
                </c:pt>
              </c:strCache>
            </c:strRef>
          </c:tx>
          <c:marker>
            <c:symbol val="none"/>
          </c:marker>
          <c:val>
            <c:numRef>
              <c:f>SOUR!$E$3:$E$46</c:f>
              <c:numCache>
                <c:formatCode>General</c:formatCode>
                <c:ptCount val="44"/>
                <c:pt idx="0">
                  <c:v>0.50332417856675926</c:v>
                </c:pt>
                <c:pt idx="1">
                  <c:v>1.3076741015872948</c:v>
                </c:pt>
                <c:pt idx="2">
                  <c:v>3.1265186839346564</c:v>
                </c:pt>
                <c:pt idx="3">
                  <c:v>6.9039200726132357</c:v>
                </c:pt>
                <c:pt idx="4">
                  <c:v>14.130812912584927</c:v>
                </c:pt>
                <c:pt idx="5">
                  <c:v>26.905350101754937</c:v>
                </c:pt>
                <c:pt idx="6">
                  <c:v>47.827061928093158</c:v>
                </c:pt>
                <c:pt idx="7">
                  <c:v>79.659166041970693</c:v>
                </c:pt>
                <c:pt idx="8">
                  <c:v>124.76370145346984</c:v>
                </c:pt>
                <c:pt idx="9">
                  <c:v>184.41431633203624</c:v>
                </c:pt>
                <c:pt idx="10">
                  <c:v>258.17747320862418</c:v>
                </c:pt>
                <c:pt idx="11">
                  <c:v>343.57601212590339</c:v>
                </c:pt>
                <c:pt idx="12">
                  <c:v>436.18581977268497</c:v>
                </c:pt>
                <c:pt idx="13">
                  <c:v>530.18558405638089</c:v>
                </c:pt>
                <c:pt idx="14">
                  <c:v>619.23485765852263</c:v>
                </c:pt>
                <c:pt idx="15">
                  <c:v>697.45698587632614</c:v>
                </c:pt>
                <c:pt idx="16">
                  <c:v>760.28681462793543</c:v>
                </c:pt>
                <c:pt idx="17">
                  <c:v>805.00565304662462</c:v>
                </c:pt>
                <c:pt idx="18">
                  <c:v>830.89335771254571</c:v>
                </c:pt>
                <c:pt idx="19">
                  <c:v>839.0347999999999</c:v>
                </c:pt>
                <c:pt idx="20">
                  <c:v>839.0347999999999</c:v>
                </c:pt>
                <c:pt idx="21">
                  <c:v>839.0347999999999</c:v>
                </c:pt>
                <c:pt idx="22">
                  <c:v>839.0347999999999</c:v>
                </c:pt>
                <c:pt idx="23">
                  <c:v>839.0347999999999</c:v>
                </c:pt>
                <c:pt idx="24">
                  <c:v>839.0347999999999</c:v>
                </c:pt>
                <c:pt idx="25">
                  <c:v>839.0347999999999</c:v>
                </c:pt>
                <c:pt idx="26">
                  <c:v>839.0347999999999</c:v>
                </c:pt>
                <c:pt idx="27">
                  <c:v>839.0347999999999</c:v>
                </c:pt>
                <c:pt idx="28">
                  <c:v>839.0347999999999</c:v>
                </c:pt>
                <c:pt idx="29">
                  <c:v>824.56186908090774</c:v>
                </c:pt>
                <c:pt idx="30">
                  <c:v>784.50436405100027</c:v>
                </c:pt>
                <c:pt idx="31">
                  <c:v>725.20329299670038</c:v>
                </c:pt>
                <c:pt idx="32">
                  <c:v>653.70213400341572</c:v>
                </c:pt>
                <c:pt idx="33">
                  <c:v>576.65918507279275</c:v>
                </c:pt>
                <c:pt idx="34">
                  <c:v>499.62153037977322</c:v>
                </c:pt>
                <c:pt idx="35">
                  <c:v>426.68673476293731</c:v>
                </c:pt>
                <c:pt idx="36">
                  <c:v>360.48454183196168</c:v>
                </c:pt>
                <c:pt idx="37">
                  <c:v>302.3688890651938</c:v>
                </c:pt>
                <c:pt idx="38">
                  <c:v>252.71089153544136</c:v>
                </c:pt>
                <c:pt idx="39">
                  <c:v>211.20814261483125</c:v>
                </c:pt>
                <c:pt idx="40">
                  <c:v>177.15794788167545</c:v>
                </c:pt>
                <c:pt idx="41">
                  <c:v>149.67089479922947</c:v>
                </c:pt>
                <c:pt idx="42">
                  <c:v>127.82159837351766</c:v>
                </c:pt>
                <c:pt idx="43">
                  <c:v>110.74515925453689</c:v>
                </c:pt>
              </c:numCache>
            </c:numRef>
          </c:val>
          <c:smooth val="0"/>
        </c:ser>
        <c:ser>
          <c:idx val="4"/>
          <c:order val="4"/>
          <c:tx>
            <c:strRef>
              <c:f>SOUR!$D$52</c:f>
              <c:strCache>
                <c:ptCount val="1"/>
                <c:pt idx="0">
                  <c:v>SOUR</c:v>
                </c:pt>
              </c:strCache>
            </c:strRef>
          </c:tx>
          <c:spPr>
            <a:ln>
              <a:noFill/>
            </a:ln>
          </c:spPr>
          <c:marker>
            <c:symbol val="square"/>
            <c:size val="5"/>
            <c:spPr>
              <a:solidFill>
                <a:schemeClr val="accent6"/>
              </a:solidFill>
              <a:ln>
                <a:solidFill>
                  <a:schemeClr val="accent6"/>
                </a:solidFill>
              </a:ln>
            </c:spPr>
          </c:marker>
          <c:val>
            <c:numRef>
              <c:f>SOUR!$D$53:$D$88</c:f>
              <c:numCache>
                <c:formatCode>General</c:formatCode>
                <c:ptCount val="36"/>
                <c:pt idx="0">
                  <c:v>1.5555555555555556</c:v>
                </c:pt>
                <c:pt idx="1">
                  <c:v>1.35</c:v>
                </c:pt>
                <c:pt idx="2">
                  <c:v>4.8499999999999996</c:v>
                </c:pt>
                <c:pt idx="3">
                  <c:v>9.85</c:v>
                </c:pt>
                <c:pt idx="4">
                  <c:v>19.350000000000001</c:v>
                </c:pt>
                <c:pt idx="5">
                  <c:v>35.25</c:v>
                </c:pt>
                <c:pt idx="6">
                  <c:v>61.6</c:v>
                </c:pt>
                <c:pt idx="7">
                  <c:v>101.45</c:v>
                </c:pt>
                <c:pt idx="8">
                  <c:v>147.4</c:v>
                </c:pt>
                <c:pt idx="9">
                  <c:v>206.85</c:v>
                </c:pt>
                <c:pt idx="10">
                  <c:v>286.14999999999998</c:v>
                </c:pt>
                <c:pt idx="11">
                  <c:v>365.65</c:v>
                </c:pt>
                <c:pt idx="12">
                  <c:v>429.6</c:v>
                </c:pt>
                <c:pt idx="13">
                  <c:v>501.75</c:v>
                </c:pt>
                <c:pt idx="14">
                  <c:v>558.25</c:v>
                </c:pt>
                <c:pt idx="15">
                  <c:v>647.25</c:v>
                </c:pt>
                <c:pt idx="16">
                  <c:v>721.1</c:v>
                </c:pt>
                <c:pt idx="17">
                  <c:v>777.6</c:v>
                </c:pt>
                <c:pt idx="18">
                  <c:v>796.65</c:v>
                </c:pt>
                <c:pt idx="19">
                  <c:v>810.5</c:v>
                </c:pt>
                <c:pt idx="20">
                  <c:v>822.05</c:v>
                </c:pt>
                <c:pt idx="21">
                  <c:v>786.75</c:v>
                </c:pt>
                <c:pt idx="22">
                  <c:v>768.7</c:v>
                </c:pt>
                <c:pt idx="23">
                  <c:v>723.1</c:v>
                </c:pt>
                <c:pt idx="24">
                  <c:v>644.89473684210532</c:v>
                </c:pt>
                <c:pt idx="25">
                  <c:v>628.04999999999995</c:v>
                </c:pt>
                <c:pt idx="26">
                  <c:v>585.54999999999995</c:v>
                </c:pt>
                <c:pt idx="27">
                  <c:v>520.65</c:v>
                </c:pt>
                <c:pt idx="28">
                  <c:v>482.85</c:v>
                </c:pt>
                <c:pt idx="29">
                  <c:v>421.85</c:v>
                </c:pt>
                <c:pt idx="30">
                  <c:v>356.5</c:v>
                </c:pt>
                <c:pt idx="31">
                  <c:v>285.95</c:v>
                </c:pt>
                <c:pt idx="32">
                  <c:v>230.58823529411765</c:v>
                </c:pt>
                <c:pt idx="33">
                  <c:v>170.16666666666666</c:v>
                </c:pt>
                <c:pt idx="34">
                  <c:v>149.80000000000001</c:v>
                </c:pt>
                <c:pt idx="35">
                  <c:v>118</c:v>
                </c:pt>
              </c:numCache>
            </c:numRef>
          </c:val>
          <c:smooth val="0"/>
        </c:ser>
        <c:ser>
          <c:idx val="5"/>
          <c:order val="5"/>
          <c:tx>
            <c:strRef>
              <c:f>SOUR!$E$52</c:f>
              <c:strCache>
                <c:ptCount val="1"/>
                <c:pt idx="0">
                  <c:v>Pred</c:v>
                </c:pt>
              </c:strCache>
            </c:strRef>
          </c:tx>
          <c:marker>
            <c:symbol val="none"/>
          </c:marker>
          <c:val>
            <c:numRef>
              <c:f>SOUR!$E$53:$E$88</c:f>
              <c:numCache>
                <c:formatCode>General</c:formatCode>
                <c:ptCount val="36"/>
                <c:pt idx="0">
                  <c:v>0.39853771023103129</c:v>
                </c:pt>
                <c:pt idx="1">
                  <c:v>1.0583129906838742</c:v>
                </c:pt>
                <c:pt idx="2">
                  <c:v>2.5832096351366522</c:v>
                </c:pt>
                <c:pt idx="3">
                  <c:v>5.8165968343372656</c:v>
                </c:pt>
                <c:pt idx="4">
                  <c:v>12.125649935129958</c:v>
                </c:pt>
                <c:pt idx="5">
                  <c:v>23.487176384803142</c:v>
                </c:pt>
                <c:pt idx="6">
                  <c:v>42.423771899834946</c:v>
                </c:pt>
                <c:pt idx="7">
                  <c:v>71.713910074673592</c:v>
                </c:pt>
                <c:pt idx="8">
                  <c:v>113.86130206958792</c:v>
                </c:pt>
                <c:pt idx="9">
                  <c:v>170.40819518581108</c:v>
                </c:pt>
                <c:pt idx="10">
                  <c:v>241.27335421250115</c:v>
                </c:pt>
                <c:pt idx="11">
                  <c:v>324.3364568228447</c:v>
                </c:pt>
                <c:pt idx="12">
                  <c:v>415.44416356194461</c:v>
                </c:pt>
                <c:pt idx="13">
                  <c:v>508.88893865432675</c:v>
                </c:pt>
                <c:pt idx="14">
                  <c:v>598.25974528827078</c:v>
                </c:pt>
                <c:pt idx="15">
                  <c:v>677.44796275752367</c:v>
                </c:pt>
                <c:pt idx="16">
                  <c:v>741.55685855906779</c:v>
                </c:pt>
                <c:pt idx="17">
                  <c:v>787.51401839598896</c:v>
                </c:pt>
                <c:pt idx="18">
                  <c:v>814.29247233634749</c:v>
                </c:pt>
                <c:pt idx="19">
                  <c:v>822.76119999999992</c:v>
                </c:pt>
                <c:pt idx="20">
                  <c:v>822.76119999999992</c:v>
                </c:pt>
                <c:pt idx="21">
                  <c:v>808.56883240250784</c:v>
                </c:pt>
                <c:pt idx="22">
                  <c:v>769.28728807745085</c:v>
                </c:pt>
                <c:pt idx="23">
                  <c:v>711.13400772607451</c:v>
                </c:pt>
                <c:pt idx="24">
                  <c:v>641.01565937777707</c:v>
                </c:pt>
                <c:pt idx="25">
                  <c:v>565.46157227186222</c:v>
                </c:pt>
                <c:pt idx="26">
                  <c:v>489.91167245647335</c:v>
                </c:pt>
                <c:pt idx="27">
                  <c:v>418.38458740201418</c:v>
                </c:pt>
                <c:pt idx="28">
                  <c:v>353.45956198123673</c:v>
                </c:pt>
                <c:pt idx="29">
                  <c:v>296.46465686135565</c:v>
                </c:pt>
                <c:pt idx="30">
                  <c:v>247.76400821293893</c:v>
                </c:pt>
                <c:pt idx="31">
                  <c:v>207.06112908321043</c:v>
                </c:pt>
                <c:pt idx="32">
                  <c:v>173.66686796680321</c:v>
                </c:pt>
                <c:pt idx="33">
                  <c:v>146.70886847689286</c:v>
                </c:pt>
                <c:pt idx="34">
                  <c:v>125.27941921430501</c:v>
                </c:pt>
                <c:pt idx="35">
                  <c:v>108.53005682652672</c:v>
                </c:pt>
              </c:numCache>
            </c:numRef>
          </c:val>
          <c:smooth val="0"/>
        </c:ser>
        <c:ser>
          <c:idx val="0"/>
          <c:order val="0"/>
          <c:tx>
            <c:strRef>
              <c:f>'CSM338'!$D$2</c:f>
              <c:strCache>
                <c:ptCount val="1"/>
                <c:pt idx="0">
                  <c:v>CSM338</c:v>
                </c:pt>
              </c:strCache>
            </c:strRef>
          </c:tx>
          <c:spPr>
            <a:ln>
              <a:noFill/>
            </a:ln>
          </c:spPr>
          <c:marker>
            <c:symbol val="square"/>
            <c:size val="5"/>
            <c:spPr>
              <a:solidFill>
                <a:srgbClr val="C00000"/>
              </a:solidFill>
              <a:ln>
                <a:solidFill>
                  <a:srgbClr val="C00000"/>
                </a:solidFill>
              </a:ln>
            </c:spPr>
          </c:marker>
          <c:val>
            <c:numRef>
              <c:f>'CSM338'!$D$3:$D$34</c:f>
              <c:numCache>
                <c:formatCode>General</c:formatCode>
                <c:ptCount val="32"/>
                <c:pt idx="0">
                  <c:v>1</c:v>
                </c:pt>
                <c:pt idx="1">
                  <c:v>3.2</c:v>
                </c:pt>
                <c:pt idx="2">
                  <c:v>8.6</c:v>
                </c:pt>
                <c:pt idx="3">
                  <c:v>15.1</c:v>
                </c:pt>
                <c:pt idx="4">
                  <c:v>26</c:v>
                </c:pt>
                <c:pt idx="5">
                  <c:v>40.299999999999997</c:v>
                </c:pt>
                <c:pt idx="6">
                  <c:v>71.2</c:v>
                </c:pt>
                <c:pt idx="7">
                  <c:v>111.6</c:v>
                </c:pt>
                <c:pt idx="8">
                  <c:v>183.6</c:v>
                </c:pt>
                <c:pt idx="9">
                  <c:v>242</c:v>
                </c:pt>
                <c:pt idx="10">
                  <c:v>309.10000000000002</c:v>
                </c:pt>
                <c:pt idx="11">
                  <c:v>369.6</c:v>
                </c:pt>
                <c:pt idx="12">
                  <c:v>432.4</c:v>
                </c:pt>
                <c:pt idx="13">
                  <c:v>481.6</c:v>
                </c:pt>
                <c:pt idx="14">
                  <c:v>515.4</c:v>
                </c:pt>
                <c:pt idx="15">
                  <c:v>571.20000000000005</c:v>
                </c:pt>
                <c:pt idx="16">
                  <c:v>588.79999999999995</c:v>
                </c:pt>
                <c:pt idx="17">
                  <c:v>605</c:v>
                </c:pt>
                <c:pt idx="18">
                  <c:v>610.5</c:v>
                </c:pt>
                <c:pt idx="19">
                  <c:v>610.33333333333337</c:v>
                </c:pt>
                <c:pt idx="20">
                  <c:v>549.55555555555554</c:v>
                </c:pt>
                <c:pt idx="21">
                  <c:v>569.77777777777783</c:v>
                </c:pt>
                <c:pt idx="22">
                  <c:v>549</c:v>
                </c:pt>
                <c:pt idx="23">
                  <c:v>513.66666666666663</c:v>
                </c:pt>
                <c:pt idx="24">
                  <c:v>472.3</c:v>
                </c:pt>
                <c:pt idx="25">
                  <c:v>445.5</c:v>
                </c:pt>
                <c:pt idx="26">
                  <c:v>415.3</c:v>
                </c:pt>
                <c:pt idx="27">
                  <c:v>356.6</c:v>
                </c:pt>
                <c:pt idx="28">
                  <c:v>295.11111111111109</c:v>
                </c:pt>
                <c:pt idx="29">
                  <c:v>215.66666666666666</c:v>
                </c:pt>
                <c:pt idx="30">
                  <c:v>196</c:v>
                </c:pt>
                <c:pt idx="31">
                  <c:v>98</c:v>
                </c:pt>
              </c:numCache>
            </c:numRef>
          </c:val>
          <c:smooth val="0"/>
        </c:ser>
        <c:ser>
          <c:idx val="1"/>
          <c:order val="1"/>
          <c:tx>
            <c:strRef>
              <c:f>SOUR!$E$2</c:f>
              <c:strCache>
                <c:ptCount val="1"/>
                <c:pt idx="0">
                  <c:v>Pred</c:v>
                </c:pt>
              </c:strCache>
            </c:strRef>
          </c:tx>
          <c:marker>
            <c:symbol val="none"/>
          </c:marker>
          <c:val>
            <c:numRef>
              <c:f>'CSM338'!$E$3:$E$34</c:f>
              <c:numCache>
                <c:formatCode>General</c:formatCode>
                <c:ptCount val="32"/>
                <c:pt idx="0">
                  <c:v>0.2138002683302167</c:v>
                </c:pt>
                <c:pt idx="1">
                  <c:v>0.58677078110293257</c:v>
                </c:pt>
                <c:pt idx="2">
                  <c:v>1.4776633466615425</c:v>
                </c:pt>
                <c:pt idx="3">
                  <c:v>3.4268099195901658</c:v>
                </c:pt>
                <c:pt idx="4">
                  <c:v>7.3446774649762743</c:v>
                </c:pt>
                <c:pt idx="5">
                  <c:v>14.601058700281984</c:v>
                </c:pt>
                <c:pt idx="6">
                  <c:v>27.020014341942126</c:v>
                </c:pt>
                <c:pt idx="7">
                  <c:v>46.7129311460426</c:v>
                </c:pt>
                <c:pt idx="8">
                  <c:v>75.718096018731103</c:v>
                </c:pt>
                <c:pt idx="9">
                  <c:v>115.4872333629171</c:v>
                </c:pt>
                <c:pt idx="10">
                  <c:v>166.34153419745371</c:v>
                </c:pt>
                <c:pt idx="11">
                  <c:v>227.07042165043239</c:v>
                </c:pt>
                <c:pt idx="12">
                  <c:v>294.83176615728206</c:v>
                </c:pt>
                <c:pt idx="13">
                  <c:v>365.42859764388919</c:v>
                </c:pt>
                <c:pt idx="14">
                  <c:v>433.91637904764997</c:v>
                </c:pt>
                <c:pt idx="15">
                  <c:v>495.38803972360358</c:v>
                </c:pt>
                <c:pt idx="16">
                  <c:v>545.73481068677268</c:v>
                </c:pt>
                <c:pt idx="17">
                  <c:v>582.20397852103076</c:v>
                </c:pt>
                <c:pt idx="18">
                  <c:v>603.6521594811677</c:v>
                </c:pt>
                <c:pt idx="19">
                  <c:v>610.48800000000006</c:v>
                </c:pt>
                <c:pt idx="20">
                  <c:v>610.48800000000006</c:v>
                </c:pt>
                <c:pt idx="21">
                  <c:v>599.95675658336086</c:v>
                </c:pt>
                <c:pt idx="22">
                  <c:v>570.80644727596302</c:v>
                </c:pt>
                <c:pt idx="23">
                  <c:v>527.6483701212295</c:v>
                </c:pt>
                <c:pt idx="24">
                  <c:v>475.60657254726317</c:v>
                </c:pt>
                <c:pt idx="25">
                  <c:v>419.52641943523957</c:v>
                </c:pt>
                <c:pt idx="26">
                  <c:v>363.44584654944674</c:v>
                </c:pt>
                <c:pt idx="27">
                  <c:v>310.34856183439763</c:v>
                </c:pt>
                <c:pt idx="28">
                  <c:v>262.1501450393601</c:v>
                </c:pt>
                <c:pt idx="29">
                  <c:v>219.83736564106536</c:v>
                </c:pt>
                <c:pt idx="30">
                  <c:v>183.68118364307728</c:v>
                </c:pt>
                <c:pt idx="31">
                  <c:v>153.46179808170783</c:v>
                </c:pt>
              </c:numCache>
            </c:numRef>
          </c:val>
          <c:smooth val="0"/>
        </c:ser>
        <c:dLbls>
          <c:showLegendKey val="0"/>
          <c:showVal val="0"/>
          <c:showCatName val="0"/>
          <c:showSerName val="0"/>
          <c:showPercent val="0"/>
          <c:showBubbleSize val="0"/>
        </c:dLbls>
        <c:marker val="1"/>
        <c:smooth val="0"/>
        <c:axId val="280513648"/>
        <c:axId val="217250768"/>
      </c:lineChart>
      <c:catAx>
        <c:axId val="280513648"/>
        <c:scaling>
          <c:orientation val="minMax"/>
        </c:scaling>
        <c:delete val="0"/>
        <c:axPos val="b"/>
        <c:title>
          <c:tx>
            <c:rich>
              <a:bodyPr/>
              <a:lstStyle/>
              <a:p>
                <a:pPr>
                  <a:defRPr/>
                </a:pPr>
                <a:r>
                  <a:rPr lang="en-IN"/>
                  <a:t>LNo</a:t>
                </a:r>
              </a:p>
            </c:rich>
          </c:tx>
          <c:overlay val="0"/>
        </c:title>
        <c:majorTickMark val="out"/>
        <c:minorTickMark val="none"/>
        <c:tickLblPos val="nextTo"/>
        <c:crossAx val="217250768"/>
        <c:crosses val="autoZero"/>
        <c:auto val="1"/>
        <c:lblAlgn val="ctr"/>
        <c:lblOffset val="100"/>
        <c:noMultiLvlLbl val="0"/>
      </c:catAx>
      <c:valAx>
        <c:axId val="217250768"/>
        <c:scaling>
          <c:orientation val="minMax"/>
        </c:scaling>
        <c:delete val="0"/>
        <c:axPos val="l"/>
        <c:title>
          <c:tx>
            <c:rich>
              <a:bodyPr rot="-5400000" vert="horz"/>
              <a:lstStyle/>
              <a:p>
                <a:pPr>
                  <a:defRPr/>
                </a:pPr>
                <a:r>
                  <a:rPr lang="en-IN"/>
                  <a:t>ILA (cm2)</a:t>
                </a:r>
              </a:p>
            </c:rich>
          </c:tx>
          <c:overlay val="0"/>
        </c:title>
        <c:numFmt formatCode="General" sourceLinked="1"/>
        <c:majorTickMark val="out"/>
        <c:minorTickMark val="none"/>
        <c:tickLblPos val="nextTo"/>
        <c:crossAx val="280513648"/>
        <c:crosses val="autoZero"/>
        <c:crossBetween val="between"/>
      </c:valAx>
    </c:plotArea>
    <c:legend>
      <c:legendPos val="r"/>
      <c:layout>
        <c:manualLayout>
          <c:xMode val="edge"/>
          <c:yMode val="edge"/>
          <c:x val="0.19029715237871442"/>
          <c:y val="6.1070025821240437E-2"/>
          <c:w val="0.22719773004585397"/>
          <c:h val="0.41197856594767834"/>
        </c:manualLayout>
      </c:layout>
      <c:overlay val="0"/>
    </c:legend>
    <c:plotVisOnly val="1"/>
    <c:dispBlanksAs val="gap"/>
    <c:showDLblsOverMax val="0"/>
  </c:chart>
  <c:txPr>
    <a:bodyPr/>
    <a:lstStyle/>
    <a:p>
      <a:pPr>
        <a:defRPr sz="800"/>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832948752421351"/>
          <c:y val="6.6444622255899588E-2"/>
          <c:w val="0.78854211509337857"/>
          <c:h val="0.74012180398831717"/>
        </c:manualLayout>
      </c:layout>
      <c:lineChart>
        <c:grouping val="standard"/>
        <c:varyColors val="0"/>
        <c:ser>
          <c:idx val="0"/>
          <c:order val="0"/>
          <c:tx>
            <c:strRef>
              <c:f>CSM33512sitescharacteriz!$AB$2</c:f>
              <c:strCache>
                <c:ptCount val="1"/>
                <c:pt idx="0">
                  <c:v>E1</c:v>
                </c:pt>
              </c:strCache>
            </c:strRef>
          </c:tx>
          <c:spPr>
            <a:ln w="34925"/>
          </c:spPr>
          <c:marker>
            <c:symbol val="none"/>
          </c:marker>
          <c:cat>
            <c:numRef>
              <c:f>CSM33512sitescharacteriz!$AC$1:$AK$1</c:f>
              <c:numCache>
                <c:formatCode>General</c:formatCode>
                <c:ptCount val="9"/>
                <c:pt idx="0">
                  <c:v>-400</c:v>
                </c:pt>
                <c:pt idx="1">
                  <c:v>-300</c:v>
                </c:pt>
                <c:pt idx="2">
                  <c:v>-200</c:v>
                </c:pt>
                <c:pt idx="3">
                  <c:v>-100</c:v>
                </c:pt>
                <c:pt idx="4">
                  <c:v>0</c:v>
                </c:pt>
                <c:pt idx="5">
                  <c:v>100</c:v>
                </c:pt>
                <c:pt idx="6">
                  <c:v>200</c:v>
                </c:pt>
                <c:pt idx="7">
                  <c:v>300</c:v>
                </c:pt>
                <c:pt idx="8">
                  <c:v>400</c:v>
                </c:pt>
              </c:numCache>
            </c:numRef>
          </c:cat>
          <c:val>
            <c:numRef>
              <c:f>CSM33512sitescharacteriz!$AC$2:$AK$2</c:f>
              <c:numCache>
                <c:formatCode>General</c:formatCode>
                <c:ptCount val="9"/>
                <c:pt idx="0">
                  <c:v>0.99932631578947362</c:v>
                </c:pt>
                <c:pt idx="1">
                  <c:v>0.99987368421052636</c:v>
                </c:pt>
                <c:pt idx="2">
                  <c:v>1</c:v>
                </c:pt>
                <c:pt idx="3">
                  <c:v>0.99997894736842108</c:v>
                </c:pt>
                <c:pt idx="4">
                  <c:v>0.99989473684210539</c:v>
                </c:pt>
                <c:pt idx="5">
                  <c:v>0.99926315789473674</c:v>
                </c:pt>
                <c:pt idx="6">
                  <c:v>0.99589473684210517</c:v>
                </c:pt>
                <c:pt idx="7">
                  <c:v>0.99063157894736831</c:v>
                </c:pt>
                <c:pt idx="8">
                  <c:v>0.9950526315789473</c:v>
                </c:pt>
              </c:numCache>
            </c:numRef>
          </c:val>
          <c:smooth val="0"/>
        </c:ser>
        <c:ser>
          <c:idx val="1"/>
          <c:order val="1"/>
          <c:tx>
            <c:strRef>
              <c:f>CSM33512sitescharacteriz!$AB$3</c:f>
              <c:strCache>
                <c:ptCount val="1"/>
                <c:pt idx="0">
                  <c:v>E2</c:v>
                </c:pt>
              </c:strCache>
            </c:strRef>
          </c:tx>
          <c:spPr>
            <a:ln w="34925"/>
          </c:spPr>
          <c:marker>
            <c:symbol val="none"/>
          </c:marker>
          <c:cat>
            <c:numRef>
              <c:f>CSM33512sitescharacteriz!$AC$1:$AK$1</c:f>
              <c:numCache>
                <c:formatCode>General</c:formatCode>
                <c:ptCount val="9"/>
                <c:pt idx="0">
                  <c:v>-400</c:v>
                </c:pt>
                <c:pt idx="1">
                  <c:v>-300</c:v>
                </c:pt>
                <c:pt idx="2">
                  <c:v>-200</c:v>
                </c:pt>
                <c:pt idx="3">
                  <c:v>-100</c:v>
                </c:pt>
                <c:pt idx="4">
                  <c:v>0</c:v>
                </c:pt>
                <c:pt idx="5">
                  <c:v>100</c:v>
                </c:pt>
                <c:pt idx="6">
                  <c:v>200</c:v>
                </c:pt>
                <c:pt idx="7">
                  <c:v>300</c:v>
                </c:pt>
                <c:pt idx="8">
                  <c:v>400</c:v>
                </c:pt>
              </c:numCache>
            </c:numRef>
          </c:cat>
          <c:val>
            <c:numRef>
              <c:f>CSM33512sitescharacteriz!$AC$3:$AK$3</c:f>
              <c:numCache>
                <c:formatCode>General</c:formatCode>
                <c:ptCount val="9"/>
                <c:pt idx="0">
                  <c:v>0.61241379310344823</c:v>
                </c:pt>
                <c:pt idx="1">
                  <c:v>0.45586206896551734</c:v>
                </c:pt>
                <c:pt idx="2">
                  <c:v>0.26758620689655171</c:v>
                </c:pt>
                <c:pt idx="3">
                  <c:v>0.28034482758620693</c:v>
                </c:pt>
                <c:pt idx="4">
                  <c:v>0.453793103448276</c:v>
                </c:pt>
                <c:pt idx="5">
                  <c:v>0.53</c:v>
                </c:pt>
                <c:pt idx="6">
                  <c:v>0.50758620689655176</c:v>
                </c:pt>
                <c:pt idx="7">
                  <c:v>0.42827586206896551</c:v>
                </c:pt>
                <c:pt idx="8">
                  <c:v>0.42689655172413798</c:v>
                </c:pt>
              </c:numCache>
            </c:numRef>
          </c:val>
          <c:smooth val="0"/>
        </c:ser>
        <c:ser>
          <c:idx val="2"/>
          <c:order val="2"/>
          <c:tx>
            <c:strRef>
              <c:f>CSM33512sitescharacteriz!$AB$4</c:f>
              <c:strCache>
                <c:ptCount val="1"/>
                <c:pt idx="0">
                  <c:v>E3</c:v>
                </c:pt>
              </c:strCache>
            </c:strRef>
          </c:tx>
          <c:spPr>
            <a:ln w="34925"/>
          </c:spPr>
          <c:marker>
            <c:symbol val="none"/>
          </c:marker>
          <c:cat>
            <c:numRef>
              <c:f>CSM33512sitescharacteriz!$AC$1:$AK$1</c:f>
              <c:numCache>
                <c:formatCode>General</c:formatCode>
                <c:ptCount val="9"/>
                <c:pt idx="0">
                  <c:v>-400</c:v>
                </c:pt>
                <c:pt idx="1">
                  <c:v>-300</c:v>
                </c:pt>
                <c:pt idx="2">
                  <c:v>-200</c:v>
                </c:pt>
                <c:pt idx="3">
                  <c:v>-100</c:v>
                </c:pt>
                <c:pt idx="4">
                  <c:v>0</c:v>
                </c:pt>
                <c:pt idx="5">
                  <c:v>100</c:v>
                </c:pt>
                <c:pt idx="6">
                  <c:v>200</c:v>
                </c:pt>
                <c:pt idx="7">
                  <c:v>300</c:v>
                </c:pt>
                <c:pt idx="8">
                  <c:v>400</c:v>
                </c:pt>
              </c:numCache>
            </c:numRef>
          </c:cat>
          <c:val>
            <c:numRef>
              <c:f>CSM33512sitescharacteriz!$AC$4:$AK$4</c:f>
              <c:numCache>
                <c:formatCode>General</c:formatCode>
                <c:ptCount val="9"/>
                <c:pt idx="0">
                  <c:v>0.95323529411764696</c:v>
                </c:pt>
                <c:pt idx="1">
                  <c:v>0.94676470588235284</c:v>
                </c:pt>
                <c:pt idx="2">
                  <c:v>0.8973529411764708</c:v>
                </c:pt>
                <c:pt idx="3">
                  <c:v>0.77911764705882347</c:v>
                </c:pt>
                <c:pt idx="4">
                  <c:v>0.59676470588235286</c:v>
                </c:pt>
                <c:pt idx="5">
                  <c:v>0.44147058823529417</c:v>
                </c:pt>
                <c:pt idx="6">
                  <c:v>0.21676470588235294</c:v>
                </c:pt>
                <c:pt idx="7">
                  <c:v>0.1461764705882353</c:v>
                </c:pt>
                <c:pt idx="8">
                  <c:v>0.16617647058823531</c:v>
                </c:pt>
              </c:numCache>
            </c:numRef>
          </c:val>
          <c:smooth val="0"/>
        </c:ser>
        <c:dLbls>
          <c:showLegendKey val="0"/>
          <c:showVal val="0"/>
          <c:showCatName val="0"/>
          <c:showSerName val="0"/>
          <c:showPercent val="0"/>
          <c:showBubbleSize val="0"/>
        </c:dLbls>
        <c:smooth val="0"/>
        <c:axId val="280400160"/>
        <c:axId val="280397920"/>
      </c:lineChart>
      <c:catAx>
        <c:axId val="280400160"/>
        <c:scaling>
          <c:orientation val="minMax"/>
        </c:scaling>
        <c:delete val="0"/>
        <c:axPos val="b"/>
        <c:title>
          <c:tx>
            <c:rich>
              <a:bodyPr/>
              <a:lstStyle/>
              <a:p>
                <a:pPr>
                  <a:defRPr/>
                </a:pPr>
                <a:r>
                  <a:rPr lang="en-IN"/>
                  <a:t>TT (around flowering)</a:t>
                </a:r>
              </a:p>
            </c:rich>
          </c:tx>
          <c:overlay val="0"/>
        </c:title>
        <c:numFmt formatCode="General" sourceLinked="1"/>
        <c:majorTickMark val="out"/>
        <c:minorTickMark val="none"/>
        <c:tickLblPos val="nextTo"/>
        <c:crossAx val="280397920"/>
        <c:crosses val="autoZero"/>
        <c:auto val="1"/>
        <c:lblAlgn val="ctr"/>
        <c:lblOffset val="100"/>
        <c:noMultiLvlLbl val="0"/>
      </c:catAx>
      <c:valAx>
        <c:axId val="280397920"/>
        <c:scaling>
          <c:orientation val="minMax"/>
          <c:max val="1"/>
        </c:scaling>
        <c:delete val="0"/>
        <c:axPos val="l"/>
        <c:title>
          <c:tx>
            <c:rich>
              <a:bodyPr rot="-5400000" vert="horz"/>
              <a:lstStyle/>
              <a:p>
                <a:pPr>
                  <a:defRPr/>
                </a:pPr>
                <a:r>
                  <a:rPr lang="en-IN"/>
                  <a:t>S/D</a:t>
                </a:r>
              </a:p>
            </c:rich>
          </c:tx>
          <c:overlay val="0"/>
        </c:title>
        <c:numFmt formatCode="General" sourceLinked="1"/>
        <c:majorTickMark val="out"/>
        <c:minorTickMark val="none"/>
        <c:tickLblPos val="nextTo"/>
        <c:crossAx val="280400160"/>
        <c:crosses val="autoZero"/>
        <c:crossBetween val="between"/>
        <c:majorUnit val="0.2"/>
      </c:valAx>
    </c:plotArea>
    <c:legend>
      <c:legendPos val="r"/>
      <c:layout>
        <c:manualLayout>
          <c:xMode val="edge"/>
          <c:yMode val="edge"/>
          <c:x val="0.79547852200205227"/>
          <c:y val="9.8310421463704362E-2"/>
          <c:w val="0.17403166550515001"/>
          <c:h val="0.32465937011391555"/>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046901470363069"/>
          <c:y val="6.6721873107207758E-2"/>
          <c:w val="0.74690763285585615"/>
          <c:h val="0.77340592797346164"/>
        </c:manualLayout>
      </c:layout>
      <c:lineChart>
        <c:grouping val="standard"/>
        <c:varyColors val="0"/>
        <c:ser>
          <c:idx val="0"/>
          <c:order val="0"/>
          <c:tx>
            <c:v>E1</c:v>
          </c:tx>
          <c:spPr>
            <a:ln w="34925"/>
          </c:spPr>
          <c:marker>
            <c:symbol val="none"/>
          </c:marker>
          <c:cat>
            <c:numRef>
              <c:f>CSM63E12sitescharacteriz!$AC$1:$AK$1</c:f>
              <c:numCache>
                <c:formatCode>General</c:formatCode>
                <c:ptCount val="9"/>
                <c:pt idx="0">
                  <c:v>-400</c:v>
                </c:pt>
                <c:pt idx="1">
                  <c:v>-300</c:v>
                </c:pt>
                <c:pt idx="2">
                  <c:v>-200</c:v>
                </c:pt>
                <c:pt idx="3">
                  <c:v>-100</c:v>
                </c:pt>
                <c:pt idx="4">
                  <c:v>0</c:v>
                </c:pt>
                <c:pt idx="5">
                  <c:v>100</c:v>
                </c:pt>
                <c:pt idx="6">
                  <c:v>200</c:v>
                </c:pt>
                <c:pt idx="7">
                  <c:v>300</c:v>
                </c:pt>
                <c:pt idx="8">
                  <c:v>400</c:v>
                </c:pt>
              </c:numCache>
            </c:numRef>
          </c:cat>
          <c:val>
            <c:numRef>
              <c:f>CSM63E12sitescharacteriz!$AC$2:$AK$2</c:f>
              <c:numCache>
                <c:formatCode>General</c:formatCode>
                <c:ptCount val="9"/>
                <c:pt idx="0">
                  <c:v>1</c:v>
                </c:pt>
                <c:pt idx="1">
                  <c:v>0.99987927565392354</c:v>
                </c:pt>
                <c:pt idx="2">
                  <c:v>0.99871227364185111</c:v>
                </c:pt>
                <c:pt idx="3">
                  <c:v>0.99744466800804843</c:v>
                </c:pt>
                <c:pt idx="4">
                  <c:v>0.99583501006036212</c:v>
                </c:pt>
                <c:pt idx="5">
                  <c:v>0.9961770623742453</c:v>
                </c:pt>
                <c:pt idx="6">
                  <c:v>0.99692152917505028</c:v>
                </c:pt>
                <c:pt idx="7">
                  <c:v>0.99887323943661976</c:v>
                </c:pt>
                <c:pt idx="8">
                  <c:v>0.99784708249496978</c:v>
                </c:pt>
              </c:numCache>
            </c:numRef>
          </c:val>
          <c:smooth val="0"/>
        </c:ser>
        <c:ser>
          <c:idx val="1"/>
          <c:order val="1"/>
          <c:tx>
            <c:v>E2</c:v>
          </c:tx>
          <c:spPr>
            <a:ln w="34925"/>
          </c:spPr>
          <c:marker>
            <c:symbol val="none"/>
          </c:marker>
          <c:cat>
            <c:numRef>
              <c:f>CSM63E12sitescharacteriz!$AC$1:$AK$1</c:f>
              <c:numCache>
                <c:formatCode>General</c:formatCode>
                <c:ptCount val="9"/>
                <c:pt idx="0">
                  <c:v>-400</c:v>
                </c:pt>
                <c:pt idx="1">
                  <c:v>-300</c:v>
                </c:pt>
                <c:pt idx="2">
                  <c:v>-200</c:v>
                </c:pt>
                <c:pt idx="3">
                  <c:v>-100</c:v>
                </c:pt>
                <c:pt idx="4">
                  <c:v>0</c:v>
                </c:pt>
                <c:pt idx="5">
                  <c:v>100</c:v>
                </c:pt>
                <c:pt idx="6">
                  <c:v>200</c:v>
                </c:pt>
                <c:pt idx="7">
                  <c:v>300</c:v>
                </c:pt>
                <c:pt idx="8">
                  <c:v>400</c:v>
                </c:pt>
              </c:numCache>
            </c:numRef>
          </c:cat>
          <c:val>
            <c:numRef>
              <c:f>CSM63E12sitescharacteriz!$AC$3:$AK$3</c:f>
              <c:numCache>
                <c:formatCode>General</c:formatCode>
                <c:ptCount val="9"/>
                <c:pt idx="0">
                  <c:v>0.99882352941176478</c:v>
                </c:pt>
                <c:pt idx="1">
                  <c:v>0.99529411764705888</c:v>
                </c:pt>
                <c:pt idx="2">
                  <c:v>0.97588235294117642</c:v>
                </c:pt>
                <c:pt idx="3">
                  <c:v>0.96823529411764708</c:v>
                </c:pt>
                <c:pt idx="4">
                  <c:v>0.88117647058823523</c:v>
                </c:pt>
                <c:pt idx="5">
                  <c:v>0.70647058823529396</c:v>
                </c:pt>
                <c:pt idx="6">
                  <c:v>0.46352941176470586</c:v>
                </c:pt>
                <c:pt idx="7">
                  <c:v>0.44117647058823534</c:v>
                </c:pt>
                <c:pt idx="8">
                  <c:v>0.27823529411764708</c:v>
                </c:pt>
              </c:numCache>
            </c:numRef>
          </c:val>
          <c:smooth val="0"/>
        </c:ser>
        <c:ser>
          <c:idx val="2"/>
          <c:order val="2"/>
          <c:tx>
            <c:v>E3</c:v>
          </c:tx>
          <c:spPr>
            <a:ln w="34925"/>
          </c:spPr>
          <c:marker>
            <c:symbol val="none"/>
          </c:marker>
          <c:cat>
            <c:numRef>
              <c:f>CSM63E12sitescharacteriz!$AC$1:$AK$1</c:f>
              <c:numCache>
                <c:formatCode>General</c:formatCode>
                <c:ptCount val="9"/>
                <c:pt idx="0">
                  <c:v>-400</c:v>
                </c:pt>
                <c:pt idx="1">
                  <c:v>-300</c:v>
                </c:pt>
                <c:pt idx="2">
                  <c:v>-200</c:v>
                </c:pt>
                <c:pt idx="3">
                  <c:v>-100</c:v>
                </c:pt>
                <c:pt idx="4">
                  <c:v>0</c:v>
                </c:pt>
                <c:pt idx="5">
                  <c:v>100</c:v>
                </c:pt>
                <c:pt idx="6">
                  <c:v>200</c:v>
                </c:pt>
                <c:pt idx="7">
                  <c:v>300</c:v>
                </c:pt>
                <c:pt idx="8">
                  <c:v>400</c:v>
                </c:pt>
              </c:numCache>
            </c:numRef>
          </c:cat>
          <c:val>
            <c:numRef>
              <c:f>CSM63E12sitescharacteriz!$AC$4:$AK$4</c:f>
              <c:numCache>
                <c:formatCode>General</c:formatCode>
                <c:ptCount val="9"/>
                <c:pt idx="0">
                  <c:v>0.99166666666666659</c:v>
                </c:pt>
                <c:pt idx="1">
                  <c:v>0.91625000000000023</c:v>
                </c:pt>
                <c:pt idx="2">
                  <c:v>0.70250000000000012</c:v>
                </c:pt>
                <c:pt idx="3">
                  <c:v>0.52958333333333318</c:v>
                </c:pt>
                <c:pt idx="4">
                  <c:v>0.37291666666666662</c:v>
                </c:pt>
                <c:pt idx="5">
                  <c:v>0.28333333333333338</c:v>
                </c:pt>
                <c:pt idx="6">
                  <c:v>0.23416666666666675</c:v>
                </c:pt>
                <c:pt idx="7">
                  <c:v>0.23750000000000002</c:v>
                </c:pt>
                <c:pt idx="8">
                  <c:v>0.15958333333333333</c:v>
                </c:pt>
              </c:numCache>
            </c:numRef>
          </c:val>
          <c:smooth val="0"/>
        </c:ser>
        <c:dLbls>
          <c:showLegendKey val="0"/>
          <c:showVal val="0"/>
          <c:showCatName val="0"/>
          <c:showSerName val="0"/>
          <c:showPercent val="0"/>
          <c:showBubbleSize val="0"/>
        </c:dLbls>
        <c:smooth val="0"/>
        <c:axId val="216329136"/>
        <c:axId val="136027856"/>
      </c:lineChart>
      <c:catAx>
        <c:axId val="216329136"/>
        <c:scaling>
          <c:orientation val="minMax"/>
        </c:scaling>
        <c:delete val="0"/>
        <c:axPos val="b"/>
        <c:title>
          <c:tx>
            <c:rich>
              <a:bodyPr/>
              <a:lstStyle/>
              <a:p>
                <a:pPr>
                  <a:defRPr/>
                </a:pPr>
                <a:r>
                  <a:rPr lang="en-IN"/>
                  <a:t>TT (around flowering)</a:t>
                </a:r>
              </a:p>
            </c:rich>
          </c:tx>
          <c:overlay val="0"/>
        </c:title>
        <c:numFmt formatCode="General" sourceLinked="1"/>
        <c:majorTickMark val="out"/>
        <c:minorTickMark val="none"/>
        <c:tickLblPos val="nextTo"/>
        <c:crossAx val="136027856"/>
        <c:crosses val="autoZero"/>
        <c:auto val="1"/>
        <c:lblAlgn val="ctr"/>
        <c:lblOffset val="100"/>
        <c:noMultiLvlLbl val="0"/>
      </c:catAx>
      <c:valAx>
        <c:axId val="136027856"/>
        <c:scaling>
          <c:orientation val="minMax"/>
          <c:max val="1"/>
        </c:scaling>
        <c:delete val="0"/>
        <c:axPos val="l"/>
        <c:title>
          <c:tx>
            <c:rich>
              <a:bodyPr rot="-5400000" vert="horz"/>
              <a:lstStyle/>
              <a:p>
                <a:pPr>
                  <a:defRPr/>
                </a:pPr>
                <a:r>
                  <a:rPr lang="en-IN"/>
                  <a:t>S/D</a:t>
                </a:r>
              </a:p>
            </c:rich>
          </c:tx>
          <c:overlay val="0"/>
        </c:title>
        <c:numFmt formatCode="General" sourceLinked="1"/>
        <c:majorTickMark val="out"/>
        <c:minorTickMark val="none"/>
        <c:tickLblPos val="nextTo"/>
        <c:crossAx val="216329136"/>
        <c:crosses val="autoZero"/>
        <c:crossBetween val="between"/>
        <c:majorUnit val="0.2"/>
      </c:valAx>
    </c:plotArea>
    <c:legend>
      <c:legendPos val="r"/>
      <c:layout>
        <c:manualLayout>
          <c:xMode val="edge"/>
          <c:yMode val="edge"/>
          <c:x val="0.82305642255716904"/>
          <c:y val="0.10266315869170202"/>
          <c:w val="0.14742533205847053"/>
          <c:h val="0.32598460068768392"/>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3312B-24C7-4EE9-9CE8-FAC16B1BB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538</Words>
  <Characters>3070</Characters>
  <Application>Microsoft Office Word</Application>
  <DocSecurity>0</DocSecurity>
  <Lines>25</Lines>
  <Paragraphs>7</Paragraphs>
  <ScaleCrop>false</ScaleCrop>
  <Company>Hewlett-Packard Company</Company>
  <LinksUpToDate>false</LinksUpToDate>
  <CharactersWithSpaces>3601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5</cp:revision>
  <dcterms:created xsi:type="dcterms:W3CDTF">2017-01-24T07:16:00Z</dcterms:created>
  <dcterms:modified xsi:type="dcterms:W3CDTF">2017-01-24T11:04:00Z</dcterms:modified>
</cp:coreProperties>
</file>