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06E" w:rsidRPr="00517D3C" w:rsidRDefault="00BD606E" w:rsidP="00BD606E">
      <w:pPr>
        <w:jc w:val="both"/>
        <w:rPr>
          <w:b/>
        </w:rPr>
      </w:pPr>
      <w:r w:rsidRPr="00517D3C">
        <w:rPr>
          <w:b/>
        </w:rPr>
        <w:t xml:space="preserve">Product Line 5: Insect-smart chickpea, cowpea, and </w:t>
      </w:r>
      <w:proofErr w:type="spellStart"/>
      <w:r w:rsidRPr="00517D3C">
        <w:rPr>
          <w:b/>
        </w:rPr>
        <w:t>pigeonpea</w:t>
      </w:r>
      <w:proofErr w:type="spellEnd"/>
      <w:r w:rsidRPr="00517D3C">
        <w:rPr>
          <w:b/>
        </w:rPr>
        <w:t xml:space="preserve"> production systems</w:t>
      </w:r>
    </w:p>
    <w:p w:rsidR="00BD606E" w:rsidRPr="00517D3C" w:rsidRDefault="00BD606E" w:rsidP="00BD606E">
      <w:pPr>
        <w:jc w:val="both"/>
      </w:pPr>
    </w:p>
    <w:p w:rsidR="00BD606E" w:rsidRPr="00517D3C" w:rsidRDefault="00BD606E" w:rsidP="00BD606E">
      <w:pPr>
        <w:jc w:val="both"/>
        <w:rPr>
          <w:b/>
        </w:rPr>
      </w:pPr>
      <w:r w:rsidRPr="00517D3C">
        <w:rPr>
          <w:b/>
          <w:u w:val="single"/>
        </w:rPr>
        <w:t>Activity 1</w:t>
      </w:r>
      <w:r w:rsidRPr="00517D3C">
        <w:rPr>
          <w:b/>
        </w:rPr>
        <w:t xml:space="preserve">: Screening cowpea germplasm (cultivated and wild relatives) for aphid resistance (Ousmane </w:t>
      </w:r>
      <w:proofErr w:type="spellStart"/>
      <w:r w:rsidRPr="00517D3C">
        <w:rPr>
          <w:b/>
        </w:rPr>
        <w:t>Boukar</w:t>
      </w:r>
      <w:proofErr w:type="spellEnd"/>
      <w:r w:rsidRPr="00517D3C">
        <w:rPr>
          <w:b/>
        </w:rPr>
        <w:t>)</w:t>
      </w:r>
    </w:p>
    <w:p w:rsidR="00BD606E" w:rsidRPr="00517D3C" w:rsidRDefault="00BD606E" w:rsidP="00BD606E">
      <w:pPr>
        <w:jc w:val="both"/>
        <w:rPr>
          <w:b/>
        </w:rPr>
      </w:pPr>
    </w:p>
    <w:p w:rsidR="00BD606E" w:rsidRPr="00517D3C" w:rsidRDefault="00BD606E" w:rsidP="00BD606E">
      <w:pPr>
        <w:numPr>
          <w:ilvl w:val="0"/>
          <w:numId w:val="1"/>
        </w:numPr>
        <w:jc w:val="both"/>
      </w:pPr>
      <w:r w:rsidRPr="00517D3C">
        <w:t xml:space="preserve">Objective of activity and intended output </w:t>
      </w:r>
    </w:p>
    <w:p w:rsidR="00BD606E" w:rsidRPr="00517D3C" w:rsidRDefault="00BD606E" w:rsidP="00BD606E">
      <w:pPr>
        <w:jc w:val="both"/>
      </w:pPr>
      <w:r w:rsidRPr="00517D3C">
        <w:t>The objective of this activity is to evaluate various cowpea germplasm accessions for resistance to aphid (</w:t>
      </w:r>
      <w:r w:rsidRPr="00517D3C">
        <w:rPr>
          <w:i/>
        </w:rPr>
        <w:t xml:space="preserve">Aphis </w:t>
      </w:r>
      <w:proofErr w:type="spellStart"/>
      <w:r w:rsidRPr="00517D3C">
        <w:rPr>
          <w:i/>
        </w:rPr>
        <w:t>craccivora</w:t>
      </w:r>
      <w:proofErr w:type="spellEnd"/>
      <w:r w:rsidRPr="00517D3C">
        <w:rPr>
          <w:i/>
        </w:rPr>
        <w:t>)</w:t>
      </w:r>
      <w:r w:rsidRPr="00517D3C">
        <w:t>. The envisioned activity output is identification of resistant lines.</w:t>
      </w:r>
    </w:p>
    <w:p w:rsidR="00BD606E" w:rsidRPr="00517D3C" w:rsidRDefault="00BD606E" w:rsidP="00BD606E">
      <w:pPr>
        <w:jc w:val="both"/>
      </w:pPr>
    </w:p>
    <w:p w:rsidR="00BD606E" w:rsidRPr="00517D3C" w:rsidRDefault="00BD606E" w:rsidP="00BD606E">
      <w:pPr>
        <w:numPr>
          <w:ilvl w:val="0"/>
          <w:numId w:val="1"/>
        </w:numPr>
        <w:jc w:val="both"/>
      </w:pPr>
      <w:r w:rsidRPr="00517D3C">
        <w:t xml:space="preserve">Materials and methods </w:t>
      </w:r>
    </w:p>
    <w:p w:rsidR="00BD606E" w:rsidRPr="00517D3C" w:rsidRDefault="00BD606E" w:rsidP="00BD606E">
      <w:pPr>
        <w:autoSpaceDE w:val="0"/>
        <w:autoSpaceDN w:val="0"/>
        <w:adjustRightInd w:val="0"/>
        <w:jc w:val="both"/>
        <w:rPr>
          <w:color w:val="000000" w:themeColor="text1"/>
        </w:rPr>
      </w:pPr>
      <w:r w:rsidRPr="00517D3C">
        <w:rPr>
          <w:rFonts w:ascii="Times New Roman" w:hAnsi="Times New Roman" w:cs="Times New Roman"/>
          <w:color w:val="000000" w:themeColor="text1"/>
          <w:szCs w:val="16"/>
        </w:rPr>
        <w:t>A total set of 376 entries including 374 mini-core accessions, 1 resistant check (TVu801) and 1 susceptible check (</w:t>
      </w:r>
      <w:proofErr w:type="spellStart"/>
      <w:r w:rsidRPr="00517D3C">
        <w:rPr>
          <w:rFonts w:ascii="Times New Roman" w:hAnsi="Times New Roman" w:cs="Times New Roman"/>
          <w:color w:val="000000" w:themeColor="text1"/>
          <w:szCs w:val="16"/>
        </w:rPr>
        <w:t>TVx</w:t>
      </w:r>
      <w:proofErr w:type="spellEnd"/>
      <w:r w:rsidRPr="00517D3C">
        <w:rPr>
          <w:rFonts w:ascii="Times New Roman" w:hAnsi="Times New Roman" w:cs="Times New Roman"/>
          <w:color w:val="000000" w:themeColor="text1"/>
          <w:szCs w:val="16"/>
        </w:rPr>
        <w:t xml:space="preserve"> 3236) were evaluated in screening cages at Kano and screen house at </w:t>
      </w:r>
      <w:proofErr w:type="spellStart"/>
      <w:r w:rsidRPr="00517D3C">
        <w:rPr>
          <w:rFonts w:ascii="Times New Roman" w:hAnsi="Times New Roman" w:cs="Times New Roman"/>
          <w:color w:val="000000" w:themeColor="text1"/>
          <w:szCs w:val="16"/>
        </w:rPr>
        <w:t>Cotonou</w:t>
      </w:r>
      <w:proofErr w:type="spellEnd"/>
      <w:r w:rsidRPr="00517D3C">
        <w:rPr>
          <w:rFonts w:ascii="Times New Roman" w:hAnsi="Times New Roman" w:cs="Times New Roman"/>
          <w:color w:val="000000" w:themeColor="text1"/>
          <w:szCs w:val="16"/>
        </w:rPr>
        <w:t xml:space="preserve"> for resistance to cowpea aphid (</w:t>
      </w:r>
      <w:r w:rsidRPr="00517D3C">
        <w:rPr>
          <w:rFonts w:ascii="Times New Roman" w:hAnsi="Times New Roman" w:cs="Times New Roman"/>
          <w:i/>
          <w:color w:val="000000" w:themeColor="text1"/>
          <w:szCs w:val="16"/>
        </w:rPr>
        <w:t xml:space="preserve">Aphis </w:t>
      </w:r>
      <w:proofErr w:type="spellStart"/>
      <w:r w:rsidRPr="00517D3C">
        <w:rPr>
          <w:rFonts w:ascii="Times New Roman" w:hAnsi="Times New Roman" w:cs="Times New Roman"/>
          <w:i/>
          <w:color w:val="000000" w:themeColor="text1"/>
          <w:szCs w:val="16"/>
        </w:rPr>
        <w:t>craccivora</w:t>
      </w:r>
      <w:proofErr w:type="spellEnd"/>
      <w:r w:rsidRPr="00517D3C">
        <w:rPr>
          <w:rFonts w:ascii="Times New Roman" w:hAnsi="Times New Roman" w:cs="Times New Roman"/>
          <w:color w:val="000000" w:themeColor="text1"/>
          <w:szCs w:val="16"/>
        </w:rPr>
        <w:t>).</w:t>
      </w:r>
      <w:r w:rsidRPr="00517D3C">
        <w:rPr>
          <w:rFonts w:ascii="Times New Roman" w:hAnsi="Times New Roman" w:cs="Times New Roman"/>
          <w:color w:val="000000" w:themeColor="text1"/>
        </w:rPr>
        <w:t xml:space="preserve"> The box-screening technique described by </w:t>
      </w:r>
      <w:proofErr w:type="spellStart"/>
      <w:r w:rsidRPr="00517D3C">
        <w:rPr>
          <w:rFonts w:ascii="Times New Roman" w:hAnsi="Times New Roman" w:cs="Times New Roman"/>
          <w:color w:val="000000" w:themeColor="text1"/>
        </w:rPr>
        <w:t>Souleymane</w:t>
      </w:r>
      <w:proofErr w:type="spellEnd"/>
      <w:r w:rsidRPr="00517D3C">
        <w:rPr>
          <w:rFonts w:ascii="Times New Roman" w:hAnsi="Times New Roman" w:cs="Times New Roman"/>
          <w:color w:val="000000" w:themeColor="text1"/>
        </w:rPr>
        <w:t xml:space="preserve"> et al. (2013) was used.</w:t>
      </w:r>
      <w:r w:rsidRPr="00517D3C">
        <w:rPr>
          <w:rFonts w:ascii="Times New Roman" w:hAnsi="Times New Roman" w:cs="Times New Roman"/>
          <w:color w:val="0000FF"/>
        </w:rPr>
        <w:t xml:space="preserve"> </w:t>
      </w:r>
      <w:r w:rsidRPr="00517D3C">
        <w:rPr>
          <w:rFonts w:ascii="Times New Roman" w:hAnsi="Times New Roman" w:cs="Times New Roman"/>
          <w:color w:val="000000" w:themeColor="text1"/>
        </w:rPr>
        <w:t>The main traits recorded were the score of aphid damage, aphid population per plant and the number of plants that recovered following aphid attack.</w:t>
      </w:r>
    </w:p>
    <w:p w:rsidR="00BD606E" w:rsidRPr="00517D3C" w:rsidRDefault="00BD606E" w:rsidP="00BD606E">
      <w:pPr>
        <w:ind w:left="720"/>
        <w:jc w:val="both"/>
      </w:pPr>
    </w:p>
    <w:p w:rsidR="00BD606E" w:rsidRPr="00517D3C" w:rsidRDefault="00BD606E" w:rsidP="00BD606E">
      <w:pPr>
        <w:numPr>
          <w:ilvl w:val="0"/>
          <w:numId w:val="1"/>
        </w:numPr>
        <w:jc w:val="both"/>
      </w:pPr>
      <w:r w:rsidRPr="00517D3C">
        <w:t xml:space="preserve">Results and interpretation </w:t>
      </w:r>
    </w:p>
    <w:p w:rsidR="00BD606E" w:rsidRPr="00517D3C" w:rsidRDefault="00BD606E" w:rsidP="00BD606E">
      <w:pPr>
        <w:jc w:val="both"/>
      </w:pPr>
      <w:r w:rsidRPr="00517D3C">
        <w:t xml:space="preserve">A score of 1 (resistant) to 5 (susceptible) was used to assess aphid damage </w:t>
      </w:r>
      <w:r w:rsidRPr="00517D3C">
        <w:rPr>
          <w:rFonts w:asciiTheme="minorBidi" w:hAnsiTheme="minorBidi"/>
          <w:color w:val="0D0D0D" w:themeColor="text1" w:themeTint="F2"/>
        </w:rPr>
        <w:t>(</w:t>
      </w:r>
      <w:proofErr w:type="spellStart"/>
      <w:r w:rsidRPr="00517D3C">
        <w:rPr>
          <w:rFonts w:asciiTheme="minorBidi" w:hAnsiTheme="minorBidi"/>
          <w:color w:val="0D0D0D" w:themeColor="text1" w:themeTint="F2"/>
        </w:rPr>
        <w:t>Jackai</w:t>
      </w:r>
      <w:proofErr w:type="spellEnd"/>
      <w:r w:rsidRPr="00517D3C">
        <w:rPr>
          <w:rFonts w:asciiTheme="minorBidi" w:hAnsiTheme="minorBidi"/>
          <w:color w:val="0D0D0D" w:themeColor="text1" w:themeTint="F2"/>
        </w:rPr>
        <w:t xml:space="preserve"> and Singh, 1988).</w:t>
      </w:r>
      <w:r w:rsidRPr="00517D3C">
        <w:t xml:space="preserve"> Data analysis revealed highly significant differences in aphid damage scores on the tested accessions at 21 days after infestation.  In Kano the average damage score ranged from 2.6 (TVu15315) to 5.0 (TVu10362) while in </w:t>
      </w:r>
      <w:proofErr w:type="spellStart"/>
      <w:r w:rsidRPr="00517D3C">
        <w:t>Cotonou</w:t>
      </w:r>
      <w:proofErr w:type="spellEnd"/>
      <w:r w:rsidRPr="00517D3C">
        <w:t xml:space="preserve"> the average score it ranged from 1.0 (TVu3043) to 5.0 (TVu1037). Across the two locations, 104 accessions showed similar or better tolerance to aphid attack than the resistant check TVu801. Among these, TVu1583, TV3043, TVu467, TVu6464, TVu972, TVu1637, TVu6837 and TVu84 showed good tolerance in both Kano and </w:t>
      </w:r>
      <w:proofErr w:type="spellStart"/>
      <w:r w:rsidRPr="00517D3C">
        <w:t>Cotonou</w:t>
      </w:r>
      <w:proofErr w:type="spellEnd"/>
      <w:r w:rsidRPr="00517D3C">
        <w:t xml:space="preserve"> (Fig. 1). However</w:t>
      </w:r>
      <w:proofErr w:type="gramStart"/>
      <w:r w:rsidRPr="00517D3C">
        <w:t>,  no</w:t>
      </w:r>
      <w:proofErr w:type="gramEnd"/>
      <w:r w:rsidRPr="00517D3C">
        <w:t xml:space="preserve"> significant difference was noted in number of aphids per plant between the accessions,.</w:t>
      </w:r>
    </w:p>
    <w:p w:rsidR="00BD606E" w:rsidRPr="00517D3C" w:rsidRDefault="00BD606E" w:rsidP="00BD606E"/>
    <w:p w:rsidR="00BD606E" w:rsidRPr="00517D3C" w:rsidRDefault="00BD606E" w:rsidP="00BD606E">
      <w:r w:rsidRPr="00517D3C">
        <w:rPr>
          <w:noProof/>
        </w:rPr>
        <w:drawing>
          <wp:inline distT="0" distB="0" distL="0" distR="0" wp14:anchorId="0F4369F7" wp14:editId="2844D0F8">
            <wp:extent cx="6210935" cy="1946366"/>
            <wp:effectExtent l="0" t="0" r="37465" b="34925"/>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BD606E" w:rsidRPr="00517D3C" w:rsidRDefault="00BD606E" w:rsidP="00BD606E">
      <w:r w:rsidRPr="00517D3C">
        <w:t xml:space="preserve">Fig.1: Aphid damage scores on the best 10 and worst 10 lines in Kano (black) and </w:t>
      </w:r>
      <w:proofErr w:type="spellStart"/>
      <w:r w:rsidRPr="00517D3C">
        <w:t>Cotonou</w:t>
      </w:r>
      <w:proofErr w:type="spellEnd"/>
      <w:r w:rsidRPr="00517D3C">
        <w:t xml:space="preserve"> (red).</w:t>
      </w:r>
    </w:p>
    <w:p w:rsidR="00BD606E" w:rsidRPr="00517D3C" w:rsidRDefault="00BD606E" w:rsidP="00BD606E">
      <w:r w:rsidRPr="00517D3C">
        <w:t xml:space="preserve"> </w:t>
      </w:r>
    </w:p>
    <w:p w:rsidR="00BD606E" w:rsidRPr="00517D3C" w:rsidRDefault="00BD606E" w:rsidP="00BD606E">
      <w:pPr>
        <w:jc w:val="both"/>
        <w:rPr>
          <w:rFonts w:ascii="Times New Roman" w:hAnsi="Times New Roman" w:cs="Times New Roman"/>
          <w:color w:val="000000" w:themeColor="text1"/>
        </w:rPr>
      </w:pPr>
      <w:r w:rsidRPr="00517D3C">
        <w:rPr>
          <w:rFonts w:ascii="Times New Roman" w:hAnsi="Times New Roman" w:cs="Times New Roman"/>
          <w:color w:val="000000" w:themeColor="text1"/>
        </w:rPr>
        <w:t>Plant recovery was estimated 30 days after aphid infestation by counting the number of plants that survived and computer percentage survival based on number of seedlings infested (Table 1). Some lines showed</w:t>
      </w:r>
      <w:r w:rsidRPr="00517D3C">
        <w:t xml:space="preserve"> good capacity to recover following </w:t>
      </w:r>
      <w:proofErr w:type="gramStart"/>
      <w:r w:rsidRPr="00517D3C">
        <w:t>aphid  infestation</w:t>
      </w:r>
      <w:proofErr w:type="gramEnd"/>
      <w:r w:rsidRPr="00517D3C">
        <w:t xml:space="preserve">. Despites the loss of their leaves, their </w:t>
      </w:r>
      <w:r w:rsidRPr="00517D3C">
        <w:rPr>
          <w:rFonts w:ascii="Times New Roman" w:hAnsi="Times New Roman" w:cs="Times New Roman"/>
          <w:color w:val="000000" w:themeColor="text1"/>
        </w:rPr>
        <w:t xml:space="preserve">stems stayed green. The lines listed in Table 1 have good capacity to recover from </w:t>
      </w:r>
      <w:r w:rsidRPr="00517D3C">
        <w:rPr>
          <w:rFonts w:ascii="Times New Roman" w:hAnsi="Times New Roman" w:cs="Times New Roman"/>
          <w:color w:val="000000" w:themeColor="text1"/>
        </w:rPr>
        <w:lastRenderedPageBreak/>
        <w:t>Aphid damage. Such lines might not be significantly affected under field conditions where the pest population density is low (Table1 &amp; Fig.2).</w:t>
      </w:r>
    </w:p>
    <w:p w:rsidR="00BD606E" w:rsidRPr="00517D3C" w:rsidRDefault="00BD606E" w:rsidP="00BD606E"/>
    <w:p w:rsidR="00BD606E" w:rsidRPr="00517D3C" w:rsidRDefault="00BD606E" w:rsidP="00BD606E">
      <w:pPr>
        <w:rPr>
          <w:rFonts w:ascii="Times New Roman" w:hAnsi="Times New Roman" w:cs="Times New Roman"/>
        </w:rPr>
      </w:pPr>
      <w:r w:rsidRPr="00517D3C">
        <w:rPr>
          <w:rFonts w:ascii="Times New Roman" w:hAnsi="Times New Roman" w:cs="Times New Roman"/>
        </w:rPr>
        <w:t>Table 1: List of lines with good recovery capacity</w:t>
      </w:r>
    </w:p>
    <w:tbl>
      <w:tblPr>
        <w:tblW w:w="6840" w:type="dxa"/>
        <w:tblInd w:w="108" w:type="dxa"/>
        <w:tblLayout w:type="fixed"/>
        <w:tblLook w:val="04A0" w:firstRow="1" w:lastRow="0" w:firstColumn="1" w:lastColumn="0" w:noHBand="0" w:noVBand="1"/>
      </w:tblPr>
      <w:tblGrid>
        <w:gridCol w:w="1096"/>
        <w:gridCol w:w="1805"/>
        <w:gridCol w:w="910"/>
        <w:gridCol w:w="1319"/>
        <w:gridCol w:w="1710"/>
      </w:tblGrid>
      <w:tr w:rsidR="00BD606E" w:rsidRPr="00517D3C" w:rsidTr="00E502B9">
        <w:trPr>
          <w:trHeight w:val="1290"/>
        </w:trPr>
        <w:tc>
          <w:tcPr>
            <w:tcW w:w="1096" w:type="dxa"/>
            <w:tcBorders>
              <w:top w:val="single" w:sz="8" w:space="0" w:color="auto"/>
              <w:left w:val="nil"/>
              <w:bottom w:val="single" w:sz="8" w:space="0" w:color="auto"/>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Varieties</w:t>
            </w:r>
          </w:p>
        </w:tc>
        <w:tc>
          <w:tcPr>
            <w:tcW w:w="1805" w:type="dxa"/>
            <w:tcBorders>
              <w:top w:val="single" w:sz="8" w:space="0" w:color="auto"/>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 xml:space="preserve"> Number of emerged seedlings</w:t>
            </w:r>
          </w:p>
        </w:tc>
        <w:tc>
          <w:tcPr>
            <w:tcW w:w="910" w:type="dxa"/>
            <w:tcBorders>
              <w:top w:val="single" w:sz="8" w:space="0" w:color="auto"/>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Number of dead plants</w:t>
            </w:r>
          </w:p>
        </w:tc>
        <w:tc>
          <w:tcPr>
            <w:tcW w:w="1319" w:type="dxa"/>
            <w:tcBorders>
              <w:top w:val="single" w:sz="8" w:space="0" w:color="auto"/>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 xml:space="preserve">Number of seedlings that survived </w:t>
            </w:r>
          </w:p>
        </w:tc>
        <w:tc>
          <w:tcPr>
            <w:tcW w:w="1710" w:type="dxa"/>
            <w:tcBorders>
              <w:top w:val="single" w:sz="8" w:space="0" w:color="auto"/>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 xml:space="preserve"> Survival rates 30 days after aphid infestation (%)</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TVu9866</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TVu12746</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TVu9651</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2</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2</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50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TVu9820</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TVu14290</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TVu14321</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TVu6464</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TVu6947</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TVu1583</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TVu3043</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TVu15694</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TVu15742</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2</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2</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50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TVu1637</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TVu15610</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TVu14992</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TVu6837</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TVu10754</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2</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2</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50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TVu647</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TVu972</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TVu15391</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TVu15445</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TVu14539</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0</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4</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100</w:t>
            </w:r>
          </w:p>
        </w:tc>
      </w:tr>
      <w:tr w:rsidR="00BD606E" w:rsidRPr="00517D3C" w:rsidTr="00E502B9">
        <w:trPr>
          <w:trHeight w:val="300"/>
        </w:trPr>
        <w:tc>
          <w:tcPr>
            <w:tcW w:w="1096" w:type="dxa"/>
            <w:tcBorders>
              <w:top w:val="nil"/>
              <w:left w:val="nil"/>
              <w:bottom w:val="nil"/>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TVu14393</w:t>
            </w:r>
          </w:p>
        </w:tc>
        <w:tc>
          <w:tcPr>
            <w:tcW w:w="1805"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1</w:t>
            </w:r>
          </w:p>
        </w:tc>
        <w:tc>
          <w:tcPr>
            <w:tcW w:w="1319" w:type="dxa"/>
            <w:tcBorders>
              <w:top w:val="nil"/>
              <w:left w:val="nil"/>
              <w:bottom w:val="nil"/>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rPr>
              <w:t>3</w:t>
            </w:r>
          </w:p>
        </w:tc>
        <w:tc>
          <w:tcPr>
            <w:tcW w:w="1710" w:type="dxa"/>
            <w:tcBorders>
              <w:top w:val="nil"/>
              <w:left w:val="nil"/>
              <w:bottom w:val="nil"/>
              <w:right w:val="nil"/>
            </w:tcBorders>
            <w:shd w:val="clear" w:color="auto" w:fill="auto"/>
            <w:noWrap/>
            <w:vAlign w:val="bottom"/>
            <w:hideMark/>
          </w:tcPr>
          <w:p w:rsidR="00BD606E" w:rsidRPr="00517D3C" w:rsidRDefault="00BD606E" w:rsidP="00E502B9">
            <w:pPr>
              <w:jc w:val="center"/>
              <w:rPr>
                <w:rFonts w:ascii="Calibri" w:eastAsia="Times New Roman" w:hAnsi="Calibri" w:cs="Calibri"/>
                <w:color w:val="000000"/>
                <w:sz w:val="22"/>
                <w:szCs w:val="22"/>
              </w:rPr>
            </w:pPr>
            <w:r w:rsidRPr="00517D3C">
              <w:rPr>
                <w:rFonts w:ascii="Calibri" w:eastAsia="Times New Roman" w:hAnsi="Calibri" w:cs="Calibri"/>
                <w:color w:val="000000"/>
                <w:sz w:val="22"/>
                <w:szCs w:val="22"/>
              </w:rPr>
              <w:t>75</w:t>
            </w:r>
          </w:p>
        </w:tc>
      </w:tr>
      <w:tr w:rsidR="00BD606E" w:rsidRPr="00517D3C" w:rsidTr="00E502B9">
        <w:trPr>
          <w:trHeight w:val="315"/>
        </w:trPr>
        <w:tc>
          <w:tcPr>
            <w:tcW w:w="1096" w:type="dxa"/>
            <w:tcBorders>
              <w:top w:val="nil"/>
              <w:left w:val="nil"/>
              <w:bottom w:val="single" w:sz="8" w:space="0" w:color="auto"/>
              <w:right w:val="nil"/>
            </w:tcBorders>
            <w:shd w:val="clear" w:color="auto" w:fill="auto"/>
            <w:vAlign w:val="center"/>
            <w:hideMark/>
          </w:tcPr>
          <w:p w:rsidR="00BD606E" w:rsidRPr="00517D3C" w:rsidRDefault="00BD606E" w:rsidP="00E502B9">
            <w:pP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TVu84</w:t>
            </w:r>
          </w:p>
        </w:tc>
        <w:tc>
          <w:tcPr>
            <w:tcW w:w="1805" w:type="dxa"/>
            <w:tcBorders>
              <w:top w:val="nil"/>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4</w:t>
            </w:r>
          </w:p>
        </w:tc>
        <w:tc>
          <w:tcPr>
            <w:tcW w:w="910" w:type="dxa"/>
            <w:tcBorders>
              <w:top w:val="nil"/>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2</w:t>
            </w:r>
          </w:p>
        </w:tc>
        <w:tc>
          <w:tcPr>
            <w:tcW w:w="1319" w:type="dxa"/>
            <w:tcBorders>
              <w:top w:val="nil"/>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2</w:t>
            </w:r>
          </w:p>
        </w:tc>
        <w:tc>
          <w:tcPr>
            <w:tcW w:w="1710" w:type="dxa"/>
            <w:tcBorders>
              <w:top w:val="nil"/>
              <w:left w:val="nil"/>
              <w:bottom w:val="single" w:sz="8" w:space="0" w:color="auto"/>
              <w:right w:val="nil"/>
            </w:tcBorders>
            <w:shd w:val="clear" w:color="auto" w:fill="auto"/>
            <w:vAlign w:val="center"/>
            <w:hideMark/>
          </w:tcPr>
          <w:p w:rsidR="00BD606E" w:rsidRPr="00517D3C" w:rsidRDefault="00BD606E" w:rsidP="00E502B9">
            <w:pPr>
              <w:jc w:val="center"/>
              <w:rPr>
                <w:rFonts w:ascii="Times New Roman" w:eastAsia="Times New Roman" w:hAnsi="Times New Roman" w:cs="Times New Roman"/>
                <w:color w:val="000000"/>
                <w:sz w:val="20"/>
                <w:szCs w:val="20"/>
              </w:rPr>
            </w:pPr>
            <w:r w:rsidRPr="00517D3C">
              <w:rPr>
                <w:rFonts w:ascii="Times New Roman" w:eastAsia="Times New Roman" w:hAnsi="Times New Roman" w:cs="Times New Roman"/>
                <w:color w:val="000000"/>
                <w:sz w:val="20"/>
                <w:szCs w:val="20"/>
                <w:lang w:val="en-GB"/>
              </w:rPr>
              <w:t>50</w:t>
            </w:r>
          </w:p>
        </w:tc>
      </w:tr>
    </w:tbl>
    <w:p w:rsidR="00BD606E" w:rsidRPr="00517D3C" w:rsidRDefault="00BD606E" w:rsidP="00BD606E">
      <w:pPr>
        <w:rPr>
          <w:rFonts w:ascii="Times New Roman" w:hAnsi="Times New Roman" w:cs="Times New Roman"/>
        </w:rPr>
      </w:pPr>
    </w:p>
    <w:p w:rsidR="00BD606E" w:rsidRPr="00517D3C" w:rsidRDefault="00BD606E" w:rsidP="00BD606E">
      <w:r w:rsidRPr="00517D3C">
        <w:rPr>
          <w:noProof/>
        </w:rPr>
        <w:drawing>
          <wp:inline distT="0" distB="0" distL="0" distR="0" wp14:anchorId="73118252" wp14:editId="01C187E4">
            <wp:extent cx="1815737" cy="1361804"/>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41149" cy="1380863"/>
                    </a:xfrm>
                    <a:prstGeom prst="rect">
                      <a:avLst/>
                    </a:prstGeom>
                  </pic:spPr>
                </pic:pic>
              </a:graphicData>
            </a:graphic>
          </wp:inline>
        </w:drawing>
      </w:r>
      <w:r w:rsidRPr="00517D3C">
        <w:t xml:space="preserve"> </w:t>
      </w:r>
      <w:r w:rsidRPr="00517D3C">
        <w:rPr>
          <w:noProof/>
        </w:rPr>
        <w:drawing>
          <wp:inline distT="0" distB="0" distL="0" distR="0" wp14:anchorId="7886F24B" wp14:editId="6C0A177D">
            <wp:extent cx="1756410" cy="13564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1729" cy="1376051"/>
                    </a:xfrm>
                    <a:prstGeom prst="rect">
                      <a:avLst/>
                    </a:prstGeom>
                  </pic:spPr>
                </pic:pic>
              </a:graphicData>
            </a:graphic>
          </wp:inline>
        </w:drawing>
      </w:r>
      <w:r w:rsidRPr="00517D3C">
        <w:t xml:space="preserve"> </w:t>
      </w:r>
      <w:r w:rsidRPr="00517D3C">
        <w:rPr>
          <w:noProof/>
        </w:rPr>
        <w:drawing>
          <wp:inline distT="0" distB="0" distL="0" distR="0" wp14:anchorId="5A340B12" wp14:editId="1999AAB3">
            <wp:extent cx="1796143" cy="1347107"/>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3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3912" cy="1360433"/>
                    </a:xfrm>
                    <a:prstGeom prst="rect">
                      <a:avLst/>
                    </a:prstGeom>
                  </pic:spPr>
                </pic:pic>
              </a:graphicData>
            </a:graphic>
          </wp:inline>
        </w:drawing>
      </w:r>
    </w:p>
    <w:p w:rsidR="00BD606E" w:rsidRPr="00517D3C" w:rsidRDefault="00BD606E" w:rsidP="00BD606E">
      <w:r w:rsidRPr="00517D3C">
        <w:t>Fig.2: Varieties staying green</w:t>
      </w:r>
    </w:p>
    <w:p w:rsidR="00BD606E" w:rsidRPr="00517D3C" w:rsidRDefault="00BD606E" w:rsidP="00BD606E"/>
    <w:p w:rsidR="00BD606E" w:rsidRPr="00517D3C" w:rsidRDefault="00BD606E" w:rsidP="00BD606E">
      <w:pPr>
        <w:numPr>
          <w:ilvl w:val="0"/>
          <w:numId w:val="1"/>
        </w:numPr>
      </w:pPr>
      <w:r w:rsidRPr="00517D3C">
        <w:lastRenderedPageBreak/>
        <w:t xml:space="preserve">Next steps </w:t>
      </w:r>
    </w:p>
    <w:p w:rsidR="00BD606E" w:rsidRPr="00517D3C" w:rsidRDefault="00BD606E" w:rsidP="00BD606E">
      <w:r w:rsidRPr="00517D3C">
        <w:t xml:space="preserve">Resistance in identified lines will be confirmed in Kano and genetic studies initiated to determine if there is </w:t>
      </w:r>
      <w:proofErr w:type="spellStart"/>
      <w:r w:rsidRPr="00517D3C">
        <w:t>allelism</w:t>
      </w:r>
      <w:proofErr w:type="spellEnd"/>
      <w:r w:rsidRPr="00517D3C">
        <w:t xml:space="preserve"> with earlier reported resistant lines.</w:t>
      </w:r>
    </w:p>
    <w:p w:rsidR="00BD606E" w:rsidRPr="00517D3C" w:rsidRDefault="00BD606E" w:rsidP="00BD606E">
      <w:r w:rsidRPr="00517D3C">
        <w:t>Data generated on the cowpea mini-core lines would be used in Genome wide association studies to identify QTLs associated with aphid resistance.</w:t>
      </w:r>
    </w:p>
    <w:p w:rsidR="00A01191" w:rsidRDefault="00A01191">
      <w:bookmarkStart w:id="0" w:name="_GoBack"/>
      <w:bookmarkEnd w:id="0"/>
    </w:p>
    <w:sectPr w:rsidR="00A01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826"/>
    <w:rsid w:val="007D2826"/>
    <w:rsid w:val="00A01191"/>
    <w:rsid w:val="00BD60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56F00B-B0AC-4305-8101-F66D3D954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06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IITA\CRPs\Book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Feuil3!$C$1</c:f>
              <c:strCache>
                <c:ptCount val="1"/>
                <c:pt idx="0">
                  <c:v>Socre damage in Kano</c:v>
                </c:pt>
              </c:strCache>
            </c:strRef>
          </c:tx>
          <c:spPr>
            <a:solidFill>
              <a:schemeClr val="tx1">
                <a:lumMod val="95000"/>
                <a:lumOff val="5000"/>
              </a:schemeClr>
            </a:solidFill>
            <a:ln>
              <a:noFill/>
            </a:ln>
            <a:effectLst/>
          </c:spPr>
          <c:invertIfNegative val="0"/>
          <c:cat>
            <c:strRef>
              <c:f>Feuil3!$B$2:$B$49</c:f>
              <c:strCache>
                <c:ptCount val="48"/>
                <c:pt idx="0">
                  <c:v>TVU801</c:v>
                </c:pt>
                <c:pt idx="1">
                  <c:v>Tvu15315</c:v>
                </c:pt>
                <c:pt idx="2">
                  <c:v>TVu14321</c:v>
                </c:pt>
                <c:pt idx="3">
                  <c:v>Tvu16278</c:v>
                </c:pt>
                <c:pt idx="4">
                  <c:v>Tvu15636</c:v>
                </c:pt>
                <c:pt idx="5">
                  <c:v>Tvu16528</c:v>
                </c:pt>
                <c:pt idx="6">
                  <c:v>Tvu16461</c:v>
                </c:pt>
                <c:pt idx="7">
                  <c:v>TVu12804</c:v>
                </c:pt>
                <c:pt idx="8">
                  <c:v>TVu7559</c:v>
                </c:pt>
                <c:pt idx="9">
                  <c:v>TVu2185</c:v>
                </c:pt>
                <c:pt idx="10">
                  <c:v>TVu12526</c:v>
                </c:pt>
                <c:pt idx="11">
                  <c:v>TVu6464</c:v>
                </c:pt>
                <c:pt idx="12">
                  <c:v>Tvu1583</c:v>
                </c:pt>
                <c:pt idx="13">
                  <c:v>TVu467</c:v>
                </c:pt>
                <c:pt idx="14">
                  <c:v>TVu1637</c:v>
                </c:pt>
                <c:pt idx="15">
                  <c:v>TVu3043</c:v>
                </c:pt>
                <c:pt idx="16">
                  <c:v>TVu972</c:v>
                </c:pt>
                <c:pt idx="17">
                  <c:v>TVu6837</c:v>
                </c:pt>
                <c:pt idx="18">
                  <c:v>TVu84</c:v>
                </c:pt>
                <c:pt idx="19">
                  <c:v>Tvu4557</c:v>
                </c:pt>
                <c:pt idx="20">
                  <c:v>Tvu10366</c:v>
                </c:pt>
                <c:pt idx="21">
                  <c:v>Tvu1775</c:v>
                </c:pt>
                <c:pt idx="22">
                  <c:v>Tvu3965</c:v>
                </c:pt>
                <c:pt idx="23">
                  <c:v>Tvu3830</c:v>
                </c:pt>
                <c:pt idx="24">
                  <c:v>Tvu1124</c:v>
                </c:pt>
                <c:pt idx="25">
                  <c:v>Tvu3310</c:v>
                </c:pt>
                <c:pt idx="26">
                  <c:v>Tvu3107</c:v>
                </c:pt>
                <c:pt idx="27">
                  <c:v>Tvu9257</c:v>
                </c:pt>
                <c:pt idx="28">
                  <c:v>TVu21</c:v>
                </c:pt>
                <c:pt idx="29">
                  <c:v>TVx 3236</c:v>
                </c:pt>
                <c:pt idx="30">
                  <c:v>TVu1000</c:v>
                </c:pt>
                <c:pt idx="31">
                  <c:v>Tvu104</c:v>
                </c:pt>
                <c:pt idx="32">
                  <c:v>Tvu10100</c:v>
                </c:pt>
                <c:pt idx="33">
                  <c:v>Tvu1016</c:v>
                </c:pt>
                <c:pt idx="34">
                  <c:v>Tvu10179</c:v>
                </c:pt>
                <c:pt idx="35">
                  <c:v>Tvu10281</c:v>
                </c:pt>
                <c:pt idx="36">
                  <c:v>Tvu1036</c:v>
                </c:pt>
                <c:pt idx="37">
                  <c:v>Tvu10362</c:v>
                </c:pt>
                <c:pt idx="38">
                  <c:v>Tvu1037</c:v>
                </c:pt>
                <c:pt idx="39">
                  <c:v>TVu 15926</c:v>
                </c:pt>
                <c:pt idx="40">
                  <c:v>TVu1000</c:v>
                </c:pt>
                <c:pt idx="41">
                  <c:v>TVu10005</c:v>
                </c:pt>
                <c:pt idx="42">
                  <c:v>TVu1004</c:v>
                </c:pt>
                <c:pt idx="43">
                  <c:v>TVu1016</c:v>
                </c:pt>
                <c:pt idx="44">
                  <c:v>TVu10179</c:v>
                </c:pt>
                <c:pt idx="45">
                  <c:v>TVu10281</c:v>
                </c:pt>
                <c:pt idx="46">
                  <c:v>TVu1036</c:v>
                </c:pt>
                <c:pt idx="47">
                  <c:v>TVu10362</c:v>
                </c:pt>
              </c:strCache>
            </c:strRef>
          </c:cat>
          <c:val>
            <c:numRef>
              <c:f>Feuil3!$C$2:$C$49</c:f>
              <c:numCache>
                <c:formatCode>0.0</c:formatCode>
                <c:ptCount val="48"/>
                <c:pt idx="0" formatCode="General">
                  <c:v>2</c:v>
                </c:pt>
                <c:pt idx="1">
                  <c:v>2.625</c:v>
                </c:pt>
                <c:pt idx="2">
                  <c:v>2.6667000000000001</c:v>
                </c:pt>
                <c:pt idx="3">
                  <c:v>2.75</c:v>
                </c:pt>
                <c:pt idx="4">
                  <c:v>3</c:v>
                </c:pt>
                <c:pt idx="5">
                  <c:v>3</c:v>
                </c:pt>
                <c:pt idx="6">
                  <c:v>3</c:v>
                </c:pt>
                <c:pt idx="7">
                  <c:v>3</c:v>
                </c:pt>
                <c:pt idx="8">
                  <c:v>3</c:v>
                </c:pt>
                <c:pt idx="9">
                  <c:v>3.125</c:v>
                </c:pt>
                <c:pt idx="10">
                  <c:v>3.125</c:v>
                </c:pt>
                <c:pt idx="11">
                  <c:v>3.25</c:v>
                </c:pt>
                <c:pt idx="12">
                  <c:v>3.25</c:v>
                </c:pt>
                <c:pt idx="13">
                  <c:v>3.2917000000000001</c:v>
                </c:pt>
                <c:pt idx="14">
                  <c:v>3.4375</c:v>
                </c:pt>
                <c:pt idx="15">
                  <c:v>4.1199999999999974</c:v>
                </c:pt>
                <c:pt idx="16">
                  <c:v>4.2</c:v>
                </c:pt>
                <c:pt idx="17">
                  <c:v>4.3</c:v>
                </c:pt>
                <c:pt idx="18">
                  <c:v>4.3</c:v>
                </c:pt>
                <c:pt idx="19" formatCode="General">
                  <c:v>4.7</c:v>
                </c:pt>
                <c:pt idx="20" formatCode="General">
                  <c:v>4.8</c:v>
                </c:pt>
                <c:pt idx="21" formatCode="General">
                  <c:v>5</c:v>
                </c:pt>
                <c:pt idx="22" formatCode="General">
                  <c:v>5</c:v>
                </c:pt>
                <c:pt idx="23" formatCode="General">
                  <c:v>5</c:v>
                </c:pt>
                <c:pt idx="24" formatCode="General">
                  <c:v>5</c:v>
                </c:pt>
                <c:pt idx="25" formatCode="General">
                  <c:v>5</c:v>
                </c:pt>
                <c:pt idx="26" formatCode="General">
                  <c:v>5</c:v>
                </c:pt>
                <c:pt idx="27" formatCode="General">
                  <c:v>5</c:v>
                </c:pt>
                <c:pt idx="28" formatCode="General">
                  <c:v>5</c:v>
                </c:pt>
                <c:pt idx="29">
                  <c:v>5</c:v>
                </c:pt>
                <c:pt idx="30" formatCode="General">
                  <c:v>5</c:v>
                </c:pt>
                <c:pt idx="31" formatCode="General">
                  <c:v>5</c:v>
                </c:pt>
                <c:pt idx="32" formatCode="General">
                  <c:v>5</c:v>
                </c:pt>
                <c:pt idx="33" formatCode="General">
                  <c:v>5</c:v>
                </c:pt>
                <c:pt idx="34" formatCode="General">
                  <c:v>5</c:v>
                </c:pt>
                <c:pt idx="35" formatCode="General">
                  <c:v>5</c:v>
                </c:pt>
                <c:pt idx="36" formatCode="General">
                  <c:v>5</c:v>
                </c:pt>
                <c:pt idx="37" formatCode="General">
                  <c:v>5</c:v>
                </c:pt>
                <c:pt idx="38" formatCode="General">
                  <c:v>5</c:v>
                </c:pt>
                <c:pt idx="39" formatCode="General">
                  <c:v>5</c:v>
                </c:pt>
                <c:pt idx="40" formatCode="General">
                  <c:v>5</c:v>
                </c:pt>
                <c:pt idx="41" formatCode="General">
                  <c:v>5</c:v>
                </c:pt>
                <c:pt idx="42" formatCode="General">
                  <c:v>5</c:v>
                </c:pt>
                <c:pt idx="43" formatCode="General">
                  <c:v>5</c:v>
                </c:pt>
                <c:pt idx="44" formatCode="General">
                  <c:v>5</c:v>
                </c:pt>
                <c:pt idx="45" formatCode="General">
                  <c:v>5</c:v>
                </c:pt>
                <c:pt idx="46" formatCode="General">
                  <c:v>5</c:v>
                </c:pt>
                <c:pt idx="47" formatCode="General">
                  <c:v>5</c:v>
                </c:pt>
              </c:numCache>
            </c:numRef>
          </c:val>
        </c:ser>
        <c:ser>
          <c:idx val="1"/>
          <c:order val="1"/>
          <c:tx>
            <c:strRef>
              <c:f>Feuil3!$D$1</c:f>
              <c:strCache>
                <c:ptCount val="1"/>
                <c:pt idx="0">
                  <c:v>Score damage in Cotonou</c:v>
                </c:pt>
              </c:strCache>
            </c:strRef>
          </c:tx>
          <c:spPr>
            <a:solidFill>
              <a:schemeClr val="accent2"/>
            </a:solidFill>
            <a:ln>
              <a:noFill/>
            </a:ln>
            <a:effectLst/>
          </c:spPr>
          <c:invertIfNegative val="0"/>
          <c:cat>
            <c:strRef>
              <c:f>Feuil3!$B$2:$B$49</c:f>
              <c:strCache>
                <c:ptCount val="48"/>
                <c:pt idx="0">
                  <c:v>TVU801</c:v>
                </c:pt>
                <c:pt idx="1">
                  <c:v>Tvu15315</c:v>
                </c:pt>
                <c:pt idx="2">
                  <c:v>TVu14321</c:v>
                </c:pt>
                <c:pt idx="3">
                  <c:v>Tvu16278</c:v>
                </c:pt>
                <c:pt idx="4">
                  <c:v>Tvu15636</c:v>
                </c:pt>
                <c:pt idx="5">
                  <c:v>Tvu16528</c:v>
                </c:pt>
                <c:pt idx="6">
                  <c:v>Tvu16461</c:v>
                </c:pt>
                <c:pt idx="7">
                  <c:v>TVu12804</c:v>
                </c:pt>
                <c:pt idx="8">
                  <c:v>TVu7559</c:v>
                </c:pt>
                <c:pt idx="9">
                  <c:v>TVu2185</c:v>
                </c:pt>
                <c:pt idx="10">
                  <c:v>TVu12526</c:v>
                </c:pt>
                <c:pt idx="11">
                  <c:v>TVu6464</c:v>
                </c:pt>
                <c:pt idx="12">
                  <c:v>Tvu1583</c:v>
                </c:pt>
                <c:pt idx="13">
                  <c:v>TVu467</c:v>
                </c:pt>
                <c:pt idx="14">
                  <c:v>TVu1637</c:v>
                </c:pt>
                <c:pt idx="15">
                  <c:v>TVu3043</c:v>
                </c:pt>
                <c:pt idx="16">
                  <c:v>TVu972</c:v>
                </c:pt>
                <c:pt idx="17">
                  <c:v>TVu6837</c:v>
                </c:pt>
                <c:pt idx="18">
                  <c:v>TVu84</c:v>
                </c:pt>
                <c:pt idx="19">
                  <c:v>Tvu4557</c:v>
                </c:pt>
                <c:pt idx="20">
                  <c:v>Tvu10366</c:v>
                </c:pt>
                <c:pt idx="21">
                  <c:v>Tvu1775</c:v>
                </c:pt>
                <c:pt idx="22">
                  <c:v>Tvu3965</c:v>
                </c:pt>
                <c:pt idx="23">
                  <c:v>Tvu3830</c:v>
                </c:pt>
                <c:pt idx="24">
                  <c:v>Tvu1124</c:v>
                </c:pt>
                <c:pt idx="25">
                  <c:v>Tvu3310</c:v>
                </c:pt>
                <c:pt idx="26">
                  <c:v>Tvu3107</c:v>
                </c:pt>
                <c:pt idx="27">
                  <c:v>Tvu9257</c:v>
                </c:pt>
                <c:pt idx="28">
                  <c:v>TVu21</c:v>
                </c:pt>
                <c:pt idx="29">
                  <c:v>TVx 3236</c:v>
                </c:pt>
                <c:pt idx="30">
                  <c:v>TVu1000</c:v>
                </c:pt>
                <c:pt idx="31">
                  <c:v>Tvu104</c:v>
                </c:pt>
                <c:pt idx="32">
                  <c:v>Tvu10100</c:v>
                </c:pt>
                <c:pt idx="33">
                  <c:v>Tvu1016</c:v>
                </c:pt>
                <c:pt idx="34">
                  <c:v>Tvu10179</c:v>
                </c:pt>
                <c:pt idx="35">
                  <c:v>Tvu10281</c:v>
                </c:pt>
                <c:pt idx="36">
                  <c:v>Tvu1036</c:v>
                </c:pt>
                <c:pt idx="37">
                  <c:v>Tvu10362</c:v>
                </c:pt>
                <c:pt idx="38">
                  <c:v>Tvu1037</c:v>
                </c:pt>
                <c:pt idx="39">
                  <c:v>TVu 15926</c:v>
                </c:pt>
                <c:pt idx="40">
                  <c:v>TVu1000</c:v>
                </c:pt>
                <c:pt idx="41">
                  <c:v>TVu10005</c:v>
                </c:pt>
                <c:pt idx="42">
                  <c:v>TVu1004</c:v>
                </c:pt>
                <c:pt idx="43">
                  <c:v>TVu1016</c:v>
                </c:pt>
                <c:pt idx="44">
                  <c:v>TVu10179</c:v>
                </c:pt>
                <c:pt idx="45">
                  <c:v>TVu10281</c:v>
                </c:pt>
                <c:pt idx="46">
                  <c:v>TVu1036</c:v>
                </c:pt>
                <c:pt idx="47">
                  <c:v>TVu10362</c:v>
                </c:pt>
              </c:strCache>
            </c:strRef>
          </c:cat>
          <c:val>
            <c:numRef>
              <c:f>Feuil3!$D$2:$D$49</c:f>
              <c:numCache>
                <c:formatCode>0.0</c:formatCode>
                <c:ptCount val="48"/>
                <c:pt idx="0">
                  <c:v>4.0659999999999972</c:v>
                </c:pt>
                <c:pt idx="1">
                  <c:v>3</c:v>
                </c:pt>
                <c:pt idx="2">
                  <c:v>4</c:v>
                </c:pt>
                <c:pt idx="3">
                  <c:v>3</c:v>
                </c:pt>
                <c:pt idx="4">
                  <c:v>3.5</c:v>
                </c:pt>
                <c:pt idx="5">
                  <c:v>4</c:v>
                </c:pt>
                <c:pt idx="6">
                  <c:v>4</c:v>
                </c:pt>
                <c:pt idx="7">
                  <c:v>5</c:v>
                </c:pt>
                <c:pt idx="8">
                  <c:v>5</c:v>
                </c:pt>
                <c:pt idx="9">
                  <c:v>5</c:v>
                </c:pt>
                <c:pt idx="10">
                  <c:v>5</c:v>
                </c:pt>
                <c:pt idx="11">
                  <c:v>1</c:v>
                </c:pt>
                <c:pt idx="12">
                  <c:v>3.6667000000000001</c:v>
                </c:pt>
                <c:pt idx="13">
                  <c:v>2.333299999999999</c:v>
                </c:pt>
                <c:pt idx="14">
                  <c:v>3.4329999999999981</c:v>
                </c:pt>
                <c:pt idx="15">
                  <c:v>1</c:v>
                </c:pt>
                <c:pt idx="16">
                  <c:v>3.6667000000000001</c:v>
                </c:pt>
                <c:pt idx="17">
                  <c:v>3.6667000000000001</c:v>
                </c:pt>
                <c:pt idx="18">
                  <c:v>4.3</c:v>
                </c:pt>
                <c:pt idx="19">
                  <c:v>1.6667000000000001</c:v>
                </c:pt>
                <c:pt idx="20" formatCode="General">
                  <c:v>5</c:v>
                </c:pt>
                <c:pt idx="21" formatCode="General">
                  <c:v>1</c:v>
                </c:pt>
                <c:pt idx="22" formatCode="General">
                  <c:v>1</c:v>
                </c:pt>
                <c:pt idx="23" formatCode="General">
                  <c:v>1</c:v>
                </c:pt>
                <c:pt idx="24" formatCode="General">
                  <c:v>1</c:v>
                </c:pt>
                <c:pt idx="25" formatCode="General">
                  <c:v>1</c:v>
                </c:pt>
                <c:pt idx="26" formatCode="General">
                  <c:v>1</c:v>
                </c:pt>
                <c:pt idx="27">
                  <c:v>1.6667000000000001</c:v>
                </c:pt>
                <c:pt idx="28" formatCode="General">
                  <c:v>4.3</c:v>
                </c:pt>
                <c:pt idx="29">
                  <c:v>5</c:v>
                </c:pt>
                <c:pt idx="30" formatCode="General">
                  <c:v>5</c:v>
                </c:pt>
                <c:pt idx="31" formatCode="General">
                  <c:v>5</c:v>
                </c:pt>
                <c:pt idx="32" formatCode="General">
                  <c:v>5</c:v>
                </c:pt>
                <c:pt idx="33" formatCode="General">
                  <c:v>5</c:v>
                </c:pt>
                <c:pt idx="34" formatCode="General">
                  <c:v>5</c:v>
                </c:pt>
                <c:pt idx="35" formatCode="General">
                  <c:v>5</c:v>
                </c:pt>
                <c:pt idx="36" formatCode="General">
                  <c:v>5</c:v>
                </c:pt>
                <c:pt idx="37" formatCode="General">
                  <c:v>5</c:v>
                </c:pt>
                <c:pt idx="38" formatCode="General">
                  <c:v>5</c:v>
                </c:pt>
                <c:pt idx="39">
                  <c:v>5</c:v>
                </c:pt>
                <c:pt idx="40" formatCode="General">
                  <c:v>5</c:v>
                </c:pt>
                <c:pt idx="41" formatCode="General">
                  <c:v>5</c:v>
                </c:pt>
                <c:pt idx="42" formatCode="General">
                  <c:v>5</c:v>
                </c:pt>
                <c:pt idx="43" formatCode="General">
                  <c:v>5</c:v>
                </c:pt>
                <c:pt idx="44" formatCode="General">
                  <c:v>5</c:v>
                </c:pt>
                <c:pt idx="45" formatCode="General">
                  <c:v>5</c:v>
                </c:pt>
                <c:pt idx="46" formatCode="General">
                  <c:v>5</c:v>
                </c:pt>
                <c:pt idx="47" formatCode="General">
                  <c:v>5</c:v>
                </c:pt>
              </c:numCache>
            </c:numRef>
          </c:val>
        </c:ser>
        <c:dLbls>
          <c:showLegendKey val="0"/>
          <c:showVal val="0"/>
          <c:showCatName val="0"/>
          <c:showSerName val="0"/>
          <c:showPercent val="0"/>
          <c:showBubbleSize val="0"/>
        </c:dLbls>
        <c:gapWidth val="219"/>
        <c:overlap val="-27"/>
        <c:axId val="324553728"/>
        <c:axId val="324554288"/>
      </c:barChart>
      <c:catAx>
        <c:axId val="32455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324554288"/>
        <c:crosses val="autoZero"/>
        <c:auto val="1"/>
        <c:lblAlgn val="ctr"/>
        <c:lblOffset val="100"/>
        <c:noMultiLvlLbl val="0"/>
      </c:catAx>
      <c:valAx>
        <c:axId val="324554288"/>
        <c:scaling>
          <c:orientation val="minMax"/>
          <c:max val="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553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500</Words>
  <Characters>2852</Characters>
  <Application>Microsoft Office Word</Application>
  <DocSecurity>0</DocSecurity>
  <Lines>23</Lines>
  <Paragraphs>6</Paragraphs>
  <ScaleCrop>false</ScaleCrop>
  <Company>Hewlett-Packard Company</Company>
  <LinksUpToDate>false</LinksUpToDate>
  <CharactersWithSpaces>3346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2017-02-05T06:42:00Z</dcterms:created>
  <dcterms:modified xsi:type="dcterms:W3CDTF">2017-02-05T06:43:00Z</dcterms:modified>
</cp:coreProperties>
</file>