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CFE143" w14:textId="2CA1E6E2" w:rsidR="003228FE" w:rsidRDefault="001927F8" w:rsidP="00856669">
      <w:r>
        <w:rPr>
          <w:noProof/>
          <w:lang w:val="en-ZA" w:eastAsia="en-ZA"/>
        </w:rPr>
        <mc:AlternateContent>
          <mc:Choice Requires="wps">
            <w:drawing>
              <wp:anchor distT="45720" distB="45720" distL="114300" distR="114300" simplePos="0" relativeHeight="251661312" behindDoc="0" locked="0" layoutInCell="1" allowOverlap="1" wp14:anchorId="53951D40" wp14:editId="33E90333">
                <wp:simplePos x="0" y="0"/>
                <wp:positionH relativeFrom="margin">
                  <wp:posOffset>0</wp:posOffset>
                </wp:positionH>
                <wp:positionV relativeFrom="paragraph">
                  <wp:posOffset>3420745</wp:posOffset>
                </wp:positionV>
                <wp:extent cx="6119495" cy="1404620"/>
                <wp:effectExtent l="0" t="0" r="0" b="508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1A62169A" w14:textId="17710D25" w:rsidR="00F20CAA" w:rsidRPr="00357921" w:rsidRDefault="00C55AC3" w:rsidP="00C55AC3">
                            <w:pPr>
                              <w:pStyle w:val="Heading2"/>
                              <w:spacing w:after="0"/>
                              <w:jc w:val="right"/>
                              <w:rPr>
                                <w:b w:val="0"/>
                                <w:sz w:val="68"/>
                                <w:szCs w:val="68"/>
                              </w:rPr>
                            </w:pPr>
                            <w:r w:rsidRPr="00C55AC3">
                              <w:rPr>
                                <w:rFonts w:ascii="Times New Roman" w:eastAsia="Times New Roman" w:hAnsi="Times New Roman" w:cs="Times New Roman"/>
                                <w:sz w:val="24"/>
                                <w:szCs w:val="24"/>
                                <w:lang w:val="en-US"/>
                              </w:rPr>
                              <w:t xml:space="preserve">GENDER AND IRRIGATION: ITS IMPLICATIONS ON SUSTAINABLE AGRICULTURE INTENSIFICATION. </w:t>
                            </w:r>
                            <w:r w:rsidRPr="00C55AC3">
                              <w:rPr>
                                <w:rFonts w:ascii="Times New Roman" w:eastAsia="Times New Roman" w:hAnsi="Times New Roman" w:cs="Times New Roman"/>
                                <w:i/>
                                <w:sz w:val="24"/>
                                <w:szCs w:val="24"/>
                                <w:lang w:val="en-US"/>
                              </w:rPr>
                              <w:t>THE CASE OF NTCHEU DISTRICT OF MALAWI</w:t>
                            </w:r>
                            <w:r w:rsidRPr="00357921">
                              <w:rPr>
                                <w:b w:val="0"/>
                                <w:sz w:val="68"/>
                                <w:szCs w:val="6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3951D40" id="_x0000_t202" coordsize="21600,21600" o:spt="202" path="m,l,21600r21600,l21600,xe">
                <v:stroke joinstyle="miter"/>
                <v:path gradientshapeok="t" o:connecttype="rect"/>
              </v:shapetype>
              <v:shape id="Text Box 2" o:spid="_x0000_s1026" type="#_x0000_t202" style="position:absolute;margin-left:0;margin-top:269.35pt;width:481.8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" stroked="f">
                <v:textbox style="mso-fit-shape-to-text:t">
                  <w:txbxContent>
                    <w:p w14:paraId="1A62169A" w14:textId="17710D25" w:rsidR="00F20CAA" w:rsidRPr="00357921" w:rsidRDefault="00C55AC3" w:rsidP="00C55AC3">
                      <w:pPr>
                        <w:pStyle w:val="Heading2"/>
                        <w:spacing w:after="0"/>
                        <w:jc w:val="right"/>
                        <w:rPr>
                          <w:b w:val="0"/>
                          <w:sz w:val="68"/>
                          <w:szCs w:val="68"/>
                        </w:rPr>
                      </w:pPr>
                      <w:r w:rsidRPr="00C55AC3">
                        <w:rPr>
                          <w:rFonts w:ascii="Times New Roman" w:eastAsia="Times New Roman" w:hAnsi="Times New Roman" w:cs="Times New Roman"/>
                          <w:sz w:val="24"/>
                          <w:szCs w:val="24"/>
                          <w:lang w:val="en-US"/>
                        </w:rPr>
                        <w:t xml:space="preserve">GENDER AND IRRIGATION: ITS IMPLICATIONS ON SUSTAINABLE AGRICULTURE INTENSIFICATION. </w:t>
                      </w:r>
                      <w:r w:rsidRPr="00C55AC3">
                        <w:rPr>
                          <w:rFonts w:ascii="Times New Roman" w:eastAsia="Times New Roman" w:hAnsi="Times New Roman" w:cs="Times New Roman"/>
                          <w:i/>
                          <w:sz w:val="24"/>
                          <w:szCs w:val="24"/>
                          <w:lang w:val="en-US"/>
                        </w:rPr>
                        <w:t>THE CASE OF NTCHEU DISTRICT OF MALAWI</w:t>
                      </w:r>
                      <w:r w:rsidRPr="00357921">
                        <w:rPr>
                          <w:b w:val="0"/>
                          <w:sz w:val="68"/>
                          <w:szCs w:val="68"/>
                        </w:rPr>
                        <w:t xml:space="preserve"> </w:t>
                      </w:r>
                    </w:p>
                  </w:txbxContent>
                </v:textbox>
                <w10:wrap type="square" anchorx="margin"/>
              </v:shape>
            </w:pict>
          </mc:Fallback>
        </mc:AlternateContent>
      </w:r>
      <w:r>
        <w:rPr>
          <w:noProof/>
          <w:lang w:val="en-ZA" w:eastAsia="en-ZA"/>
        </w:rPr>
        <mc:AlternateContent>
          <mc:Choice Requires="wps">
            <w:drawing>
              <wp:anchor distT="45720" distB="45720" distL="114300" distR="114300" simplePos="0" relativeHeight="251659264" behindDoc="0" locked="0" layoutInCell="1" allowOverlap="1" wp14:anchorId="6D784BF2" wp14:editId="1A9DD45F">
                <wp:simplePos x="0" y="0"/>
                <wp:positionH relativeFrom="margin">
                  <wp:posOffset>0</wp:posOffset>
                </wp:positionH>
                <wp:positionV relativeFrom="paragraph">
                  <wp:posOffset>2900045</wp:posOffset>
                </wp:positionV>
                <wp:extent cx="6119495"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4A80B7BB" w14:textId="55B65615" w:rsidR="00F20CAA" w:rsidRPr="00357921" w:rsidRDefault="00C55AC3" w:rsidP="00F20CAA">
                            <w:pPr>
                              <w:pStyle w:val="Heading3"/>
                              <w:jc w:val="right"/>
                              <w:rPr>
                                <w:rFonts w:ascii="Franklin Gothic Medium" w:hAnsi="Franklin Gothic Medium"/>
                                <w:sz w:val="32"/>
                                <w:szCs w:val="32"/>
                              </w:rPr>
                            </w:pPr>
                            <w:r>
                              <w:rPr>
                                <w:rFonts w:ascii="Franklin Gothic Medium" w:hAnsi="Franklin Gothic Medium"/>
                                <w:sz w:val="32"/>
                                <w:szCs w:val="32"/>
                              </w:rPr>
                              <w:t>December</w:t>
                            </w:r>
                            <w:r w:rsidR="00F20CAA" w:rsidRPr="00357921">
                              <w:rPr>
                                <w:rFonts w:ascii="Franklin Gothic Medium" w:hAnsi="Franklin Gothic Medium"/>
                                <w:sz w:val="32"/>
                                <w:szCs w:val="32"/>
                              </w:rPr>
                              <w:t xml:space="preserve"> 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784BF2" id="_x0000_s1027" type="#_x0000_t202" style="position:absolute;margin-left:0;margin-top:228.35pt;width:481.8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" stroked="f">
                <v:textbox style="mso-fit-shape-to-text:t">
                  <w:txbxContent>
                    <w:p w14:paraId="4A80B7BB" w14:textId="55B65615" w:rsidR="00F20CAA" w:rsidRPr="00357921" w:rsidRDefault="00C55AC3" w:rsidP="00F20CAA">
                      <w:pPr>
                        <w:pStyle w:val="Heading3"/>
                        <w:jc w:val="right"/>
                        <w:rPr>
                          <w:rFonts w:ascii="Franklin Gothic Medium" w:hAnsi="Franklin Gothic Medium"/>
                          <w:sz w:val="32"/>
                          <w:szCs w:val="32"/>
                        </w:rPr>
                      </w:pPr>
                      <w:r>
                        <w:rPr>
                          <w:rFonts w:ascii="Franklin Gothic Medium" w:hAnsi="Franklin Gothic Medium"/>
                          <w:sz w:val="32"/>
                          <w:szCs w:val="32"/>
                        </w:rPr>
                        <w:t>December</w:t>
                      </w:r>
                      <w:r w:rsidR="00F20CAA" w:rsidRPr="00357921">
                        <w:rPr>
                          <w:rFonts w:ascii="Franklin Gothic Medium" w:hAnsi="Franklin Gothic Medium"/>
                          <w:sz w:val="32"/>
                          <w:szCs w:val="32"/>
                        </w:rPr>
                        <w:t xml:space="preserve"> 2015</w:t>
                      </w:r>
                    </w:p>
                  </w:txbxContent>
                </v:textbox>
                <w10:wrap type="square" anchorx="margin"/>
              </v:shape>
            </w:pict>
          </mc:Fallback>
        </mc:AlternateContent>
      </w:r>
      <w:r w:rsidR="001D0DBD">
        <w:rPr>
          <w:noProof/>
          <w:lang w:val="en-ZA" w:eastAsia="en-ZA"/>
        </w:rPr>
        <mc:AlternateContent>
          <mc:Choice Requires="wps">
            <w:drawing>
              <wp:anchor distT="45720" distB="45720" distL="114300" distR="114300" simplePos="0" relativeHeight="251663360" behindDoc="0" locked="0" layoutInCell="1" allowOverlap="1" wp14:anchorId="5D4A6EEA" wp14:editId="68CBE82D">
                <wp:simplePos x="0" y="0"/>
                <wp:positionH relativeFrom="margin">
                  <wp:posOffset>0</wp:posOffset>
                </wp:positionH>
                <wp:positionV relativeFrom="paragraph">
                  <wp:posOffset>5042644</wp:posOffset>
                </wp:positionV>
                <wp:extent cx="6119495" cy="1404620"/>
                <wp:effectExtent l="0" t="0" r="0" b="63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1604E809" w14:textId="77777777" w:rsidR="001D0DBD" w:rsidRPr="00357921" w:rsidRDefault="001D0DBD" w:rsidP="001927F8">
                            <w:pPr>
                              <w:pStyle w:val="Heading2"/>
                              <w:spacing w:after="0"/>
                              <w:jc w:val="right"/>
                              <w:rPr>
                                <w:b w:val="0"/>
                                <w:sz w:val="36"/>
                                <w:szCs w:val="36"/>
                              </w:rPr>
                            </w:pPr>
                            <w:r w:rsidRPr="00357921">
                              <w:rPr>
                                <w:b w:val="0"/>
                                <w:sz w:val="36"/>
                                <w:szCs w:val="36"/>
                              </w:rPr>
                              <w:t>Food security and better livelihoods</w:t>
                            </w:r>
                          </w:p>
                          <w:p w14:paraId="437042A1" w14:textId="05D1F933" w:rsidR="001D0DBD" w:rsidRPr="00357921" w:rsidRDefault="001D0DBD" w:rsidP="001D0DBD">
                            <w:pPr>
                              <w:pStyle w:val="Heading2"/>
                              <w:spacing w:after="120"/>
                              <w:jc w:val="right"/>
                              <w:rPr>
                                <w:b w:val="0"/>
                                <w:sz w:val="36"/>
                                <w:szCs w:val="36"/>
                              </w:rPr>
                            </w:pPr>
                            <w:r w:rsidRPr="00357921">
                              <w:rPr>
                                <w:b w:val="0"/>
                                <w:sz w:val="36"/>
                                <w:szCs w:val="36"/>
                              </w:rPr>
                              <w:t>for rural dryland communities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4A6EEA" id="_x0000_s1028" type="#_x0000_t202" style="position:absolute;margin-left:0;margin-top:397.05pt;width:481.8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" stroked="f">
                <v:textbox style="mso-fit-shape-to-text:t">
                  <w:txbxContent>
                    <w:p w14:paraId="1604E809" w14:textId="77777777" w:rsidR="001D0DBD" w:rsidRPr="00357921" w:rsidRDefault="001D0DBD" w:rsidP="001927F8">
                      <w:pPr>
                        <w:pStyle w:val="Heading2"/>
                        <w:spacing w:after="0"/>
                        <w:jc w:val="right"/>
                        <w:rPr>
                          <w:b w:val="0"/>
                          <w:sz w:val="36"/>
                          <w:szCs w:val="36"/>
                        </w:rPr>
                      </w:pPr>
                      <w:r w:rsidRPr="00357921">
                        <w:rPr>
                          <w:b w:val="0"/>
                          <w:sz w:val="36"/>
                          <w:szCs w:val="36"/>
                        </w:rPr>
                        <w:t>Food security and better livelihoods</w:t>
                      </w:r>
                    </w:p>
                    <w:p w14:paraId="437042A1" w14:textId="05D1F933" w:rsidR="001D0DBD" w:rsidRPr="00357921" w:rsidRDefault="001D0DBD" w:rsidP="001D0DBD">
                      <w:pPr>
                        <w:pStyle w:val="Heading2"/>
                        <w:spacing w:after="120"/>
                        <w:jc w:val="right"/>
                        <w:rPr>
                          <w:b w:val="0"/>
                          <w:sz w:val="36"/>
                          <w:szCs w:val="36"/>
                        </w:rPr>
                      </w:pPr>
                      <w:r w:rsidRPr="00357921">
                        <w:rPr>
                          <w:b w:val="0"/>
                          <w:sz w:val="36"/>
                          <w:szCs w:val="36"/>
                        </w:rPr>
                        <w:t>for rural dryland communities</w:t>
                      </w:r>
                    </w:p>
                  </w:txbxContent>
                </v:textbox>
                <w10:wrap type="square" anchorx="margin"/>
              </v:shape>
            </w:pict>
          </mc:Fallback>
        </mc:AlternateContent>
      </w:r>
    </w:p>
    <w:p w14:paraId="2F01A620" w14:textId="59EDAD5B" w:rsidR="003228FE" w:rsidRDefault="003228FE" w:rsidP="00856669">
      <w:pPr>
        <w:sectPr w:rsidR="003228FE">
          <w:headerReference w:type="default" r:id="rId11"/>
          <w:footerReference w:type="default" r:id="rId12"/>
          <w:pgSz w:w="11906" w:h="16838"/>
          <w:pgMar w:top="1440" w:right="1440" w:bottom="1440" w:left="1440" w:header="708" w:footer="708" w:gutter="0"/>
          <w:cols w:space="708"/>
          <w:docGrid w:linePitch="360"/>
        </w:sectPr>
      </w:pPr>
    </w:p>
    <w:p w14:paraId="325A0310" w14:textId="08B99B15" w:rsidR="00C55AC3" w:rsidRPr="00C55AC3" w:rsidRDefault="00C55AC3" w:rsidP="00C55AC3">
      <w:pPr>
        <w:spacing w:after="200" w:line="276" w:lineRule="auto"/>
        <w:jc w:val="center"/>
        <w:rPr>
          <w:rFonts w:ascii="Times New Roman" w:eastAsia="Times New Roman" w:hAnsi="Times New Roman" w:cs="Times New Roman"/>
          <w:i/>
          <w:sz w:val="24"/>
          <w:szCs w:val="24"/>
          <w:lang w:val="en-US"/>
        </w:rPr>
      </w:pPr>
      <w:r w:rsidRPr="00C55AC3">
        <w:rPr>
          <w:rFonts w:ascii="Times New Roman" w:eastAsia="Times New Roman" w:hAnsi="Times New Roman" w:cs="Times New Roman"/>
          <w:i/>
          <w:sz w:val="24"/>
          <w:szCs w:val="24"/>
          <w:lang w:val="en-US"/>
        </w:rPr>
        <w:lastRenderedPageBreak/>
        <w:t>.</w:t>
      </w:r>
    </w:p>
    <w:p w14:paraId="423446C4" w14:textId="77777777" w:rsidR="00C55AC3" w:rsidRPr="00C55AC3" w:rsidRDefault="00C55AC3" w:rsidP="00C55AC3">
      <w:pPr>
        <w:spacing w:after="200" w:line="276" w:lineRule="auto"/>
        <w:jc w:val="center"/>
        <w:rPr>
          <w:rFonts w:ascii="Times New Roman" w:eastAsia="Calibri" w:hAnsi="Times New Roman" w:cs="Times New Roman"/>
          <w:lang w:val="en-US"/>
        </w:rPr>
      </w:pPr>
    </w:p>
    <w:p w14:paraId="6A8BB1C1" w14:textId="77777777" w:rsidR="00C55AC3" w:rsidRPr="00C55AC3" w:rsidRDefault="00C55AC3" w:rsidP="00C55AC3">
      <w:pPr>
        <w:spacing w:after="200" w:line="276" w:lineRule="auto"/>
        <w:jc w:val="center"/>
        <w:rPr>
          <w:rFonts w:ascii="Times New Roman" w:eastAsia="Calibri" w:hAnsi="Times New Roman" w:cs="Times New Roman"/>
          <w:lang w:val="en-US"/>
        </w:rPr>
      </w:pPr>
      <w:bookmarkStart w:id="0" w:name="_GoBack"/>
      <w:bookmarkEnd w:id="0"/>
    </w:p>
    <w:p w14:paraId="0C2F302E" w14:textId="77777777" w:rsidR="00C55AC3" w:rsidRPr="00C55AC3" w:rsidRDefault="00C55AC3" w:rsidP="00C55AC3">
      <w:pPr>
        <w:spacing w:after="200" w:line="276" w:lineRule="auto"/>
        <w:jc w:val="center"/>
        <w:rPr>
          <w:rFonts w:ascii="Times New Roman" w:eastAsia="Calibri" w:hAnsi="Times New Roman" w:cs="Times New Roman"/>
          <w:sz w:val="20"/>
          <w:szCs w:val="20"/>
          <w:lang w:val="en-US"/>
        </w:rPr>
      </w:pPr>
    </w:p>
    <w:p w14:paraId="0957F9E1" w14:textId="04827F81" w:rsidR="00C55AC3" w:rsidRPr="00C55AC3" w:rsidRDefault="00C55AC3" w:rsidP="00C55AC3">
      <w:pPr>
        <w:spacing w:after="200" w:line="276" w:lineRule="auto"/>
        <w:jc w:val="center"/>
        <w:rPr>
          <w:rFonts w:ascii="Times New Roman" w:eastAsia="Calibri" w:hAnsi="Times New Roman" w:cs="Times New Roman"/>
          <w:b/>
          <w:sz w:val="20"/>
          <w:szCs w:val="20"/>
          <w:lang w:val="en-US"/>
        </w:rPr>
      </w:pPr>
      <w:r w:rsidRPr="00C55AC3">
        <w:rPr>
          <w:rFonts w:ascii="Times New Roman" w:eastAsia="Calibri" w:hAnsi="Times New Roman" w:cs="Times New Roman"/>
          <w:b/>
          <w:sz w:val="20"/>
          <w:szCs w:val="20"/>
          <w:lang w:val="en-US"/>
        </w:rPr>
        <w:t>RESEARCH REPORT SUBMITTED TO THE INTERNATIONAL WATER MANAGEMENT INSTITUTE-SOUTHERN AFRICA</w:t>
      </w:r>
      <w:r w:rsidR="0086676A">
        <w:rPr>
          <w:rFonts w:ascii="Times New Roman" w:eastAsia="Calibri" w:hAnsi="Times New Roman" w:cs="Times New Roman"/>
          <w:b/>
          <w:sz w:val="20"/>
          <w:szCs w:val="20"/>
          <w:lang w:val="en-US"/>
        </w:rPr>
        <w:t xml:space="preserve"> AND THE DRYLANDS PROGRAM</w:t>
      </w:r>
    </w:p>
    <w:p w14:paraId="0F19E3D0" w14:textId="77777777" w:rsidR="00C55AC3" w:rsidRPr="00C55AC3" w:rsidRDefault="00C55AC3" w:rsidP="00C55AC3">
      <w:pPr>
        <w:spacing w:after="200" w:line="276" w:lineRule="auto"/>
        <w:jc w:val="center"/>
        <w:rPr>
          <w:rFonts w:ascii="Times New Roman" w:eastAsia="Calibri" w:hAnsi="Times New Roman" w:cs="Times New Roman"/>
          <w:b/>
          <w:sz w:val="18"/>
          <w:szCs w:val="18"/>
          <w:lang w:val="en-US"/>
        </w:rPr>
      </w:pPr>
      <w:r w:rsidRPr="00C55AC3">
        <w:rPr>
          <w:rFonts w:ascii="Times New Roman" w:eastAsia="Calibri" w:hAnsi="Times New Roman" w:cs="Times New Roman"/>
          <w:b/>
          <w:sz w:val="18"/>
          <w:szCs w:val="18"/>
          <w:lang w:val="en-US"/>
        </w:rPr>
        <w:t>BY</w:t>
      </w:r>
    </w:p>
    <w:p w14:paraId="6F456971" w14:textId="77777777" w:rsidR="00C55AC3" w:rsidRPr="00C55AC3" w:rsidRDefault="00C55AC3" w:rsidP="00C55AC3">
      <w:pPr>
        <w:spacing w:after="200" w:line="276" w:lineRule="auto"/>
        <w:jc w:val="center"/>
        <w:rPr>
          <w:rFonts w:ascii="Times New Roman" w:eastAsia="Calibri" w:hAnsi="Times New Roman" w:cs="Times New Roman"/>
          <w:b/>
          <w:sz w:val="18"/>
          <w:szCs w:val="18"/>
          <w:lang w:val="en-US"/>
        </w:rPr>
      </w:pPr>
      <w:r w:rsidRPr="00C55AC3">
        <w:rPr>
          <w:rFonts w:ascii="Times New Roman" w:eastAsia="Calibri" w:hAnsi="Times New Roman" w:cs="Times New Roman"/>
          <w:b/>
          <w:sz w:val="18"/>
          <w:szCs w:val="18"/>
          <w:lang w:val="en-US"/>
        </w:rPr>
        <w:t>EMELDER TAGUTANAZVO</w:t>
      </w:r>
    </w:p>
    <w:p w14:paraId="54EB0DCF"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587D9E7B"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6635BE2E"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36CDE153"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1349F53D"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1751CE99"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386F8838"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29C98E82"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346CD39D"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4DFF0553"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r w:rsidRPr="00C55AC3">
        <w:rPr>
          <w:rFonts w:ascii="Times New Roman" w:eastAsia="Times New Roman" w:hAnsi="Times New Roman" w:cs="Times New Roman"/>
          <w:b/>
          <w:bCs/>
          <w:lang w:val="en-US"/>
        </w:rPr>
        <w:t xml:space="preserve"> </w:t>
      </w:r>
    </w:p>
    <w:p w14:paraId="4B7C3272" w14:textId="77777777" w:rsidR="00C55AC3" w:rsidRDefault="00C55AC3" w:rsidP="00C55AC3">
      <w:pPr>
        <w:spacing w:after="200" w:line="276" w:lineRule="auto"/>
        <w:jc w:val="both"/>
        <w:rPr>
          <w:rFonts w:ascii="Times New Roman" w:eastAsia="Times New Roman" w:hAnsi="Times New Roman" w:cs="Times New Roman"/>
          <w:lang w:val="en-US"/>
        </w:rPr>
      </w:pPr>
    </w:p>
    <w:p w14:paraId="287EDB04"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76A80B77" w14:textId="77777777" w:rsidR="00C55AC3" w:rsidRPr="00C55AC3" w:rsidRDefault="00C55AC3" w:rsidP="00C55AC3">
      <w:pPr>
        <w:keepNext/>
        <w:keepLines/>
        <w:spacing w:before="480" w:after="0" w:line="276" w:lineRule="auto"/>
        <w:outlineLvl w:val="0"/>
        <w:rPr>
          <w:rFonts w:ascii="Times New Roman" w:eastAsia="Times New Roman" w:hAnsi="Times New Roman" w:cs="Times New Roman"/>
          <w:b/>
          <w:bCs/>
          <w:lang w:val="en-US"/>
        </w:rPr>
      </w:pPr>
      <w:bookmarkStart w:id="1" w:name="_Toc427137448"/>
      <w:r w:rsidRPr="00C55AC3">
        <w:rPr>
          <w:rFonts w:ascii="Times New Roman" w:eastAsia="Times New Roman" w:hAnsi="Times New Roman" w:cs="Times New Roman"/>
          <w:b/>
          <w:bCs/>
          <w:lang w:val="en-US"/>
        </w:rPr>
        <w:lastRenderedPageBreak/>
        <w:t>Acknowledgements</w:t>
      </w:r>
      <w:bookmarkEnd w:id="1"/>
    </w:p>
    <w:p w14:paraId="27CCBC15" w14:textId="7353F5EC" w:rsidR="00C55AC3" w:rsidRPr="00C55AC3" w:rsidRDefault="00C55AC3" w:rsidP="00C55AC3">
      <w:pPr>
        <w:spacing w:after="200" w:line="276" w:lineRule="auto"/>
        <w:jc w:val="both"/>
        <w:rPr>
          <w:rFonts w:ascii="Times New Roman" w:eastAsia="Times New Roman" w:hAnsi="Times New Roman" w:cs="Times New Roman"/>
          <w:lang w:val="en-US"/>
        </w:rPr>
      </w:pPr>
      <w:r w:rsidRPr="00C55AC3">
        <w:rPr>
          <w:rFonts w:ascii="Times New Roman" w:eastAsia="Times New Roman" w:hAnsi="Times New Roman" w:cs="Times New Roman"/>
          <w:lang w:val="en-US"/>
        </w:rPr>
        <w:t xml:space="preserve">The </w:t>
      </w:r>
      <w:r>
        <w:rPr>
          <w:rFonts w:ascii="Times New Roman" w:eastAsia="Times New Roman" w:hAnsi="Times New Roman" w:cs="Times New Roman"/>
          <w:lang w:val="en-US"/>
        </w:rPr>
        <w:t>research was funded under the Drylands Program of the Consultative Group on International Agricultural research (</w:t>
      </w:r>
      <w:r w:rsidRPr="00C55AC3">
        <w:rPr>
          <w:rFonts w:ascii="Times New Roman" w:eastAsia="Times New Roman" w:hAnsi="Times New Roman" w:cs="Times New Roman"/>
          <w:lang w:val="en-US"/>
        </w:rPr>
        <w:t>CGIAR</w:t>
      </w:r>
      <w:r>
        <w:rPr>
          <w:rFonts w:ascii="Times New Roman" w:eastAsia="Times New Roman" w:hAnsi="Times New Roman" w:cs="Times New Roman"/>
          <w:lang w:val="en-US"/>
        </w:rPr>
        <w:t xml:space="preserve">). This particular research in Malawi was led by </w:t>
      </w:r>
      <w:r w:rsidRPr="00C55AC3">
        <w:rPr>
          <w:rFonts w:ascii="Times New Roman" w:eastAsia="Times New Roman" w:hAnsi="Times New Roman" w:cs="Times New Roman"/>
          <w:lang w:val="en-US"/>
        </w:rPr>
        <w:t>the</w:t>
      </w:r>
      <w:r>
        <w:rPr>
          <w:rFonts w:ascii="Times New Roman" w:eastAsia="Times New Roman" w:hAnsi="Times New Roman" w:cs="Times New Roman"/>
          <w:lang w:val="en-US"/>
        </w:rPr>
        <w:t xml:space="preserve"> International Water Management Institute (IWMI - Pretoria). </w:t>
      </w:r>
      <w:r w:rsidRPr="00C55AC3">
        <w:rPr>
          <w:rFonts w:ascii="Times New Roman" w:eastAsia="Times New Roman" w:hAnsi="Times New Roman" w:cs="Times New Roman"/>
          <w:lang w:val="en-US"/>
        </w:rPr>
        <w:t xml:space="preserve">CIAT-Malawi </w:t>
      </w:r>
      <w:r>
        <w:rPr>
          <w:rFonts w:ascii="Times New Roman" w:eastAsia="Times New Roman" w:hAnsi="Times New Roman" w:cs="Times New Roman"/>
          <w:lang w:val="en-US"/>
        </w:rPr>
        <w:t>assisted with the fieldwork.</w:t>
      </w:r>
      <w:r w:rsidRPr="00C55AC3">
        <w:rPr>
          <w:rFonts w:ascii="Times New Roman" w:eastAsia="Times New Roman" w:hAnsi="Times New Roman" w:cs="Times New Roman"/>
          <w:lang w:val="en-US"/>
        </w:rPr>
        <w:t xml:space="preserve"> The author also acknowledges the efforts made by the Agriculture Department</w:t>
      </w:r>
      <w:r>
        <w:rPr>
          <w:rFonts w:ascii="Times New Roman" w:eastAsia="Times New Roman" w:hAnsi="Times New Roman" w:cs="Times New Roman"/>
          <w:lang w:val="en-US"/>
        </w:rPr>
        <w:t xml:space="preserve"> </w:t>
      </w:r>
      <w:r w:rsidRPr="00C55AC3">
        <w:rPr>
          <w:rFonts w:ascii="Times New Roman" w:eastAsia="Times New Roman" w:hAnsi="Times New Roman" w:cs="Times New Roman"/>
          <w:lang w:val="en-US"/>
        </w:rPr>
        <w:t xml:space="preserve">- Kandeu Office in providing their technical expertise during the study. Great indebtedness is given to the plot holders in the Kandeu EPA for participating in this research. The cooperative spirit received from the following village heads: Nyazanyaza, Chona, Kaziputa, Kampanja and Chituku and the Irrigation Management Committee of Kaziputa Irrigation Scheme during the study is recognized. </w:t>
      </w:r>
    </w:p>
    <w:p w14:paraId="7458422D" w14:textId="77777777" w:rsidR="00C55AC3" w:rsidRPr="00C55AC3" w:rsidRDefault="00C55AC3" w:rsidP="00C55AC3">
      <w:pPr>
        <w:spacing w:after="200" w:line="276" w:lineRule="auto"/>
        <w:jc w:val="both"/>
        <w:rPr>
          <w:rFonts w:ascii="Times New Roman" w:eastAsia="Times New Roman" w:hAnsi="Times New Roman" w:cs="Times New Roman"/>
          <w:sz w:val="24"/>
          <w:szCs w:val="24"/>
          <w:lang w:val="en-US"/>
        </w:rPr>
      </w:pPr>
    </w:p>
    <w:p w14:paraId="78EF9C4D" w14:textId="77777777" w:rsidR="00C55AC3" w:rsidRPr="00C55AC3" w:rsidRDefault="00C55AC3" w:rsidP="00C55AC3">
      <w:pPr>
        <w:spacing w:after="200" w:line="276" w:lineRule="auto"/>
        <w:jc w:val="both"/>
        <w:rPr>
          <w:rFonts w:ascii="Times New Roman" w:eastAsia="Times New Roman" w:hAnsi="Times New Roman" w:cs="Times New Roman"/>
          <w:sz w:val="24"/>
          <w:szCs w:val="24"/>
          <w:lang w:val="en-US"/>
        </w:rPr>
      </w:pPr>
    </w:p>
    <w:p w14:paraId="1B4C1BCE" w14:textId="77777777" w:rsidR="00C55AC3" w:rsidRPr="00C55AC3" w:rsidRDefault="00C55AC3" w:rsidP="00C55AC3">
      <w:pPr>
        <w:spacing w:after="200" w:line="276" w:lineRule="auto"/>
        <w:jc w:val="both"/>
        <w:rPr>
          <w:rFonts w:ascii="Times New Roman" w:eastAsia="Times New Roman" w:hAnsi="Times New Roman" w:cs="Times New Roman"/>
          <w:sz w:val="24"/>
          <w:szCs w:val="24"/>
          <w:lang w:val="en-US"/>
        </w:rPr>
      </w:pPr>
    </w:p>
    <w:p w14:paraId="51D35B9E" w14:textId="77777777" w:rsidR="00C55AC3" w:rsidRPr="00C55AC3" w:rsidRDefault="00C55AC3" w:rsidP="00C55AC3">
      <w:pPr>
        <w:spacing w:after="200" w:line="276" w:lineRule="auto"/>
        <w:jc w:val="both"/>
        <w:rPr>
          <w:rFonts w:ascii="Times New Roman" w:eastAsia="Calibri" w:hAnsi="Times New Roman" w:cs="Times New Roman"/>
          <w:noProof/>
          <w:lang w:val="en-ZA"/>
        </w:rPr>
      </w:pPr>
    </w:p>
    <w:p w14:paraId="346E9590" w14:textId="77777777" w:rsidR="00C55AC3" w:rsidRPr="00C55AC3" w:rsidRDefault="00C55AC3" w:rsidP="00C55AC3">
      <w:pPr>
        <w:spacing w:after="200" w:line="276" w:lineRule="auto"/>
        <w:jc w:val="both"/>
        <w:rPr>
          <w:rFonts w:ascii="Times New Roman" w:eastAsia="Calibri" w:hAnsi="Times New Roman" w:cs="Times New Roman"/>
          <w:noProof/>
          <w:lang w:val="en-ZA"/>
        </w:rPr>
      </w:pPr>
    </w:p>
    <w:p w14:paraId="116C9500" w14:textId="77777777" w:rsidR="00C55AC3" w:rsidRPr="00C55AC3" w:rsidRDefault="00C55AC3" w:rsidP="00C55AC3">
      <w:pPr>
        <w:spacing w:after="200" w:line="276" w:lineRule="auto"/>
        <w:jc w:val="both"/>
        <w:rPr>
          <w:rFonts w:ascii="Times New Roman" w:eastAsia="Calibri" w:hAnsi="Times New Roman" w:cs="Times New Roman"/>
          <w:noProof/>
          <w:lang w:val="en-ZA"/>
        </w:rPr>
      </w:pPr>
    </w:p>
    <w:p w14:paraId="0D9CD2C1" w14:textId="77777777" w:rsidR="00C55AC3" w:rsidRPr="00C55AC3" w:rsidRDefault="00C55AC3" w:rsidP="001C6619">
      <w:pPr>
        <w:spacing w:after="200" w:line="276" w:lineRule="auto"/>
        <w:jc w:val="center"/>
        <w:rPr>
          <w:rFonts w:ascii="Times New Roman" w:eastAsia="Calibri" w:hAnsi="Times New Roman" w:cs="Times New Roman"/>
          <w:noProof/>
          <w:lang w:val="en-ZA"/>
        </w:rPr>
      </w:pPr>
    </w:p>
    <w:p w14:paraId="544E00F7" w14:textId="77777777" w:rsidR="00C55AC3" w:rsidRPr="00C55AC3" w:rsidRDefault="00C55AC3" w:rsidP="00C55AC3">
      <w:pPr>
        <w:spacing w:after="200" w:line="276" w:lineRule="auto"/>
        <w:jc w:val="both"/>
        <w:rPr>
          <w:rFonts w:ascii="Times New Roman" w:eastAsia="Calibri" w:hAnsi="Times New Roman" w:cs="Times New Roman"/>
          <w:noProof/>
          <w:lang w:val="en-ZA"/>
        </w:rPr>
      </w:pPr>
    </w:p>
    <w:p w14:paraId="4F87EF2D" w14:textId="77777777" w:rsidR="00C55AC3" w:rsidRPr="00C55AC3" w:rsidRDefault="00C55AC3" w:rsidP="00C55AC3">
      <w:pPr>
        <w:spacing w:after="200" w:line="276" w:lineRule="auto"/>
        <w:jc w:val="both"/>
        <w:rPr>
          <w:rFonts w:ascii="Times New Roman" w:eastAsia="Calibri" w:hAnsi="Times New Roman" w:cs="Times New Roman"/>
          <w:noProof/>
          <w:lang w:val="en-ZA"/>
        </w:rPr>
      </w:pPr>
    </w:p>
    <w:p w14:paraId="2CEF7D52" w14:textId="77777777" w:rsidR="00C55AC3" w:rsidRPr="00C55AC3" w:rsidRDefault="00C55AC3" w:rsidP="00C55AC3">
      <w:pPr>
        <w:spacing w:after="200" w:line="276" w:lineRule="auto"/>
        <w:jc w:val="both"/>
        <w:rPr>
          <w:rFonts w:ascii="Times New Roman" w:eastAsia="Calibri" w:hAnsi="Times New Roman" w:cs="Times New Roman"/>
          <w:noProof/>
          <w:lang w:val="en-ZA"/>
        </w:rPr>
      </w:pPr>
    </w:p>
    <w:p w14:paraId="7AA782CF" w14:textId="77777777" w:rsidR="00C55AC3" w:rsidRPr="00C55AC3" w:rsidRDefault="00C55AC3" w:rsidP="00C55AC3">
      <w:pPr>
        <w:spacing w:after="200" w:line="276" w:lineRule="auto"/>
        <w:jc w:val="both"/>
        <w:rPr>
          <w:rFonts w:ascii="Times New Roman" w:eastAsia="Calibri" w:hAnsi="Times New Roman" w:cs="Times New Roman"/>
          <w:noProof/>
          <w:lang w:val="en-ZA"/>
        </w:rPr>
      </w:pPr>
    </w:p>
    <w:p w14:paraId="07523F1B" w14:textId="77777777" w:rsidR="00C55AC3" w:rsidRPr="00C55AC3" w:rsidRDefault="00C55AC3" w:rsidP="00C55AC3">
      <w:pPr>
        <w:spacing w:after="200" w:line="276" w:lineRule="auto"/>
        <w:jc w:val="both"/>
        <w:rPr>
          <w:rFonts w:ascii="Times New Roman" w:eastAsia="Calibri" w:hAnsi="Times New Roman" w:cs="Times New Roman"/>
          <w:noProof/>
          <w:lang w:val="en-ZA"/>
        </w:rPr>
      </w:pPr>
    </w:p>
    <w:p w14:paraId="794BA4AE" w14:textId="77777777" w:rsidR="00C55AC3" w:rsidRPr="00C55AC3" w:rsidRDefault="00C55AC3" w:rsidP="00C55AC3">
      <w:pPr>
        <w:spacing w:after="200" w:line="276" w:lineRule="auto"/>
        <w:jc w:val="both"/>
        <w:rPr>
          <w:rFonts w:ascii="Times New Roman" w:eastAsia="Calibri" w:hAnsi="Times New Roman" w:cs="Times New Roman"/>
          <w:noProof/>
          <w:lang w:val="en-ZA"/>
        </w:rPr>
      </w:pPr>
    </w:p>
    <w:p w14:paraId="65F9980D" w14:textId="77777777" w:rsidR="00C55AC3" w:rsidRPr="00C55AC3" w:rsidRDefault="00C55AC3" w:rsidP="00C55AC3">
      <w:pPr>
        <w:spacing w:after="200" w:line="276" w:lineRule="auto"/>
        <w:jc w:val="both"/>
        <w:rPr>
          <w:rFonts w:ascii="Times New Roman" w:eastAsia="Calibri" w:hAnsi="Times New Roman" w:cs="Times New Roman"/>
          <w:noProof/>
          <w:lang w:val="en-ZA"/>
        </w:rPr>
      </w:pPr>
    </w:p>
    <w:p w14:paraId="334B19D8" w14:textId="77777777" w:rsidR="00C55AC3" w:rsidRPr="00C55AC3" w:rsidRDefault="00C55AC3" w:rsidP="00C55AC3">
      <w:pPr>
        <w:spacing w:after="200" w:line="276" w:lineRule="auto"/>
        <w:jc w:val="both"/>
        <w:rPr>
          <w:rFonts w:ascii="Times New Roman" w:eastAsia="Calibri" w:hAnsi="Times New Roman" w:cs="Times New Roman"/>
          <w:noProof/>
          <w:lang w:val="en-ZA"/>
        </w:rPr>
      </w:pPr>
    </w:p>
    <w:p w14:paraId="632B3541" w14:textId="77777777" w:rsidR="00C55AC3" w:rsidRPr="00C55AC3" w:rsidRDefault="00C55AC3" w:rsidP="00C55AC3">
      <w:pPr>
        <w:keepNext/>
        <w:keepLines/>
        <w:spacing w:before="480" w:after="0" w:line="276" w:lineRule="auto"/>
        <w:jc w:val="both"/>
        <w:outlineLvl w:val="0"/>
        <w:rPr>
          <w:rFonts w:ascii="Times New Roman" w:eastAsia="Calibri" w:hAnsi="Times New Roman" w:cs="Times New Roman"/>
          <w:noProof/>
          <w:lang w:val="en-ZA"/>
        </w:rPr>
      </w:pPr>
    </w:p>
    <w:p w14:paraId="0BA6EAE3" w14:textId="77777777" w:rsidR="00C55AC3" w:rsidRPr="00C55AC3" w:rsidRDefault="00C55AC3" w:rsidP="00C55AC3">
      <w:pPr>
        <w:spacing w:after="200" w:line="276" w:lineRule="auto"/>
        <w:jc w:val="both"/>
        <w:rPr>
          <w:rFonts w:ascii="Times New Roman" w:eastAsia="Calibri" w:hAnsi="Times New Roman" w:cs="Times New Roman"/>
          <w:lang w:val="en-ZA"/>
        </w:rPr>
      </w:pPr>
    </w:p>
    <w:p w14:paraId="1D8DCC00" w14:textId="77777777" w:rsidR="00C55AC3" w:rsidRPr="00C55AC3" w:rsidRDefault="00C55AC3" w:rsidP="00C55AC3">
      <w:pPr>
        <w:spacing w:after="200" w:line="276" w:lineRule="auto"/>
        <w:jc w:val="both"/>
        <w:rPr>
          <w:rFonts w:ascii="Times New Roman" w:eastAsia="Calibri" w:hAnsi="Times New Roman" w:cs="Times New Roman"/>
          <w:lang w:val="en-ZA"/>
        </w:rPr>
      </w:pPr>
    </w:p>
    <w:sdt>
      <w:sdtPr>
        <w:rPr>
          <w:rFonts w:ascii="Times New Roman" w:eastAsia="Calibri" w:hAnsi="Times New Roman" w:cs="Times New Roman"/>
          <w:lang w:val="en-ZA"/>
        </w:rPr>
        <w:id w:val="1058518987"/>
        <w:docPartObj>
          <w:docPartGallery w:val="Table of Contents"/>
          <w:docPartUnique/>
        </w:docPartObj>
      </w:sdtPr>
      <w:sdtEndPr>
        <w:rPr>
          <w:noProof/>
        </w:rPr>
      </w:sdtEndPr>
      <w:sdtContent>
        <w:p w14:paraId="63D7E50E" w14:textId="77777777" w:rsidR="00C55AC3" w:rsidRPr="00C55AC3" w:rsidRDefault="00C55AC3" w:rsidP="00C55AC3">
          <w:pPr>
            <w:keepNext/>
            <w:keepLines/>
            <w:spacing w:before="480" w:after="0" w:line="276" w:lineRule="auto"/>
            <w:jc w:val="both"/>
            <w:outlineLvl w:val="0"/>
            <w:rPr>
              <w:rFonts w:ascii="Times New Roman" w:eastAsia="Calibri" w:hAnsi="Times New Roman" w:cs="Times New Roman"/>
              <w:lang w:val="en-ZA"/>
            </w:rPr>
          </w:pPr>
        </w:p>
        <w:p w14:paraId="6C7B27BE" w14:textId="77777777" w:rsidR="00C55AC3" w:rsidRPr="00C55AC3" w:rsidRDefault="00C55AC3" w:rsidP="00C55AC3">
          <w:pPr>
            <w:keepNext/>
            <w:keepLines/>
            <w:spacing w:before="480" w:after="0" w:line="276" w:lineRule="auto"/>
            <w:jc w:val="both"/>
            <w:outlineLvl w:val="0"/>
            <w:rPr>
              <w:rFonts w:ascii="Times New Roman" w:eastAsia="Calibri" w:hAnsi="Times New Roman" w:cs="Times New Roman"/>
              <w:b/>
              <w:lang w:val="en-ZA"/>
            </w:rPr>
          </w:pPr>
          <w:bookmarkStart w:id="2" w:name="_Toc427137449"/>
          <w:r w:rsidRPr="00C55AC3">
            <w:rPr>
              <w:rFonts w:ascii="Times New Roman" w:eastAsia="Times New Roman" w:hAnsi="Times New Roman" w:cs="Times New Roman"/>
              <w:b/>
              <w:bCs/>
              <w:lang w:val="en-US" w:eastAsia="ja-JP"/>
            </w:rPr>
            <w:t>Contents</w:t>
          </w:r>
          <w:bookmarkEnd w:id="2"/>
        </w:p>
        <w:p w14:paraId="4BB0A62C" w14:textId="77777777" w:rsidR="00C55AC3" w:rsidRPr="00C55AC3" w:rsidRDefault="00C55AC3" w:rsidP="00C55AC3">
          <w:pPr>
            <w:tabs>
              <w:tab w:val="right" w:leader="dot" w:pos="9350"/>
            </w:tabs>
            <w:spacing w:after="100" w:line="276" w:lineRule="auto"/>
            <w:rPr>
              <w:rFonts w:ascii="Calibri" w:eastAsia="Times New Roman" w:hAnsi="Calibri" w:cs="Times New Roman"/>
              <w:noProof/>
              <w:lang w:val="en-ZA" w:eastAsia="en-ZA"/>
            </w:rPr>
          </w:pPr>
          <w:r w:rsidRPr="00C55AC3">
            <w:rPr>
              <w:rFonts w:ascii="Times New Roman" w:eastAsia="Calibri" w:hAnsi="Times New Roman" w:cs="Times New Roman"/>
              <w:lang w:val="en-ZA"/>
            </w:rPr>
            <w:fldChar w:fldCharType="begin"/>
          </w:r>
          <w:r w:rsidRPr="00C55AC3">
            <w:rPr>
              <w:rFonts w:ascii="Times New Roman" w:eastAsia="Calibri" w:hAnsi="Times New Roman" w:cs="Times New Roman"/>
              <w:lang w:val="en-ZA"/>
            </w:rPr>
            <w:instrText xml:space="preserve"> TOC \o "1-3" \h \z \u </w:instrText>
          </w:r>
          <w:r w:rsidRPr="00C55AC3">
            <w:rPr>
              <w:rFonts w:ascii="Times New Roman" w:eastAsia="Calibri" w:hAnsi="Times New Roman" w:cs="Times New Roman"/>
              <w:lang w:val="en-ZA"/>
            </w:rPr>
            <w:fldChar w:fldCharType="separate"/>
          </w:r>
          <w:hyperlink w:anchor="_Toc427137448" w:history="1">
            <w:r w:rsidRPr="00C55AC3">
              <w:rPr>
                <w:rFonts w:ascii="Times New Roman" w:eastAsia="Calibri" w:hAnsi="Times New Roman" w:cs="Times New Roman"/>
                <w:noProof/>
                <w:color w:val="0000FF"/>
                <w:u w:val="single"/>
                <w:lang w:val="en-US"/>
              </w:rPr>
              <w:t>Acknowledgements</w:t>
            </w:r>
            <w:r w:rsidRPr="00C55AC3">
              <w:rPr>
                <w:rFonts w:ascii="Calibri" w:eastAsia="Calibri" w:hAnsi="Calibri" w:cs="Times New Roman"/>
                <w:noProof/>
                <w:webHidden/>
                <w:lang w:val="en-ZA"/>
              </w:rPr>
              <w:tab/>
            </w:r>
            <w:r w:rsidRPr="00C55AC3">
              <w:rPr>
                <w:rFonts w:ascii="Calibri" w:eastAsia="Calibri" w:hAnsi="Calibri" w:cs="Times New Roman"/>
                <w:noProof/>
                <w:webHidden/>
                <w:lang w:val="en-ZA"/>
              </w:rPr>
              <w:fldChar w:fldCharType="begin"/>
            </w:r>
            <w:r w:rsidRPr="00C55AC3">
              <w:rPr>
                <w:rFonts w:ascii="Calibri" w:eastAsia="Calibri" w:hAnsi="Calibri" w:cs="Times New Roman"/>
                <w:noProof/>
                <w:webHidden/>
                <w:lang w:val="en-ZA"/>
              </w:rPr>
              <w:instrText xml:space="preserve"> PAGEREF _Toc427137448 \h </w:instrText>
            </w:r>
            <w:r w:rsidRPr="00C55AC3">
              <w:rPr>
                <w:rFonts w:ascii="Calibri" w:eastAsia="Calibri" w:hAnsi="Calibri" w:cs="Times New Roman"/>
                <w:noProof/>
                <w:webHidden/>
                <w:lang w:val="en-ZA"/>
              </w:rPr>
            </w:r>
            <w:r w:rsidRPr="00C55AC3">
              <w:rPr>
                <w:rFonts w:ascii="Calibri" w:eastAsia="Calibri" w:hAnsi="Calibri" w:cs="Times New Roman"/>
                <w:noProof/>
                <w:webHidden/>
                <w:lang w:val="en-ZA"/>
              </w:rPr>
              <w:fldChar w:fldCharType="separate"/>
            </w:r>
            <w:r w:rsidRPr="00C55AC3">
              <w:rPr>
                <w:rFonts w:ascii="Calibri" w:eastAsia="Calibri" w:hAnsi="Calibri" w:cs="Times New Roman"/>
                <w:noProof/>
                <w:webHidden/>
                <w:lang w:val="en-ZA"/>
              </w:rPr>
              <w:t>i</w:t>
            </w:r>
            <w:r w:rsidRPr="00C55AC3">
              <w:rPr>
                <w:rFonts w:ascii="Calibri" w:eastAsia="Calibri" w:hAnsi="Calibri" w:cs="Times New Roman"/>
                <w:noProof/>
                <w:webHidden/>
                <w:lang w:val="en-ZA"/>
              </w:rPr>
              <w:fldChar w:fldCharType="end"/>
            </w:r>
          </w:hyperlink>
        </w:p>
        <w:p w14:paraId="52E3D374" w14:textId="77777777" w:rsidR="00C55AC3" w:rsidRPr="00C55AC3" w:rsidRDefault="00CD65F4" w:rsidP="00C55AC3">
          <w:pPr>
            <w:tabs>
              <w:tab w:val="right" w:leader="dot" w:pos="9350"/>
            </w:tabs>
            <w:spacing w:after="100" w:line="276" w:lineRule="auto"/>
            <w:rPr>
              <w:rFonts w:ascii="Calibri" w:eastAsia="Times New Roman" w:hAnsi="Calibri" w:cs="Times New Roman"/>
              <w:noProof/>
              <w:lang w:val="en-ZA" w:eastAsia="en-ZA"/>
            </w:rPr>
          </w:pPr>
          <w:hyperlink w:anchor="_Toc427137449" w:history="1">
            <w:r w:rsidR="00C55AC3" w:rsidRPr="00C55AC3">
              <w:rPr>
                <w:rFonts w:ascii="Times New Roman" w:eastAsia="Times New Roman" w:hAnsi="Times New Roman" w:cs="Times New Roman"/>
                <w:bCs/>
                <w:noProof/>
                <w:color w:val="0000FF"/>
                <w:u w:val="single"/>
                <w:lang w:val="en-US" w:eastAsia="ja-JP"/>
              </w:rPr>
              <w:t>Contents</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_Toc427137449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ii</w:t>
            </w:r>
            <w:r w:rsidR="00C55AC3" w:rsidRPr="00C55AC3">
              <w:rPr>
                <w:rFonts w:ascii="Calibri" w:eastAsia="Calibri" w:hAnsi="Calibri" w:cs="Times New Roman"/>
                <w:noProof/>
                <w:webHidden/>
                <w:lang w:val="en-ZA"/>
              </w:rPr>
              <w:fldChar w:fldCharType="end"/>
            </w:r>
          </w:hyperlink>
        </w:p>
        <w:p w14:paraId="0933F172" w14:textId="77777777" w:rsidR="00C55AC3" w:rsidRPr="00C55AC3" w:rsidRDefault="00CD65F4" w:rsidP="00C55AC3">
          <w:pPr>
            <w:tabs>
              <w:tab w:val="right" w:leader="dot" w:pos="9350"/>
            </w:tabs>
            <w:spacing w:after="100" w:line="276" w:lineRule="auto"/>
            <w:rPr>
              <w:rFonts w:ascii="Calibri" w:eastAsia="Times New Roman" w:hAnsi="Calibri" w:cs="Times New Roman"/>
              <w:noProof/>
              <w:lang w:val="en-ZA" w:eastAsia="en-ZA"/>
            </w:rPr>
          </w:pPr>
          <w:hyperlink w:anchor="_Toc427137450" w:history="1">
            <w:r w:rsidR="00C55AC3" w:rsidRPr="00C55AC3">
              <w:rPr>
                <w:rFonts w:ascii="Times New Roman" w:eastAsia="Calibri" w:hAnsi="Times New Roman" w:cs="Times New Roman"/>
                <w:bCs/>
                <w:noProof/>
                <w:color w:val="0000FF"/>
                <w:u w:val="single"/>
                <w:lang w:val="en-US"/>
              </w:rPr>
              <w:t>Acronyms</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_Toc427137450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iii</w:t>
            </w:r>
            <w:r w:rsidR="00C55AC3" w:rsidRPr="00C55AC3">
              <w:rPr>
                <w:rFonts w:ascii="Calibri" w:eastAsia="Calibri" w:hAnsi="Calibri" w:cs="Times New Roman"/>
                <w:noProof/>
                <w:webHidden/>
                <w:lang w:val="en-ZA"/>
              </w:rPr>
              <w:fldChar w:fldCharType="end"/>
            </w:r>
          </w:hyperlink>
        </w:p>
        <w:p w14:paraId="28C24FE6" w14:textId="77777777" w:rsidR="00C55AC3" w:rsidRPr="00C55AC3" w:rsidRDefault="00CD65F4" w:rsidP="00C55AC3">
          <w:pPr>
            <w:tabs>
              <w:tab w:val="right" w:leader="dot" w:pos="9350"/>
            </w:tabs>
            <w:spacing w:after="100" w:line="276" w:lineRule="auto"/>
            <w:rPr>
              <w:rFonts w:ascii="Calibri" w:eastAsia="Times New Roman" w:hAnsi="Calibri" w:cs="Times New Roman"/>
              <w:noProof/>
              <w:lang w:val="en-ZA" w:eastAsia="en-ZA"/>
            </w:rPr>
          </w:pPr>
          <w:hyperlink w:anchor="_Toc427137451" w:history="1">
            <w:r w:rsidR="00C55AC3" w:rsidRPr="00C55AC3">
              <w:rPr>
                <w:rFonts w:ascii="Times New Roman" w:eastAsia="Times New Roman" w:hAnsi="Times New Roman" w:cs="Times New Roman"/>
                <w:bCs/>
                <w:noProof/>
                <w:color w:val="0000FF"/>
                <w:u w:val="single"/>
                <w:lang w:val="en-ZA"/>
              </w:rPr>
              <w:t>Summary</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_Toc427137451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iv</w:t>
            </w:r>
            <w:r w:rsidR="00C55AC3" w:rsidRPr="00C55AC3">
              <w:rPr>
                <w:rFonts w:ascii="Calibri" w:eastAsia="Calibri" w:hAnsi="Calibri" w:cs="Times New Roman"/>
                <w:noProof/>
                <w:webHidden/>
                <w:lang w:val="en-ZA"/>
              </w:rPr>
              <w:fldChar w:fldCharType="end"/>
            </w:r>
          </w:hyperlink>
        </w:p>
        <w:p w14:paraId="417FE7D9" w14:textId="77777777" w:rsidR="00C55AC3" w:rsidRPr="00C55AC3" w:rsidRDefault="00CD65F4" w:rsidP="00C55AC3">
          <w:pPr>
            <w:tabs>
              <w:tab w:val="right" w:leader="dot" w:pos="9350"/>
            </w:tabs>
            <w:spacing w:after="100" w:line="276" w:lineRule="auto"/>
            <w:rPr>
              <w:rFonts w:ascii="Calibri" w:eastAsia="Times New Roman" w:hAnsi="Calibri" w:cs="Times New Roman"/>
              <w:noProof/>
              <w:lang w:val="en-ZA" w:eastAsia="en-ZA"/>
            </w:rPr>
          </w:pPr>
          <w:hyperlink w:anchor="_Toc427137452" w:history="1">
            <w:r w:rsidR="00C55AC3" w:rsidRPr="00C55AC3">
              <w:rPr>
                <w:rFonts w:ascii="Times New Roman" w:eastAsia="Times New Roman" w:hAnsi="Times New Roman" w:cs="Times New Roman"/>
                <w:bCs/>
                <w:noProof/>
                <w:color w:val="0000FF"/>
                <w:u w:val="single"/>
                <w:lang w:val="en-US"/>
              </w:rPr>
              <w:t>List of Tables</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_Toc427137452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v</w:t>
            </w:r>
            <w:r w:rsidR="00C55AC3" w:rsidRPr="00C55AC3">
              <w:rPr>
                <w:rFonts w:ascii="Calibri" w:eastAsia="Calibri" w:hAnsi="Calibri" w:cs="Times New Roman"/>
                <w:noProof/>
                <w:webHidden/>
                <w:lang w:val="en-ZA"/>
              </w:rPr>
              <w:fldChar w:fldCharType="end"/>
            </w:r>
          </w:hyperlink>
        </w:p>
        <w:p w14:paraId="62EE39A2" w14:textId="77777777" w:rsidR="00C55AC3" w:rsidRPr="00C55AC3" w:rsidRDefault="00CD65F4" w:rsidP="00C55AC3">
          <w:pPr>
            <w:tabs>
              <w:tab w:val="right" w:leader="dot" w:pos="9350"/>
            </w:tabs>
            <w:spacing w:after="100" w:line="276" w:lineRule="auto"/>
            <w:rPr>
              <w:rFonts w:ascii="Calibri" w:eastAsia="Times New Roman" w:hAnsi="Calibri" w:cs="Times New Roman"/>
              <w:noProof/>
              <w:lang w:val="en-ZA" w:eastAsia="en-ZA"/>
            </w:rPr>
          </w:pPr>
          <w:hyperlink w:anchor="_Toc427137453" w:history="1">
            <w:r w:rsidR="00C55AC3" w:rsidRPr="00C55AC3">
              <w:rPr>
                <w:rFonts w:ascii="Times New Roman" w:eastAsia="Calibri" w:hAnsi="Times New Roman" w:cs="Times New Roman"/>
                <w:bCs/>
                <w:noProof/>
                <w:color w:val="0000FF"/>
                <w:u w:val="single"/>
                <w:lang w:val="en-US"/>
              </w:rPr>
              <w:t>List of Figures</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_Toc427137453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vi</w:t>
            </w:r>
            <w:r w:rsidR="00C55AC3" w:rsidRPr="00C55AC3">
              <w:rPr>
                <w:rFonts w:ascii="Calibri" w:eastAsia="Calibri" w:hAnsi="Calibri" w:cs="Times New Roman"/>
                <w:noProof/>
                <w:webHidden/>
                <w:lang w:val="en-ZA"/>
              </w:rPr>
              <w:fldChar w:fldCharType="end"/>
            </w:r>
          </w:hyperlink>
        </w:p>
        <w:p w14:paraId="6825F8D4" w14:textId="77777777" w:rsidR="00C55AC3" w:rsidRPr="00C55AC3" w:rsidRDefault="00CD65F4" w:rsidP="00C55AC3">
          <w:pPr>
            <w:tabs>
              <w:tab w:val="right" w:leader="dot" w:pos="9350"/>
            </w:tabs>
            <w:spacing w:after="100" w:line="276" w:lineRule="auto"/>
            <w:rPr>
              <w:rFonts w:ascii="Calibri" w:eastAsia="Times New Roman" w:hAnsi="Calibri" w:cs="Times New Roman"/>
              <w:noProof/>
              <w:lang w:val="en-ZA" w:eastAsia="en-ZA"/>
            </w:rPr>
          </w:pPr>
          <w:hyperlink w:anchor="_Toc427137454" w:history="1">
            <w:r w:rsidR="00C55AC3" w:rsidRPr="00C55AC3">
              <w:rPr>
                <w:rFonts w:ascii="Times New Roman" w:eastAsia="Times New Roman" w:hAnsi="Times New Roman" w:cs="Times New Roman"/>
                <w:bCs/>
                <w:noProof/>
                <w:color w:val="0000FF"/>
                <w:u w:val="single"/>
                <w:lang w:val="en-ZA"/>
              </w:rPr>
              <w:t>1.0 Introduction</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_Toc427137454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1</w:t>
            </w:r>
            <w:r w:rsidR="00C55AC3" w:rsidRPr="00C55AC3">
              <w:rPr>
                <w:rFonts w:ascii="Calibri" w:eastAsia="Calibri" w:hAnsi="Calibri" w:cs="Times New Roman"/>
                <w:noProof/>
                <w:webHidden/>
                <w:lang w:val="en-ZA"/>
              </w:rPr>
              <w:fldChar w:fldCharType="end"/>
            </w:r>
          </w:hyperlink>
        </w:p>
        <w:p w14:paraId="13C7DC52" w14:textId="77777777" w:rsidR="00C55AC3" w:rsidRPr="00C55AC3" w:rsidRDefault="00CD65F4" w:rsidP="00C55AC3">
          <w:pPr>
            <w:tabs>
              <w:tab w:val="right" w:leader="dot" w:pos="9350"/>
            </w:tabs>
            <w:spacing w:after="100" w:line="276" w:lineRule="auto"/>
            <w:rPr>
              <w:rFonts w:ascii="Calibri" w:eastAsia="Times New Roman" w:hAnsi="Calibri" w:cs="Times New Roman"/>
              <w:noProof/>
              <w:lang w:val="en-ZA" w:eastAsia="en-ZA"/>
            </w:rPr>
          </w:pPr>
          <w:hyperlink w:anchor="_Toc427137455" w:history="1">
            <w:r w:rsidR="00C55AC3" w:rsidRPr="00C55AC3">
              <w:rPr>
                <w:rFonts w:ascii="Times New Roman" w:eastAsia="Times New Roman" w:hAnsi="Times New Roman" w:cs="Times New Roman"/>
                <w:bCs/>
                <w:noProof/>
                <w:color w:val="0000FF"/>
                <w:u w:val="single"/>
                <w:lang w:val="en-US"/>
              </w:rPr>
              <w:t>1.1 Theoretical Framework</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_Toc427137455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1</w:t>
            </w:r>
            <w:r w:rsidR="00C55AC3" w:rsidRPr="00C55AC3">
              <w:rPr>
                <w:rFonts w:ascii="Calibri" w:eastAsia="Calibri" w:hAnsi="Calibri" w:cs="Times New Roman"/>
                <w:noProof/>
                <w:webHidden/>
                <w:lang w:val="en-ZA"/>
              </w:rPr>
              <w:fldChar w:fldCharType="end"/>
            </w:r>
          </w:hyperlink>
        </w:p>
        <w:p w14:paraId="755C0091" w14:textId="77777777" w:rsidR="00C55AC3" w:rsidRPr="00C55AC3" w:rsidRDefault="00CD65F4" w:rsidP="00C55AC3">
          <w:pPr>
            <w:tabs>
              <w:tab w:val="right" w:leader="dot" w:pos="9350"/>
            </w:tabs>
            <w:spacing w:after="100" w:line="276" w:lineRule="auto"/>
            <w:rPr>
              <w:rFonts w:ascii="Calibri" w:eastAsia="Times New Roman" w:hAnsi="Calibri" w:cs="Times New Roman"/>
              <w:noProof/>
              <w:lang w:val="en-ZA" w:eastAsia="en-ZA"/>
            </w:rPr>
          </w:pPr>
          <w:hyperlink w:anchor="_Toc427137456" w:history="1">
            <w:r w:rsidR="00C55AC3" w:rsidRPr="00C55AC3">
              <w:rPr>
                <w:rFonts w:ascii="Times New Roman" w:eastAsia="Times New Roman" w:hAnsi="Times New Roman" w:cs="Times New Roman"/>
                <w:bCs/>
                <w:noProof/>
                <w:color w:val="0000FF"/>
                <w:u w:val="single"/>
                <w:lang w:val="en-ZA"/>
              </w:rPr>
              <w:t>1.2 Background</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_Toc427137456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2</w:t>
            </w:r>
            <w:r w:rsidR="00C55AC3" w:rsidRPr="00C55AC3">
              <w:rPr>
                <w:rFonts w:ascii="Calibri" w:eastAsia="Calibri" w:hAnsi="Calibri" w:cs="Times New Roman"/>
                <w:noProof/>
                <w:webHidden/>
                <w:lang w:val="en-ZA"/>
              </w:rPr>
              <w:fldChar w:fldCharType="end"/>
            </w:r>
          </w:hyperlink>
        </w:p>
        <w:p w14:paraId="658E9F27" w14:textId="77777777" w:rsidR="00C55AC3" w:rsidRPr="00C55AC3" w:rsidRDefault="00CD65F4" w:rsidP="00C55AC3">
          <w:pPr>
            <w:tabs>
              <w:tab w:val="right" w:leader="dot" w:pos="9350"/>
            </w:tabs>
            <w:spacing w:after="100" w:line="276" w:lineRule="auto"/>
            <w:ind w:left="440"/>
            <w:rPr>
              <w:rFonts w:ascii="Calibri" w:eastAsia="Times New Roman" w:hAnsi="Calibri" w:cs="Times New Roman"/>
              <w:noProof/>
              <w:lang w:val="en-ZA" w:eastAsia="en-ZA"/>
            </w:rPr>
          </w:pPr>
          <w:hyperlink w:anchor="_Toc427137457" w:history="1">
            <w:r w:rsidR="00C55AC3" w:rsidRPr="00C55AC3">
              <w:rPr>
                <w:rFonts w:ascii="Times New Roman" w:eastAsia="Times New Roman" w:hAnsi="Times New Roman" w:cs="Times New Roman"/>
                <w:bCs/>
                <w:noProof/>
                <w:color w:val="0000FF"/>
                <w:u w:val="single"/>
                <w:lang w:val="en-ZA"/>
              </w:rPr>
              <w:t>1.2.1 Gender influence on Production</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_Toc427137457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2</w:t>
            </w:r>
            <w:r w:rsidR="00C55AC3" w:rsidRPr="00C55AC3">
              <w:rPr>
                <w:rFonts w:ascii="Calibri" w:eastAsia="Calibri" w:hAnsi="Calibri" w:cs="Times New Roman"/>
                <w:noProof/>
                <w:webHidden/>
                <w:lang w:val="en-ZA"/>
              </w:rPr>
              <w:fldChar w:fldCharType="end"/>
            </w:r>
          </w:hyperlink>
        </w:p>
        <w:p w14:paraId="2B7C8B56" w14:textId="77777777" w:rsidR="00C55AC3" w:rsidRPr="00C55AC3" w:rsidRDefault="00CD65F4" w:rsidP="00C55AC3">
          <w:pPr>
            <w:tabs>
              <w:tab w:val="right" w:leader="dot" w:pos="9350"/>
            </w:tabs>
            <w:spacing w:after="100" w:line="276" w:lineRule="auto"/>
            <w:ind w:left="440"/>
            <w:rPr>
              <w:rFonts w:ascii="Calibri" w:eastAsia="Times New Roman" w:hAnsi="Calibri" w:cs="Times New Roman"/>
              <w:noProof/>
              <w:lang w:val="en-ZA" w:eastAsia="en-ZA"/>
            </w:rPr>
          </w:pPr>
          <w:hyperlink w:anchor="_Toc427137458" w:history="1">
            <w:r w:rsidR="00C55AC3" w:rsidRPr="00C55AC3">
              <w:rPr>
                <w:rFonts w:ascii="Times New Roman" w:eastAsia="Times New Roman" w:hAnsi="Times New Roman" w:cs="Times New Roman"/>
                <w:bCs/>
                <w:noProof/>
                <w:color w:val="0000FF"/>
                <w:u w:val="single"/>
                <w:lang w:val="en-ZA"/>
              </w:rPr>
              <w:t>1.2.2 Ownership and access to productive Resources</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_Toc427137458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2</w:t>
            </w:r>
            <w:r w:rsidR="00C55AC3" w:rsidRPr="00C55AC3">
              <w:rPr>
                <w:rFonts w:ascii="Calibri" w:eastAsia="Calibri" w:hAnsi="Calibri" w:cs="Times New Roman"/>
                <w:noProof/>
                <w:webHidden/>
                <w:lang w:val="en-ZA"/>
              </w:rPr>
              <w:fldChar w:fldCharType="end"/>
            </w:r>
          </w:hyperlink>
        </w:p>
        <w:p w14:paraId="63FA38DC" w14:textId="77777777" w:rsidR="00C55AC3" w:rsidRPr="00C55AC3" w:rsidRDefault="00CD65F4" w:rsidP="00C55AC3">
          <w:pPr>
            <w:tabs>
              <w:tab w:val="right" w:leader="dot" w:pos="9350"/>
            </w:tabs>
            <w:spacing w:after="100" w:line="276" w:lineRule="auto"/>
            <w:ind w:left="440"/>
            <w:rPr>
              <w:rFonts w:ascii="Calibri" w:eastAsia="Times New Roman" w:hAnsi="Calibri" w:cs="Times New Roman"/>
              <w:noProof/>
              <w:lang w:val="en-ZA" w:eastAsia="en-ZA"/>
            </w:rPr>
          </w:pPr>
          <w:hyperlink w:anchor="_Toc427137459" w:history="1">
            <w:r w:rsidR="00C55AC3" w:rsidRPr="00C55AC3">
              <w:rPr>
                <w:rFonts w:ascii="Times New Roman" w:eastAsia="Times New Roman" w:hAnsi="Times New Roman" w:cs="Times New Roman"/>
                <w:bCs/>
                <w:noProof/>
                <w:color w:val="0000FF"/>
                <w:u w:val="single"/>
                <w:lang w:val="en-ZA"/>
              </w:rPr>
              <w:t>1.2.3 Gender and Leadership</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_Toc427137459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2</w:t>
            </w:r>
            <w:r w:rsidR="00C55AC3" w:rsidRPr="00C55AC3">
              <w:rPr>
                <w:rFonts w:ascii="Calibri" w:eastAsia="Calibri" w:hAnsi="Calibri" w:cs="Times New Roman"/>
                <w:noProof/>
                <w:webHidden/>
                <w:lang w:val="en-ZA"/>
              </w:rPr>
              <w:fldChar w:fldCharType="end"/>
            </w:r>
          </w:hyperlink>
        </w:p>
        <w:p w14:paraId="116428DD" w14:textId="77777777" w:rsidR="00C55AC3" w:rsidRPr="00C55AC3" w:rsidRDefault="00CD65F4" w:rsidP="00C55AC3">
          <w:pPr>
            <w:tabs>
              <w:tab w:val="right" w:leader="dot" w:pos="9350"/>
            </w:tabs>
            <w:spacing w:after="100" w:line="276" w:lineRule="auto"/>
            <w:ind w:left="440"/>
            <w:rPr>
              <w:rFonts w:ascii="Calibri" w:eastAsia="Times New Roman" w:hAnsi="Calibri" w:cs="Times New Roman"/>
              <w:noProof/>
              <w:lang w:val="en-ZA" w:eastAsia="en-ZA"/>
            </w:rPr>
          </w:pPr>
          <w:hyperlink w:anchor="_Toc427137460" w:history="1">
            <w:r w:rsidR="00C55AC3" w:rsidRPr="00C55AC3">
              <w:rPr>
                <w:rFonts w:ascii="Times New Roman" w:eastAsia="Times New Roman" w:hAnsi="Times New Roman" w:cs="Times New Roman"/>
                <w:bCs/>
                <w:noProof/>
                <w:color w:val="0000FF"/>
                <w:u w:val="single"/>
                <w:lang w:val="en-ZA"/>
              </w:rPr>
              <w:t>1.2.4 Control over Income and Expenditure</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_Toc427137460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3</w:t>
            </w:r>
            <w:r w:rsidR="00C55AC3" w:rsidRPr="00C55AC3">
              <w:rPr>
                <w:rFonts w:ascii="Calibri" w:eastAsia="Calibri" w:hAnsi="Calibri" w:cs="Times New Roman"/>
                <w:noProof/>
                <w:webHidden/>
                <w:lang w:val="en-ZA"/>
              </w:rPr>
              <w:fldChar w:fldCharType="end"/>
            </w:r>
          </w:hyperlink>
        </w:p>
        <w:p w14:paraId="4A807110" w14:textId="77777777" w:rsidR="00C55AC3" w:rsidRPr="00C55AC3" w:rsidRDefault="00CD65F4" w:rsidP="00C55AC3">
          <w:pPr>
            <w:tabs>
              <w:tab w:val="right" w:leader="dot" w:pos="9350"/>
            </w:tabs>
            <w:spacing w:after="100" w:line="276" w:lineRule="auto"/>
            <w:ind w:left="440"/>
            <w:rPr>
              <w:rFonts w:ascii="Calibri" w:eastAsia="Times New Roman" w:hAnsi="Calibri" w:cs="Times New Roman"/>
              <w:noProof/>
              <w:lang w:val="en-ZA" w:eastAsia="en-ZA"/>
            </w:rPr>
          </w:pPr>
          <w:hyperlink w:anchor="_Toc427137461" w:history="1">
            <w:r w:rsidR="00C55AC3" w:rsidRPr="00C55AC3">
              <w:rPr>
                <w:rFonts w:ascii="Times New Roman" w:eastAsia="Times New Roman" w:hAnsi="Times New Roman" w:cs="Times New Roman"/>
                <w:bCs/>
                <w:noProof/>
                <w:color w:val="0000FF"/>
                <w:u w:val="single"/>
                <w:lang w:val="en-ZA"/>
              </w:rPr>
              <w:t>1.2.5 Gender and productive time allocation</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_Toc427137461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3</w:t>
            </w:r>
            <w:r w:rsidR="00C55AC3" w:rsidRPr="00C55AC3">
              <w:rPr>
                <w:rFonts w:ascii="Calibri" w:eastAsia="Calibri" w:hAnsi="Calibri" w:cs="Times New Roman"/>
                <w:noProof/>
                <w:webHidden/>
                <w:lang w:val="en-ZA"/>
              </w:rPr>
              <w:fldChar w:fldCharType="end"/>
            </w:r>
          </w:hyperlink>
        </w:p>
        <w:p w14:paraId="3C7E574B" w14:textId="77777777" w:rsidR="00C55AC3" w:rsidRPr="00C55AC3" w:rsidRDefault="00CD65F4" w:rsidP="00C55AC3">
          <w:pPr>
            <w:tabs>
              <w:tab w:val="right" w:leader="dot" w:pos="9350"/>
            </w:tabs>
            <w:spacing w:after="100" w:line="276" w:lineRule="auto"/>
            <w:ind w:left="440"/>
            <w:rPr>
              <w:rFonts w:ascii="Calibri" w:eastAsia="Times New Roman" w:hAnsi="Calibri" w:cs="Times New Roman"/>
              <w:noProof/>
              <w:lang w:val="en-ZA" w:eastAsia="en-ZA"/>
            </w:rPr>
          </w:pPr>
          <w:hyperlink w:anchor="_Toc427137462" w:history="1">
            <w:r w:rsidR="00C55AC3" w:rsidRPr="00C55AC3">
              <w:rPr>
                <w:rFonts w:ascii="Times New Roman" w:eastAsia="Times New Roman" w:hAnsi="Times New Roman" w:cs="Times New Roman"/>
                <w:bCs/>
                <w:noProof/>
                <w:color w:val="0000FF"/>
                <w:u w:val="single"/>
                <w:lang w:val="en-ZA"/>
              </w:rPr>
              <w:t>1.2.7 Sustainability pathways</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_Toc427137462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3</w:t>
            </w:r>
            <w:r w:rsidR="00C55AC3" w:rsidRPr="00C55AC3">
              <w:rPr>
                <w:rFonts w:ascii="Calibri" w:eastAsia="Calibri" w:hAnsi="Calibri" w:cs="Times New Roman"/>
                <w:noProof/>
                <w:webHidden/>
                <w:lang w:val="en-ZA"/>
              </w:rPr>
              <w:fldChar w:fldCharType="end"/>
            </w:r>
          </w:hyperlink>
        </w:p>
        <w:p w14:paraId="55E7A1F9" w14:textId="77777777" w:rsidR="00C55AC3" w:rsidRPr="00C55AC3" w:rsidRDefault="00CD65F4" w:rsidP="00C55AC3">
          <w:pPr>
            <w:tabs>
              <w:tab w:val="right" w:leader="dot" w:pos="9350"/>
            </w:tabs>
            <w:spacing w:after="100" w:line="276" w:lineRule="auto"/>
            <w:rPr>
              <w:rFonts w:ascii="Calibri" w:eastAsia="Times New Roman" w:hAnsi="Calibri" w:cs="Times New Roman"/>
              <w:noProof/>
              <w:lang w:val="en-ZA" w:eastAsia="en-ZA"/>
            </w:rPr>
          </w:pPr>
          <w:hyperlink w:anchor="_Toc427137463" w:history="1">
            <w:r w:rsidR="00C55AC3" w:rsidRPr="00C55AC3">
              <w:rPr>
                <w:rFonts w:ascii="Times New Roman" w:eastAsia="Times New Roman" w:hAnsi="Times New Roman" w:cs="Times New Roman"/>
                <w:noProof/>
                <w:color w:val="0000FF"/>
                <w:u w:val="single"/>
                <w:lang w:val="en-US"/>
              </w:rPr>
              <w:t xml:space="preserve">2.0 </w:t>
            </w:r>
            <w:r w:rsidR="00C55AC3" w:rsidRPr="00C55AC3">
              <w:rPr>
                <w:rFonts w:ascii="Times New Roman" w:eastAsia="Times New Roman" w:hAnsi="Times New Roman" w:cs="Times New Roman"/>
                <w:noProof/>
                <w:color w:val="0000FF"/>
                <w:u w:val="single"/>
                <w:lang w:val="en-ZA" w:eastAsia="en-ZA"/>
              </w:rPr>
              <w:t>Study site</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_Toc427137463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4</w:t>
            </w:r>
            <w:r w:rsidR="00C55AC3" w:rsidRPr="00C55AC3">
              <w:rPr>
                <w:rFonts w:ascii="Calibri" w:eastAsia="Calibri" w:hAnsi="Calibri" w:cs="Times New Roman"/>
                <w:noProof/>
                <w:webHidden/>
                <w:lang w:val="en-ZA"/>
              </w:rPr>
              <w:fldChar w:fldCharType="end"/>
            </w:r>
          </w:hyperlink>
        </w:p>
        <w:p w14:paraId="323DC378" w14:textId="77777777" w:rsidR="00C55AC3" w:rsidRPr="00C55AC3" w:rsidRDefault="00CD65F4" w:rsidP="00C55AC3">
          <w:pPr>
            <w:tabs>
              <w:tab w:val="right" w:leader="dot" w:pos="9350"/>
            </w:tabs>
            <w:spacing w:after="100" w:line="276" w:lineRule="auto"/>
            <w:rPr>
              <w:rFonts w:ascii="Calibri" w:eastAsia="Times New Roman" w:hAnsi="Calibri" w:cs="Times New Roman"/>
              <w:noProof/>
              <w:lang w:val="en-ZA" w:eastAsia="en-ZA"/>
            </w:rPr>
          </w:pPr>
          <w:hyperlink w:anchor="_Toc427137464" w:history="1">
            <w:r w:rsidR="00C55AC3" w:rsidRPr="00C55AC3">
              <w:rPr>
                <w:rFonts w:ascii="Times New Roman" w:eastAsia="Times New Roman" w:hAnsi="Times New Roman" w:cs="Times New Roman"/>
                <w:noProof/>
                <w:color w:val="0000FF"/>
                <w:u w:val="single"/>
                <w:lang w:val="en-US"/>
              </w:rPr>
              <w:t>2.1 Methods</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_Toc427137464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5</w:t>
            </w:r>
            <w:r w:rsidR="00C55AC3" w:rsidRPr="00C55AC3">
              <w:rPr>
                <w:rFonts w:ascii="Calibri" w:eastAsia="Calibri" w:hAnsi="Calibri" w:cs="Times New Roman"/>
                <w:noProof/>
                <w:webHidden/>
                <w:lang w:val="en-ZA"/>
              </w:rPr>
              <w:fldChar w:fldCharType="end"/>
            </w:r>
          </w:hyperlink>
        </w:p>
        <w:p w14:paraId="0680AFA9" w14:textId="77777777" w:rsidR="00C55AC3" w:rsidRPr="00C55AC3" w:rsidRDefault="00CD65F4" w:rsidP="00C55AC3">
          <w:pPr>
            <w:tabs>
              <w:tab w:val="right" w:leader="dot" w:pos="9350"/>
            </w:tabs>
            <w:spacing w:after="100" w:line="276" w:lineRule="auto"/>
            <w:rPr>
              <w:rFonts w:ascii="Calibri" w:eastAsia="Times New Roman" w:hAnsi="Calibri" w:cs="Times New Roman"/>
              <w:noProof/>
              <w:lang w:val="en-ZA" w:eastAsia="en-ZA"/>
            </w:rPr>
          </w:pPr>
          <w:hyperlink w:anchor="_Toc427137465" w:history="1">
            <w:r w:rsidR="00C55AC3" w:rsidRPr="00C55AC3">
              <w:rPr>
                <w:rFonts w:ascii="Times New Roman" w:eastAsia="Times New Roman" w:hAnsi="Times New Roman" w:cs="Times New Roman"/>
                <w:noProof/>
                <w:color w:val="0000FF"/>
                <w:u w:val="single"/>
                <w:lang w:val="en-US"/>
              </w:rPr>
              <w:t>3.0 Results</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_Toc427137465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5</w:t>
            </w:r>
            <w:r w:rsidR="00C55AC3" w:rsidRPr="00C55AC3">
              <w:rPr>
                <w:rFonts w:ascii="Calibri" w:eastAsia="Calibri" w:hAnsi="Calibri" w:cs="Times New Roman"/>
                <w:noProof/>
                <w:webHidden/>
                <w:lang w:val="en-ZA"/>
              </w:rPr>
              <w:fldChar w:fldCharType="end"/>
            </w:r>
          </w:hyperlink>
        </w:p>
        <w:p w14:paraId="11DF8A70" w14:textId="77777777" w:rsidR="00C55AC3" w:rsidRPr="00C55AC3" w:rsidRDefault="00CD65F4" w:rsidP="00C55AC3">
          <w:pPr>
            <w:tabs>
              <w:tab w:val="right" w:leader="dot" w:pos="9350"/>
            </w:tabs>
            <w:spacing w:after="100" w:line="276" w:lineRule="auto"/>
            <w:ind w:left="440"/>
            <w:rPr>
              <w:rFonts w:ascii="Calibri" w:eastAsia="Times New Roman" w:hAnsi="Calibri" w:cs="Times New Roman"/>
              <w:noProof/>
              <w:lang w:val="en-ZA" w:eastAsia="en-ZA"/>
            </w:rPr>
          </w:pPr>
          <w:hyperlink w:anchor="_Toc427137466" w:history="1">
            <w:r w:rsidR="00C55AC3" w:rsidRPr="00C55AC3">
              <w:rPr>
                <w:rFonts w:ascii="Times New Roman" w:eastAsia="Times New Roman" w:hAnsi="Times New Roman" w:cs="Times New Roman"/>
                <w:bCs/>
                <w:noProof/>
                <w:color w:val="0000FF"/>
                <w:u w:val="single"/>
                <w:lang w:val="en-ZA"/>
              </w:rPr>
              <w:t>3.1.0 Farming methods used by gender</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_Toc427137466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5</w:t>
            </w:r>
            <w:r w:rsidR="00C55AC3" w:rsidRPr="00C55AC3">
              <w:rPr>
                <w:rFonts w:ascii="Calibri" w:eastAsia="Calibri" w:hAnsi="Calibri" w:cs="Times New Roman"/>
                <w:noProof/>
                <w:webHidden/>
                <w:lang w:val="en-ZA"/>
              </w:rPr>
              <w:fldChar w:fldCharType="end"/>
            </w:r>
          </w:hyperlink>
        </w:p>
        <w:p w14:paraId="47CEAC53" w14:textId="77777777" w:rsidR="00C55AC3" w:rsidRPr="00C55AC3" w:rsidRDefault="00CD65F4" w:rsidP="00C55AC3">
          <w:pPr>
            <w:tabs>
              <w:tab w:val="right" w:leader="dot" w:pos="9350"/>
            </w:tabs>
            <w:spacing w:after="100" w:line="276" w:lineRule="auto"/>
            <w:ind w:left="440"/>
            <w:rPr>
              <w:rFonts w:ascii="Calibri" w:eastAsia="Times New Roman" w:hAnsi="Calibri" w:cs="Times New Roman"/>
              <w:noProof/>
              <w:lang w:val="en-ZA" w:eastAsia="en-ZA"/>
            </w:rPr>
          </w:pPr>
          <w:hyperlink w:anchor="_Toc427137467" w:history="1">
            <w:r w:rsidR="00C55AC3" w:rsidRPr="00C55AC3">
              <w:rPr>
                <w:rFonts w:ascii="Times New Roman" w:eastAsia="Times New Roman" w:hAnsi="Times New Roman" w:cs="Times New Roman"/>
                <w:bCs/>
                <w:noProof/>
                <w:color w:val="0000FF"/>
                <w:u w:val="single"/>
                <w:lang w:val="en-ZA"/>
              </w:rPr>
              <w:t>3.1.1 Allocation of resources</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_Toc427137467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6</w:t>
            </w:r>
            <w:r w:rsidR="00C55AC3" w:rsidRPr="00C55AC3">
              <w:rPr>
                <w:rFonts w:ascii="Calibri" w:eastAsia="Calibri" w:hAnsi="Calibri" w:cs="Times New Roman"/>
                <w:noProof/>
                <w:webHidden/>
                <w:lang w:val="en-ZA"/>
              </w:rPr>
              <w:fldChar w:fldCharType="end"/>
            </w:r>
          </w:hyperlink>
        </w:p>
        <w:p w14:paraId="5EB5CA7C" w14:textId="77777777" w:rsidR="00C55AC3" w:rsidRPr="00C55AC3" w:rsidRDefault="00CD65F4" w:rsidP="00C55AC3">
          <w:pPr>
            <w:tabs>
              <w:tab w:val="right" w:leader="dot" w:pos="9350"/>
            </w:tabs>
            <w:spacing w:after="100" w:line="276" w:lineRule="auto"/>
            <w:ind w:left="440"/>
            <w:rPr>
              <w:rFonts w:ascii="Calibri" w:eastAsia="Times New Roman" w:hAnsi="Calibri" w:cs="Times New Roman"/>
              <w:noProof/>
              <w:lang w:val="en-ZA" w:eastAsia="en-ZA"/>
            </w:rPr>
          </w:pPr>
          <w:hyperlink w:anchor="_Toc427137468" w:history="1">
            <w:r w:rsidR="00C55AC3" w:rsidRPr="00C55AC3">
              <w:rPr>
                <w:rFonts w:ascii="Times New Roman" w:eastAsia="Times New Roman" w:hAnsi="Times New Roman" w:cs="Times New Roman"/>
                <w:bCs/>
                <w:noProof/>
                <w:color w:val="0000FF"/>
                <w:u w:val="single"/>
                <w:lang w:val="en-ZA"/>
              </w:rPr>
              <w:t>3.1.2 Access to agro-inputs and human resources</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_Toc427137468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8</w:t>
            </w:r>
            <w:r w:rsidR="00C55AC3" w:rsidRPr="00C55AC3">
              <w:rPr>
                <w:rFonts w:ascii="Calibri" w:eastAsia="Calibri" w:hAnsi="Calibri" w:cs="Times New Roman"/>
                <w:noProof/>
                <w:webHidden/>
                <w:lang w:val="en-ZA"/>
              </w:rPr>
              <w:fldChar w:fldCharType="end"/>
            </w:r>
          </w:hyperlink>
        </w:p>
        <w:p w14:paraId="7F25EB2F" w14:textId="77777777" w:rsidR="00C55AC3" w:rsidRPr="00C55AC3" w:rsidRDefault="00CD65F4" w:rsidP="00C55AC3">
          <w:pPr>
            <w:tabs>
              <w:tab w:val="right" w:leader="dot" w:pos="9350"/>
            </w:tabs>
            <w:spacing w:after="100" w:line="276" w:lineRule="auto"/>
            <w:ind w:left="440"/>
            <w:rPr>
              <w:rFonts w:ascii="Calibri" w:eastAsia="Times New Roman" w:hAnsi="Calibri" w:cs="Times New Roman"/>
              <w:noProof/>
              <w:lang w:val="en-ZA" w:eastAsia="en-ZA"/>
            </w:rPr>
          </w:pPr>
          <w:hyperlink w:anchor="_Toc427137469" w:history="1">
            <w:r w:rsidR="00C55AC3" w:rsidRPr="00C55AC3">
              <w:rPr>
                <w:rFonts w:ascii="Times New Roman" w:eastAsia="Times New Roman" w:hAnsi="Times New Roman" w:cs="Times New Roman"/>
                <w:bCs/>
                <w:noProof/>
                <w:color w:val="0000FF"/>
                <w:u w:val="single"/>
                <w:lang w:val="en-ZA"/>
              </w:rPr>
              <w:t>3.1.3 Gender and irrigation production</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_Toc427137469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8</w:t>
            </w:r>
            <w:r w:rsidR="00C55AC3" w:rsidRPr="00C55AC3">
              <w:rPr>
                <w:rFonts w:ascii="Calibri" w:eastAsia="Calibri" w:hAnsi="Calibri" w:cs="Times New Roman"/>
                <w:noProof/>
                <w:webHidden/>
                <w:lang w:val="en-ZA"/>
              </w:rPr>
              <w:fldChar w:fldCharType="end"/>
            </w:r>
          </w:hyperlink>
        </w:p>
        <w:p w14:paraId="6CBC58BE" w14:textId="77777777" w:rsidR="00C55AC3" w:rsidRPr="00C55AC3" w:rsidRDefault="00CD65F4" w:rsidP="00C55AC3">
          <w:pPr>
            <w:tabs>
              <w:tab w:val="right" w:leader="dot" w:pos="9350"/>
            </w:tabs>
            <w:spacing w:after="100" w:line="276" w:lineRule="auto"/>
            <w:ind w:left="440"/>
            <w:rPr>
              <w:rFonts w:ascii="Calibri" w:eastAsia="Times New Roman" w:hAnsi="Calibri" w:cs="Times New Roman"/>
              <w:noProof/>
              <w:lang w:val="en-ZA" w:eastAsia="en-ZA"/>
            </w:rPr>
          </w:pPr>
          <w:hyperlink w:anchor="_Toc427137470" w:history="1">
            <w:r w:rsidR="00C55AC3" w:rsidRPr="00C55AC3">
              <w:rPr>
                <w:rFonts w:ascii="Times New Roman" w:eastAsia="Times New Roman" w:hAnsi="Times New Roman" w:cs="Times New Roman"/>
                <w:bCs/>
                <w:noProof/>
                <w:color w:val="0000FF"/>
                <w:u w:val="single"/>
                <w:lang w:val="en-ZA"/>
              </w:rPr>
              <w:t>3.1.4 Group membership and Leadership</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_Toc427137470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9</w:t>
            </w:r>
            <w:r w:rsidR="00C55AC3" w:rsidRPr="00C55AC3">
              <w:rPr>
                <w:rFonts w:ascii="Calibri" w:eastAsia="Calibri" w:hAnsi="Calibri" w:cs="Times New Roman"/>
                <w:noProof/>
                <w:webHidden/>
                <w:lang w:val="en-ZA"/>
              </w:rPr>
              <w:fldChar w:fldCharType="end"/>
            </w:r>
          </w:hyperlink>
        </w:p>
        <w:p w14:paraId="10A555CE" w14:textId="77777777" w:rsidR="00C55AC3" w:rsidRPr="00C55AC3" w:rsidRDefault="00CD65F4" w:rsidP="00C55AC3">
          <w:pPr>
            <w:tabs>
              <w:tab w:val="right" w:leader="dot" w:pos="9350"/>
            </w:tabs>
            <w:spacing w:after="100" w:line="276" w:lineRule="auto"/>
            <w:ind w:left="440"/>
            <w:rPr>
              <w:rFonts w:ascii="Calibri" w:eastAsia="Times New Roman" w:hAnsi="Calibri" w:cs="Times New Roman"/>
              <w:noProof/>
              <w:lang w:val="en-ZA" w:eastAsia="en-ZA"/>
            </w:rPr>
          </w:pPr>
          <w:hyperlink w:anchor="_Toc427137471" w:history="1">
            <w:r w:rsidR="00C55AC3" w:rsidRPr="00C55AC3">
              <w:rPr>
                <w:rFonts w:ascii="Times New Roman" w:eastAsia="Times New Roman" w:hAnsi="Times New Roman" w:cs="Times New Roman"/>
                <w:bCs/>
                <w:noProof/>
                <w:color w:val="0000FF"/>
                <w:u w:val="single"/>
                <w:lang w:val="en-ZA"/>
              </w:rPr>
              <w:t>3.1.6 Time allocation</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_Toc427137471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12</w:t>
            </w:r>
            <w:r w:rsidR="00C55AC3" w:rsidRPr="00C55AC3">
              <w:rPr>
                <w:rFonts w:ascii="Calibri" w:eastAsia="Calibri" w:hAnsi="Calibri" w:cs="Times New Roman"/>
                <w:noProof/>
                <w:webHidden/>
                <w:lang w:val="en-ZA"/>
              </w:rPr>
              <w:fldChar w:fldCharType="end"/>
            </w:r>
          </w:hyperlink>
        </w:p>
        <w:p w14:paraId="31D97F27" w14:textId="77777777" w:rsidR="00C55AC3" w:rsidRPr="00C55AC3" w:rsidRDefault="00CD65F4" w:rsidP="00C55AC3">
          <w:pPr>
            <w:tabs>
              <w:tab w:val="right" w:leader="dot" w:pos="9350"/>
            </w:tabs>
            <w:spacing w:after="100" w:line="276" w:lineRule="auto"/>
            <w:ind w:left="440"/>
            <w:rPr>
              <w:rFonts w:ascii="Calibri" w:eastAsia="Times New Roman" w:hAnsi="Calibri" w:cs="Times New Roman"/>
              <w:noProof/>
              <w:lang w:val="en-ZA" w:eastAsia="en-ZA"/>
            </w:rPr>
          </w:pPr>
          <w:hyperlink w:anchor="_Toc427137472" w:history="1">
            <w:r w:rsidR="00C55AC3" w:rsidRPr="00C55AC3">
              <w:rPr>
                <w:rFonts w:ascii="Times New Roman" w:eastAsia="Calibri" w:hAnsi="Times New Roman" w:cs="Times New Roman"/>
                <w:bCs/>
                <w:noProof/>
                <w:color w:val="0000FF"/>
                <w:u w:val="single"/>
                <w:lang w:val="en-ZA"/>
              </w:rPr>
              <w:t>3.1.7 Income and expenditure</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_Toc427137472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13</w:t>
            </w:r>
            <w:r w:rsidR="00C55AC3" w:rsidRPr="00C55AC3">
              <w:rPr>
                <w:rFonts w:ascii="Calibri" w:eastAsia="Calibri" w:hAnsi="Calibri" w:cs="Times New Roman"/>
                <w:noProof/>
                <w:webHidden/>
                <w:lang w:val="en-ZA"/>
              </w:rPr>
              <w:fldChar w:fldCharType="end"/>
            </w:r>
          </w:hyperlink>
        </w:p>
        <w:p w14:paraId="7FEFC14C" w14:textId="77777777" w:rsidR="00C55AC3" w:rsidRPr="00C55AC3" w:rsidRDefault="00CD65F4" w:rsidP="00C55AC3">
          <w:pPr>
            <w:tabs>
              <w:tab w:val="right" w:leader="dot" w:pos="9350"/>
            </w:tabs>
            <w:spacing w:after="100" w:line="276" w:lineRule="auto"/>
            <w:ind w:left="440"/>
            <w:rPr>
              <w:rFonts w:ascii="Calibri" w:eastAsia="Times New Roman" w:hAnsi="Calibri" w:cs="Times New Roman"/>
              <w:noProof/>
              <w:lang w:val="en-ZA" w:eastAsia="en-ZA"/>
            </w:rPr>
          </w:pPr>
          <w:hyperlink w:anchor="_Toc427137473" w:history="1">
            <w:r w:rsidR="00C55AC3" w:rsidRPr="00C55AC3">
              <w:rPr>
                <w:rFonts w:ascii="Times New Roman" w:eastAsia="Calibri" w:hAnsi="Times New Roman" w:cs="Times New Roman"/>
                <w:noProof/>
                <w:color w:val="0000FF"/>
                <w:u w:val="single"/>
                <w:lang w:val="en-ZA"/>
              </w:rPr>
              <w:t>3.1.8 Market negotiation by gender</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_Toc427137473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14</w:t>
            </w:r>
            <w:r w:rsidR="00C55AC3" w:rsidRPr="00C55AC3">
              <w:rPr>
                <w:rFonts w:ascii="Calibri" w:eastAsia="Calibri" w:hAnsi="Calibri" w:cs="Times New Roman"/>
                <w:noProof/>
                <w:webHidden/>
                <w:lang w:val="en-ZA"/>
              </w:rPr>
              <w:fldChar w:fldCharType="end"/>
            </w:r>
          </w:hyperlink>
        </w:p>
        <w:p w14:paraId="2BD7816A" w14:textId="77777777" w:rsidR="00C55AC3" w:rsidRPr="00C55AC3" w:rsidRDefault="00CD65F4" w:rsidP="00C55AC3">
          <w:pPr>
            <w:tabs>
              <w:tab w:val="right" w:leader="dot" w:pos="9350"/>
            </w:tabs>
            <w:spacing w:after="100" w:line="276" w:lineRule="auto"/>
            <w:ind w:left="440"/>
            <w:rPr>
              <w:rFonts w:ascii="Calibri" w:eastAsia="Times New Roman" w:hAnsi="Calibri" w:cs="Times New Roman"/>
              <w:noProof/>
              <w:lang w:val="en-ZA" w:eastAsia="en-ZA"/>
            </w:rPr>
          </w:pPr>
          <w:hyperlink w:anchor="_Toc427137474" w:history="1">
            <w:r w:rsidR="00C55AC3" w:rsidRPr="00C55AC3">
              <w:rPr>
                <w:rFonts w:ascii="Times New Roman" w:eastAsia="Times New Roman" w:hAnsi="Times New Roman" w:cs="Times New Roman"/>
                <w:bCs/>
                <w:noProof/>
                <w:color w:val="0000FF"/>
                <w:u w:val="single"/>
                <w:lang w:val="en-ZA"/>
              </w:rPr>
              <w:t>3.1.9 Asset ownership by gender</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_Toc427137474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15</w:t>
            </w:r>
            <w:r w:rsidR="00C55AC3" w:rsidRPr="00C55AC3">
              <w:rPr>
                <w:rFonts w:ascii="Calibri" w:eastAsia="Calibri" w:hAnsi="Calibri" w:cs="Times New Roman"/>
                <w:noProof/>
                <w:webHidden/>
                <w:lang w:val="en-ZA"/>
              </w:rPr>
              <w:fldChar w:fldCharType="end"/>
            </w:r>
          </w:hyperlink>
        </w:p>
        <w:p w14:paraId="058C7C47" w14:textId="77777777" w:rsidR="00C55AC3" w:rsidRPr="00C55AC3" w:rsidRDefault="00CD65F4" w:rsidP="00C55AC3">
          <w:pPr>
            <w:tabs>
              <w:tab w:val="right" w:leader="dot" w:pos="9350"/>
            </w:tabs>
            <w:spacing w:after="100" w:line="276" w:lineRule="auto"/>
            <w:rPr>
              <w:rFonts w:ascii="Calibri" w:eastAsia="Times New Roman" w:hAnsi="Calibri" w:cs="Times New Roman"/>
              <w:noProof/>
              <w:lang w:val="en-ZA" w:eastAsia="en-ZA"/>
            </w:rPr>
          </w:pPr>
          <w:hyperlink w:anchor="_Toc427137475" w:history="1">
            <w:r w:rsidR="00C55AC3" w:rsidRPr="00C55AC3">
              <w:rPr>
                <w:rFonts w:ascii="Times New Roman" w:eastAsia="Calibri" w:hAnsi="Times New Roman" w:cs="Times New Roman"/>
                <w:noProof/>
                <w:color w:val="0000FF"/>
                <w:u w:val="single"/>
                <w:lang w:val="en-ZA"/>
              </w:rPr>
              <w:t>4.0 Discussions</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_Toc427137475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15</w:t>
            </w:r>
            <w:r w:rsidR="00C55AC3" w:rsidRPr="00C55AC3">
              <w:rPr>
                <w:rFonts w:ascii="Calibri" w:eastAsia="Calibri" w:hAnsi="Calibri" w:cs="Times New Roman"/>
                <w:noProof/>
                <w:webHidden/>
                <w:lang w:val="en-ZA"/>
              </w:rPr>
              <w:fldChar w:fldCharType="end"/>
            </w:r>
          </w:hyperlink>
        </w:p>
        <w:p w14:paraId="79886F2E" w14:textId="77777777" w:rsidR="00C55AC3" w:rsidRPr="00C55AC3" w:rsidRDefault="00CD65F4" w:rsidP="00C55AC3">
          <w:pPr>
            <w:tabs>
              <w:tab w:val="right" w:leader="dot" w:pos="9350"/>
            </w:tabs>
            <w:spacing w:after="100" w:line="276" w:lineRule="auto"/>
            <w:rPr>
              <w:rFonts w:ascii="Calibri" w:eastAsia="Times New Roman" w:hAnsi="Calibri" w:cs="Times New Roman"/>
              <w:noProof/>
              <w:lang w:val="en-ZA" w:eastAsia="en-ZA"/>
            </w:rPr>
          </w:pPr>
          <w:hyperlink w:anchor="_Toc427137476" w:history="1">
            <w:r w:rsidR="00C55AC3" w:rsidRPr="00C55AC3">
              <w:rPr>
                <w:rFonts w:ascii="Times New Roman" w:eastAsia="Times New Roman" w:hAnsi="Times New Roman" w:cs="Times New Roman"/>
                <w:bCs/>
                <w:noProof/>
                <w:color w:val="0000FF"/>
                <w:u w:val="single"/>
                <w:lang w:val="en-ZA"/>
              </w:rPr>
              <w:t>5.0 Conclusion</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_Toc427137476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17</w:t>
            </w:r>
            <w:r w:rsidR="00C55AC3" w:rsidRPr="00C55AC3">
              <w:rPr>
                <w:rFonts w:ascii="Calibri" w:eastAsia="Calibri" w:hAnsi="Calibri" w:cs="Times New Roman"/>
                <w:noProof/>
                <w:webHidden/>
                <w:lang w:val="en-ZA"/>
              </w:rPr>
              <w:fldChar w:fldCharType="end"/>
            </w:r>
          </w:hyperlink>
        </w:p>
        <w:p w14:paraId="021E2B2E" w14:textId="77777777" w:rsidR="00C55AC3" w:rsidRPr="00C55AC3" w:rsidRDefault="00CD65F4" w:rsidP="00C55AC3">
          <w:pPr>
            <w:tabs>
              <w:tab w:val="right" w:leader="dot" w:pos="9350"/>
            </w:tabs>
            <w:spacing w:after="100" w:line="276" w:lineRule="auto"/>
            <w:rPr>
              <w:rFonts w:ascii="Calibri" w:eastAsia="Times New Roman" w:hAnsi="Calibri" w:cs="Times New Roman"/>
              <w:noProof/>
              <w:lang w:val="en-ZA" w:eastAsia="en-ZA"/>
            </w:rPr>
          </w:pPr>
          <w:hyperlink w:anchor="_Toc427137477" w:history="1">
            <w:r w:rsidR="00C55AC3" w:rsidRPr="00C55AC3">
              <w:rPr>
                <w:rFonts w:ascii="Times New Roman" w:eastAsia="Times New Roman" w:hAnsi="Times New Roman" w:cs="Times New Roman"/>
                <w:bCs/>
                <w:noProof/>
                <w:color w:val="0000FF"/>
                <w:u w:val="single"/>
                <w:lang w:val="en-US" w:eastAsia="ja-JP"/>
              </w:rPr>
              <w:t>References</w:t>
            </w:r>
            <w:r w:rsidR="00C55AC3" w:rsidRPr="00C55AC3">
              <w:rPr>
                <w:rFonts w:ascii="Calibri" w:eastAsia="Calibri" w:hAnsi="Calibri" w:cs="Times New Roman"/>
                <w:noProof/>
                <w:webHidden/>
                <w:lang w:val="en-ZA"/>
              </w:rPr>
              <w:tab/>
            </w:r>
            <w:r w:rsidR="00C55AC3" w:rsidRPr="00C55AC3">
              <w:rPr>
                <w:rFonts w:ascii="Calibri" w:eastAsia="Calibri" w:hAnsi="Calibri" w:cs="Times New Roman"/>
                <w:noProof/>
                <w:webHidden/>
                <w:lang w:val="en-ZA"/>
              </w:rPr>
              <w:fldChar w:fldCharType="begin"/>
            </w:r>
            <w:r w:rsidR="00C55AC3" w:rsidRPr="00C55AC3">
              <w:rPr>
                <w:rFonts w:ascii="Calibri" w:eastAsia="Calibri" w:hAnsi="Calibri" w:cs="Times New Roman"/>
                <w:noProof/>
                <w:webHidden/>
                <w:lang w:val="en-ZA"/>
              </w:rPr>
              <w:instrText xml:space="preserve"> PAGEREF _Toc427137477 \h </w:instrText>
            </w:r>
            <w:r w:rsidR="00C55AC3" w:rsidRPr="00C55AC3">
              <w:rPr>
                <w:rFonts w:ascii="Calibri" w:eastAsia="Calibri" w:hAnsi="Calibri" w:cs="Times New Roman"/>
                <w:noProof/>
                <w:webHidden/>
                <w:lang w:val="en-ZA"/>
              </w:rPr>
            </w:r>
            <w:r w:rsidR="00C55AC3" w:rsidRPr="00C55AC3">
              <w:rPr>
                <w:rFonts w:ascii="Calibri" w:eastAsia="Calibri" w:hAnsi="Calibri" w:cs="Times New Roman"/>
                <w:noProof/>
                <w:webHidden/>
                <w:lang w:val="en-ZA"/>
              </w:rPr>
              <w:fldChar w:fldCharType="separate"/>
            </w:r>
            <w:r w:rsidR="00C55AC3" w:rsidRPr="00C55AC3">
              <w:rPr>
                <w:rFonts w:ascii="Calibri" w:eastAsia="Calibri" w:hAnsi="Calibri" w:cs="Times New Roman"/>
                <w:noProof/>
                <w:webHidden/>
                <w:lang w:val="en-ZA"/>
              </w:rPr>
              <w:t>17</w:t>
            </w:r>
            <w:r w:rsidR="00C55AC3" w:rsidRPr="00C55AC3">
              <w:rPr>
                <w:rFonts w:ascii="Calibri" w:eastAsia="Calibri" w:hAnsi="Calibri" w:cs="Times New Roman"/>
                <w:noProof/>
                <w:webHidden/>
                <w:lang w:val="en-ZA"/>
              </w:rPr>
              <w:fldChar w:fldCharType="end"/>
            </w:r>
          </w:hyperlink>
        </w:p>
        <w:p w14:paraId="5A6B33BD" w14:textId="77777777" w:rsidR="00C55AC3" w:rsidRPr="00C55AC3" w:rsidRDefault="00C55AC3" w:rsidP="00C55AC3">
          <w:pPr>
            <w:spacing w:after="200" w:line="276" w:lineRule="auto"/>
            <w:jc w:val="both"/>
            <w:rPr>
              <w:rFonts w:ascii="Times New Roman" w:eastAsia="Calibri" w:hAnsi="Times New Roman" w:cs="Times New Roman"/>
              <w:noProof/>
              <w:lang w:val="en-ZA"/>
            </w:rPr>
          </w:pPr>
          <w:r w:rsidRPr="00C55AC3">
            <w:rPr>
              <w:rFonts w:ascii="Times New Roman" w:eastAsia="Calibri" w:hAnsi="Times New Roman" w:cs="Times New Roman"/>
              <w:lang w:val="en-ZA"/>
            </w:rPr>
            <w:fldChar w:fldCharType="end"/>
          </w:r>
        </w:p>
      </w:sdtContent>
    </w:sdt>
    <w:p w14:paraId="5DACC40F" w14:textId="77777777" w:rsidR="00C55AC3" w:rsidRPr="00C55AC3" w:rsidRDefault="00C55AC3" w:rsidP="00C55AC3">
      <w:pPr>
        <w:spacing w:after="200" w:line="276" w:lineRule="auto"/>
        <w:jc w:val="both"/>
        <w:rPr>
          <w:rFonts w:ascii="Times New Roman" w:eastAsia="Times New Roman" w:hAnsi="Times New Roman" w:cs="Times New Roman"/>
          <w:sz w:val="24"/>
          <w:szCs w:val="24"/>
          <w:lang w:val="en-US"/>
        </w:rPr>
      </w:pPr>
    </w:p>
    <w:p w14:paraId="47EA6198"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05AEDE83"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209AF659"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73E974FE" w14:textId="77777777" w:rsidR="00C55AC3" w:rsidRPr="00C55AC3" w:rsidRDefault="00C55AC3" w:rsidP="00C55AC3">
      <w:pPr>
        <w:spacing w:after="200" w:line="276" w:lineRule="auto"/>
        <w:jc w:val="both"/>
        <w:rPr>
          <w:rFonts w:ascii="Times New Roman" w:eastAsia="Times New Roman" w:hAnsi="Times New Roman" w:cs="Times New Roman"/>
          <w:sz w:val="24"/>
          <w:szCs w:val="24"/>
          <w:lang w:val="en-US"/>
        </w:rPr>
      </w:pPr>
    </w:p>
    <w:p w14:paraId="5E3A2B1C" w14:textId="77777777" w:rsidR="00C55AC3" w:rsidRPr="00C55AC3" w:rsidRDefault="00C55AC3" w:rsidP="00C55AC3">
      <w:pPr>
        <w:spacing w:after="200" w:line="276" w:lineRule="auto"/>
        <w:jc w:val="both"/>
        <w:rPr>
          <w:rFonts w:ascii="Times New Roman" w:eastAsia="Times New Roman" w:hAnsi="Times New Roman" w:cs="Times New Roman"/>
          <w:sz w:val="24"/>
          <w:szCs w:val="24"/>
          <w:lang w:val="en-US"/>
        </w:rPr>
      </w:pPr>
    </w:p>
    <w:p w14:paraId="7894AE4E" w14:textId="77777777" w:rsidR="00C55AC3" w:rsidRPr="00C55AC3" w:rsidRDefault="00C55AC3" w:rsidP="00C55AC3">
      <w:pPr>
        <w:spacing w:after="200" w:line="276" w:lineRule="auto"/>
        <w:jc w:val="both"/>
        <w:rPr>
          <w:rFonts w:ascii="Times New Roman" w:eastAsia="Times New Roman" w:hAnsi="Times New Roman" w:cs="Times New Roman"/>
          <w:sz w:val="24"/>
          <w:szCs w:val="24"/>
          <w:lang w:val="en-US"/>
        </w:rPr>
      </w:pPr>
    </w:p>
    <w:p w14:paraId="7AEFDE11" w14:textId="77777777" w:rsidR="00C55AC3" w:rsidRPr="00C55AC3" w:rsidRDefault="00C55AC3" w:rsidP="00C55AC3">
      <w:pPr>
        <w:spacing w:after="200" w:line="276" w:lineRule="auto"/>
        <w:jc w:val="both"/>
        <w:rPr>
          <w:rFonts w:ascii="Times New Roman" w:eastAsia="Times New Roman" w:hAnsi="Times New Roman" w:cs="Times New Roman"/>
          <w:sz w:val="24"/>
          <w:szCs w:val="24"/>
          <w:lang w:val="en-US"/>
        </w:rPr>
      </w:pPr>
    </w:p>
    <w:p w14:paraId="5F273C91" w14:textId="77777777" w:rsidR="00C55AC3" w:rsidRPr="00C55AC3" w:rsidRDefault="00C55AC3" w:rsidP="00C55AC3">
      <w:pPr>
        <w:spacing w:after="200" w:line="276" w:lineRule="auto"/>
        <w:jc w:val="both"/>
        <w:rPr>
          <w:rFonts w:ascii="Times New Roman" w:eastAsia="Times New Roman" w:hAnsi="Times New Roman" w:cs="Times New Roman"/>
          <w:sz w:val="24"/>
          <w:szCs w:val="24"/>
          <w:lang w:val="en-US"/>
        </w:rPr>
      </w:pPr>
    </w:p>
    <w:p w14:paraId="7F4B7365" w14:textId="77777777" w:rsidR="00C55AC3" w:rsidRPr="00C55AC3" w:rsidRDefault="00C55AC3" w:rsidP="00C55AC3">
      <w:pPr>
        <w:spacing w:after="200" w:line="276" w:lineRule="auto"/>
        <w:jc w:val="both"/>
        <w:rPr>
          <w:rFonts w:ascii="Times New Roman" w:eastAsia="Times New Roman" w:hAnsi="Times New Roman" w:cs="Times New Roman"/>
          <w:sz w:val="24"/>
          <w:szCs w:val="24"/>
          <w:lang w:val="en-US"/>
        </w:rPr>
      </w:pPr>
    </w:p>
    <w:p w14:paraId="0C96D90A"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1211051D"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31FDF105"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76140B3B"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79FFBC08"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62DD8ACC"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682292BE"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11646CAD"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54A9E0AB"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141CE654"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33BCCEB4"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6D528CFB" w14:textId="77777777" w:rsidR="00C55AC3" w:rsidRPr="00C55AC3" w:rsidRDefault="00C55AC3" w:rsidP="00C55AC3">
      <w:pPr>
        <w:keepNext/>
        <w:keepLines/>
        <w:spacing w:before="480" w:after="0" w:line="276" w:lineRule="auto"/>
        <w:jc w:val="both"/>
        <w:outlineLvl w:val="0"/>
        <w:rPr>
          <w:rFonts w:ascii="Times New Roman" w:eastAsia="Calibri" w:hAnsi="Times New Roman" w:cs="Times New Roman"/>
          <w:b/>
          <w:bCs/>
          <w:noProof/>
          <w:lang w:val="en-ZA"/>
        </w:rPr>
      </w:pPr>
      <w:bookmarkStart w:id="3" w:name="_Toc427137450"/>
      <w:r w:rsidRPr="00C55AC3">
        <w:rPr>
          <w:rFonts w:ascii="Times New Roman" w:eastAsia="Times New Roman" w:hAnsi="Times New Roman" w:cs="Times New Roman"/>
          <w:b/>
          <w:bCs/>
          <w:lang w:val="en-US"/>
        </w:rPr>
        <w:lastRenderedPageBreak/>
        <w:t>Acronyms</w:t>
      </w:r>
      <w:bookmarkEnd w:id="3"/>
      <w:r w:rsidRPr="00C55AC3">
        <w:rPr>
          <w:rFonts w:ascii="Times New Roman" w:eastAsia="Times New Roman" w:hAnsi="Times New Roman" w:cs="Times New Roman"/>
          <w:b/>
          <w:bCs/>
          <w:lang w:val="en-US"/>
        </w:rPr>
        <w:t xml:space="preserve"> </w:t>
      </w:r>
    </w:p>
    <w:p w14:paraId="12F75EDD" w14:textId="77777777" w:rsidR="00C55AC3" w:rsidRPr="00C55AC3" w:rsidRDefault="00C55AC3" w:rsidP="00C55AC3">
      <w:pPr>
        <w:spacing w:after="200" w:line="276" w:lineRule="auto"/>
        <w:jc w:val="both"/>
        <w:rPr>
          <w:rFonts w:ascii="Times New Roman" w:eastAsia="Times New Roman" w:hAnsi="Times New Roman" w:cs="Times New Roman"/>
          <w:lang w:val="en-US"/>
        </w:rPr>
      </w:pPr>
      <w:r w:rsidRPr="00C55AC3">
        <w:rPr>
          <w:rFonts w:ascii="Times New Roman" w:eastAsia="Times New Roman" w:hAnsi="Times New Roman" w:cs="Times New Roman"/>
          <w:lang w:val="en-US"/>
        </w:rPr>
        <w:t>CGIAR- Consortium of International Agriculture Research Centers</w:t>
      </w:r>
    </w:p>
    <w:p w14:paraId="36FF0A7E" w14:textId="77777777" w:rsidR="00C55AC3" w:rsidRPr="00C55AC3" w:rsidRDefault="00C55AC3" w:rsidP="00C55AC3">
      <w:pPr>
        <w:spacing w:after="200" w:line="276" w:lineRule="auto"/>
        <w:jc w:val="both"/>
        <w:rPr>
          <w:rFonts w:ascii="Times New Roman" w:eastAsia="Times New Roman" w:hAnsi="Times New Roman" w:cs="Times New Roman"/>
          <w:lang w:val="en-US"/>
        </w:rPr>
      </w:pPr>
      <w:r w:rsidRPr="00C55AC3">
        <w:rPr>
          <w:rFonts w:ascii="Times New Roman" w:eastAsia="Times New Roman" w:hAnsi="Times New Roman" w:cs="Times New Roman"/>
          <w:lang w:val="en-US"/>
        </w:rPr>
        <w:t>CIAT- International Centre for Tropical Agriculture</w:t>
      </w:r>
    </w:p>
    <w:p w14:paraId="7142652D" w14:textId="77777777" w:rsidR="00C55AC3" w:rsidRPr="00C55AC3" w:rsidRDefault="00C55AC3" w:rsidP="00C55AC3">
      <w:pPr>
        <w:spacing w:after="200" w:line="276" w:lineRule="auto"/>
        <w:jc w:val="both"/>
        <w:rPr>
          <w:rFonts w:ascii="Times New Roman" w:eastAsia="Times New Roman" w:hAnsi="Times New Roman" w:cs="Times New Roman"/>
          <w:lang w:val="en-US"/>
        </w:rPr>
      </w:pPr>
      <w:r w:rsidRPr="00C55AC3">
        <w:rPr>
          <w:rFonts w:ascii="Times New Roman" w:eastAsia="Times New Roman" w:hAnsi="Times New Roman" w:cs="Times New Roman"/>
          <w:lang w:val="en-US"/>
        </w:rPr>
        <w:t>FAO- Food and Agriculture Organization of the United Nations</w:t>
      </w:r>
    </w:p>
    <w:p w14:paraId="1B3074A6" w14:textId="77777777" w:rsidR="00C55AC3" w:rsidRPr="00C55AC3" w:rsidRDefault="00C55AC3" w:rsidP="00C55AC3">
      <w:pPr>
        <w:spacing w:after="200" w:line="276" w:lineRule="auto"/>
        <w:jc w:val="both"/>
        <w:rPr>
          <w:rFonts w:ascii="Times New Roman" w:eastAsia="Times New Roman" w:hAnsi="Times New Roman" w:cs="Times New Roman"/>
          <w:lang w:val="en-US"/>
        </w:rPr>
      </w:pPr>
      <w:r w:rsidRPr="00C55AC3">
        <w:rPr>
          <w:rFonts w:ascii="Times New Roman" w:eastAsia="Times New Roman" w:hAnsi="Times New Roman" w:cs="Times New Roman"/>
          <w:lang w:val="en-US"/>
        </w:rPr>
        <w:t>IWMI- International Water Management Institute</w:t>
      </w:r>
    </w:p>
    <w:p w14:paraId="2CF7BD2D" w14:textId="77777777" w:rsidR="00C55AC3" w:rsidRPr="00C55AC3" w:rsidRDefault="00C55AC3" w:rsidP="00C55AC3">
      <w:pPr>
        <w:spacing w:after="200" w:line="276" w:lineRule="auto"/>
        <w:jc w:val="both"/>
        <w:rPr>
          <w:rFonts w:ascii="Times New Roman" w:eastAsia="Times New Roman" w:hAnsi="Times New Roman" w:cs="Times New Roman"/>
          <w:lang w:val="en-US"/>
        </w:rPr>
      </w:pPr>
      <w:r w:rsidRPr="00C55AC3">
        <w:rPr>
          <w:rFonts w:ascii="Times New Roman" w:eastAsia="Times New Roman" w:hAnsi="Times New Roman" w:cs="Times New Roman"/>
          <w:lang w:val="en-US"/>
        </w:rPr>
        <w:t>UN- United Nations</w:t>
      </w:r>
    </w:p>
    <w:p w14:paraId="37213C04" w14:textId="77777777" w:rsidR="00C55AC3" w:rsidRPr="00C55AC3" w:rsidRDefault="00C55AC3" w:rsidP="00C55AC3">
      <w:pPr>
        <w:spacing w:after="200" w:line="276" w:lineRule="auto"/>
        <w:jc w:val="both"/>
        <w:rPr>
          <w:rFonts w:ascii="Times New Roman" w:eastAsia="Times New Roman" w:hAnsi="Times New Roman" w:cs="Times New Roman"/>
          <w:lang w:val="en-US"/>
        </w:rPr>
      </w:pPr>
      <w:r w:rsidRPr="00C55AC3">
        <w:rPr>
          <w:rFonts w:ascii="Times New Roman" w:eastAsia="Times New Roman" w:hAnsi="Times New Roman" w:cs="Times New Roman"/>
          <w:lang w:val="en-US"/>
        </w:rPr>
        <w:t>WLE-Water Land and Ecosystems</w:t>
      </w:r>
    </w:p>
    <w:p w14:paraId="11084909" w14:textId="77777777" w:rsidR="00C55AC3" w:rsidRPr="00C55AC3" w:rsidRDefault="00C55AC3" w:rsidP="00C55AC3">
      <w:pPr>
        <w:spacing w:after="200" w:line="276" w:lineRule="auto"/>
        <w:jc w:val="both"/>
        <w:rPr>
          <w:rFonts w:ascii="Times New Roman" w:eastAsia="Times New Roman" w:hAnsi="Times New Roman" w:cs="Times New Roman"/>
          <w:lang w:val="en-US"/>
        </w:rPr>
      </w:pPr>
      <w:r w:rsidRPr="00C55AC3">
        <w:rPr>
          <w:rFonts w:ascii="Times New Roman" w:eastAsia="Times New Roman" w:hAnsi="Times New Roman" w:cs="Times New Roman"/>
          <w:lang w:val="en-US"/>
        </w:rPr>
        <w:t>EPA- Extension Planning Area</w:t>
      </w:r>
    </w:p>
    <w:p w14:paraId="05E6A11C" w14:textId="77777777" w:rsidR="00C55AC3" w:rsidRPr="00C55AC3" w:rsidRDefault="00C55AC3" w:rsidP="00C55AC3">
      <w:pPr>
        <w:spacing w:after="200" w:line="276" w:lineRule="auto"/>
        <w:jc w:val="both"/>
        <w:rPr>
          <w:rFonts w:ascii="Times New Roman" w:eastAsia="Calibri" w:hAnsi="Times New Roman" w:cs="Times New Roman"/>
          <w:lang w:val="en-ZA"/>
        </w:rPr>
      </w:pPr>
    </w:p>
    <w:p w14:paraId="7BBF638B" w14:textId="77777777" w:rsidR="00C55AC3" w:rsidRPr="00C55AC3" w:rsidRDefault="00C55AC3" w:rsidP="00C55AC3">
      <w:pPr>
        <w:spacing w:after="200" w:line="276" w:lineRule="auto"/>
        <w:jc w:val="both"/>
        <w:rPr>
          <w:rFonts w:ascii="Times New Roman" w:eastAsia="Calibri" w:hAnsi="Times New Roman" w:cs="Times New Roman"/>
          <w:lang w:val="en-ZA"/>
        </w:rPr>
      </w:pPr>
    </w:p>
    <w:p w14:paraId="785ACA6C" w14:textId="77777777" w:rsidR="00C55AC3" w:rsidRPr="00C55AC3" w:rsidRDefault="00C55AC3" w:rsidP="00C55AC3">
      <w:pPr>
        <w:spacing w:after="200" w:line="276" w:lineRule="auto"/>
        <w:jc w:val="both"/>
        <w:rPr>
          <w:rFonts w:ascii="Times New Roman" w:eastAsia="Calibri" w:hAnsi="Times New Roman" w:cs="Times New Roman"/>
          <w:lang w:val="en-ZA"/>
        </w:rPr>
      </w:pPr>
    </w:p>
    <w:p w14:paraId="4E14860C" w14:textId="77777777" w:rsidR="00C55AC3" w:rsidRPr="00C55AC3" w:rsidRDefault="00C55AC3" w:rsidP="00C55AC3">
      <w:pPr>
        <w:spacing w:after="200" w:line="276" w:lineRule="auto"/>
        <w:jc w:val="both"/>
        <w:rPr>
          <w:rFonts w:ascii="Times New Roman" w:eastAsia="Calibri" w:hAnsi="Times New Roman" w:cs="Times New Roman"/>
          <w:lang w:val="en-ZA"/>
        </w:rPr>
      </w:pPr>
    </w:p>
    <w:p w14:paraId="04675B19" w14:textId="77777777" w:rsidR="00C55AC3" w:rsidRPr="00C55AC3" w:rsidRDefault="00C55AC3" w:rsidP="00C55AC3">
      <w:pPr>
        <w:spacing w:after="200" w:line="276" w:lineRule="auto"/>
        <w:jc w:val="both"/>
        <w:rPr>
          <w:rFonts w:ascii="Times New Roman" w:eastAsia="Calibri" w:hAnsi="Times New Roman" w:cs="Times New Roman"/>
          <w:lang w:val="en-ZA"/>
        </w:rPr>
      </w:pPr>
    </w:p>
    <w:p w14:paraId="0C1E6E4E" w14:textId="77777777" w:rsidR="00C55AC3" w:rsidRPr="00C55AC3" w:rsidRDefault="00C55AC3" w:rsidP="00C55AC3">
      <w:pPr>
        <w:spacing w:after="200" w:line="276" w:lineRule="auto"/>
        <w:jc w:val="both"/>
        <w:rPr>
          <w:rFonts w:ascii="Times New Roman" w:eastAsia="Calibri" w:hAnsi="Times New Roman" w:cs="Times New Roman"/>
          <w:lang w:val="en-ZA"/>
        </w:rPr>
      </w:pPr>
    </w:p>
    <w:p w14:paraId="067A5DDD" w14:textId="77777777" w:rsidR="00C55AC3" w:rsidRPr="00C55AC3" w:rsidRDefault="00C55AC3" w:rsidP="00C55AC3">
      <w:pPr>
        <w:spacing w:after="200" w:line="276" w:lineRule="auto"/>
        <w:jc w:val="both"/>
        <w:rPr>
          <w:rFonts w:ascii="Times New Roman" w:eastAsia="Calibri" w:hAnsi="Times New Roman" w:cs="Times New Roman"/>
          <w:lang w:val="en-ZA"/>
        </w:rPr>
      </w:pPr>
    </w:p>
    <w:p w14:paraId="1F6F8B41" w14:textId="77777777" w:rsidR="00C55AC3" w:rsidRPr="00C55AC3" w:rsidRDefault="00C55AC3" w:rsidP="00C55AC3">
      <w:pPr>
        <w:spacing w:after="200" w:line="276" w:lineRule="auto"/>
        <w:jc w:val="both"/>
        <w:rPr>
          <w:rFonts w:ascii="Times New Roman" w:eastAsia="Calibri" w:hAnsi="Times New Roman" w:cs="Times New Roman"/>
          <w:lang w:val="en-ZA"/>
        </w:rPr>
      </w:pPr>
    </w:p>
    <w:p w14:paraId="153DF749" w14:textId="77777777" w:rsidR="00C55AC3" w:rsidRPr="00C55AC3" w:rsidRDefault="00C55AC3" w:rsidP="00C55AC3">
      <w:pPr>
        <w:spacing w:after="200" w:line="276" w:lineRule="auto"/>
        <w:jc w:val="both"/>
        <w:rPr>
          <w:rFonts w:ascii="Times New Roman" w:eastAsia="Calibri" w:hAnsi="Times New Roman" w:cs="Times New Roman"/>
          <w:lang w:val="en-ZA"/>
        </w:rPr>
      </w:pPr>
    </w:p>
    <w:p w14:paraId="0544679E" w14:textId="77777777" w:rsidR="00C55AC3" w:rsidRPr="00C55AC3" w:rsidRDefault="00C55AC3" w:rsidP="00C55AC3">
      <w:pPr>
        <w:spacing w:after="200" w:line="276" w:lineRule="auto"/>
        <w:jc w:val="both"/>
        <w:rPr>
          <w:rFonts w:ascii="Times New Roman" w:eastAsia="Calibri" w:hAnsi="Times New Roman" w:cs="Times New Roman"/>
          <w:lang w:val="en-ZA"/>
        </w:rPr>
      </w:pPr>
    </w:p>
    <w:p w14:paraId="2C47BF70" w14:textId="77777777" w:rsidR="00C55AC3" w:rsidRPr="00C55AC3" w:rsidRDefault="00C55AC3" w:rsidP="00C55AC3">
      <w:pPr>
        <w:spacing w:after="200" w:line="276" w:lineRule="auto"/>
        <w:jc w:val="both"/>
        <w:rPr>
          <w:rFonts w:ascii="Times New Roman" w:eastAsia="Calibri" w:hAnsi="Times New Roman" w:cs="Times New Roman"/>
          <w:lang w:val="en-ZA"/>
        </w:rPr>
      </w:pPr>
    </w:p>
    <w:p w14:paraId="5787F784" w14:textId="77777777" w:rsidR="00C55AC3" w:rsidRPr="00C55AC3" w:rsidRDefault="00C55AC3" w:rsidP="00C55AC3">
      <w:pPr>
        <w:spacing w:after="200" w:line="276" w:lineRule="auto"/>
        <w:jc w:val="both"/>
        <w:rPr>
          <w:rFonts w:ascii="Times New Roman" w:eastAsia="Calibri" w:hAnsi="Times New Roman" w:cs="Times New Roman"/>
          <w:lang w:val="en-ZA"/>
        </w:rPr>
      </w:pPr>
    </w:p>
    <w:p w14:paraId="162F55E7" w14:textId="77777777" w:rsidR="00C55AC3" w:rsidRPr="00C55AC3" w:rsidRDefault="00C55AC3" w:rsidP="00C55AC3">
      <w:pPr>
        <w:spacing w:after="200" w:line="276" w:lineRule="auto"/>
        <w:jc w:val="both"/>
        <w:rPr>
          <w:rFonts w:ascii="Times New Roman" w:eastAsia="Calibri" w:hAnsi="Times New Roman" w:cs="Times New Roman"/>
          <w:lang w:val="en-ZA"/>
        </w:rPr>
      </w:pPr>
    </w:p>
    <w:p w14:paraId="30FF3551" w14:textId="77777777" w:rsidR="00C55AC3" w:rsidRPr="00C55AC3" w:rsidRDefault="00C55AC3" w:rsidP="00C55AC3">
      <w:pPr>
        <w:spacing w:after="200" w:line="276" w:lineRule="auto"/>
        <w:jc w:val="both"/>
        <w:rPr>
          <w:rFonts w:ascii="Times New Roman" w:eastAsia="Calibri" w:hAnsi="Times New Roman" w:cs="Times New Roman"/>
          <w:lang w:val="en-ZA"/>
        </w:rPr>
      </w:pPr>
    </w:p>
    <w:p w14:paraId="49AD3952" w14:textId="77777777" w:rsidR="00C55AC3" w:rsidRPr="00C55AC3" w:rsidRDefault="00C55AC3" w:rsidP="00C55AC3">
      <w:pPr>
        <w:spacing w:after="200" w:line="276" w:lineRule="auto"/>
        <w:jc w:val="both"/>
        <w:rPr>
          <w:rFonts w:ascii="Times New Roman" w:eastAsia="Calibri" w:hAnsi="Times New Roman" w:cs="Times New Roman"/>
          <w:lang w:val="en-ZA"/>
        </w:rPr>
      </w:pPr>
    </w:p>
    <w:p w14:paraId="157CD0EA" w14:textId="77777777" w:rsidR="00C55AC3" w:rsidRPr="00C55AC3" w:rsidRDefault="00C55AC3" w:rsidP="00C55AC3">
      <w:pPr>
        <w:spacing w:after="200" w:line="276" w:lineRule="auto"/>
        <w:jc w:val="both"/>
        <w:rPr>
          <w:rFonts w:ascii="Times New Roman" w:eastAsia="Calibri" w:hAnsi="Times New Roman" w:cs="Times New Roman"/>
          <w:lang w:val="en-ZA"/>
        </w:rPr>
      </w:pPr>
    </w:p>
    <w:p w14:paraId="7067577A" w14:textId="77777777" w:rsidR="00C55AC3" w:rsidRPr="00C55AC3" w:rsidRDefault="00C55AC3" w:rsidP="00C55AC3">
      <w:pPr>
        <w:spacing w:after="200" w:line="276" w:lineRule="auto"/>
        <w:jc w:val="both"/>
        <w:rPr>
          <w:rFonts w:ascii="Times New Roman" w:eastAsia="Calibri" w:hAnsi="Times New Roman" w:cs="Times New Roman"/>
          <w:lang w:val="en-ZA"/>
        </w:rPr>
      </w:pPr>
    </w:p>
    <w:p w14:paraId="4793E58C"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ZA"/>
        </w:rPr>
      </w:pPr>
      <w:bookmarkStart w:id="4" w:name="_Toc427137451"/>
      <w:r w:rsidRPr="00C55AC3">
        <w:rPr>
          <w:rFonts w:ascii="Times New Roman" w:eastAsia="Times New Roman" w:hAnsi="Times New Roman" w:cs="Times New Roman"/>
          <w:b/>
          <w:bCs/>
          <w:lang w:val="en-ZA"/>
        </w:rPr>
        <w:lastRenderedPageBreak/>
        <w:t>Summary</w:t>
      </w:r>
      <w:bookmarkEnd w:id="4"/>
      <w:r w:rsidRPr="00C55AC3">
        <w:rPr>
          <w:rFonts w:ascii="Times New Roman" w:eastAsia="Times New Roman" w:hAnsi="Times New Roman" w:cs="Times New Roman"/>
          <w:b/>
          <w:bCs/>
          <w:lang w:val="en-ZA"/>
        </w:rPr>
        <w:t xml:space="preserve"> </w:t>
      </w:r>
    </w:p>
    <w:p w14:paraId="0FD9FA03" w14:textId="77777777" w:rsidR="00C55AC3" w:rsidRPr="00C55AC3" w:rsidRDefault="00C55AC3" w:rsidP="00C55AC3">
      <w:pPr>
        <w:spacing w:after="200" w:line="276" w:lineRule="auto"/>
        <w:jc w:val="both"/>
        <w:rPr>
          <w:rFonts w:ascii="Times New Roman" w:eastAsia="Times New Roman" w:hAnsi="Times New Roman" w:cs="Times New Roman"/>
          <w:b/>
          <w:bCs/>
          <w:lang w:val="en-US"/>
        </w:rPr>
      </w:pPr>
      <w:r w:rsidRPr="00C55AC3">
        <w:rPr>
          <w:rFonts w:ascii="Times New Roman" w:eastAsia="Calibri" w:hAnsi="Times New Roman" w:cs="Times New Roman"/>
          <w:lang w:val="en-ZA"/>
        </w:rPr>
        <w:t xml:space="preserve">Efforts have been made to intensify crop production through various technologies including irrigation schemes practices in Southern Africa as in other developing countries, however less focus have been placed on the extent to which gender relations can hinder or be used as leverage to production. The study finds that gendered spaces manifested in differentiated crop choices and labour investment in selected tasks by men and women indicates that gender gaps still exist in the agriculture arena particularly in irrigation schemes where cultural checks and balances are compromised. Moreover women in Ntcheu are the landholders and have some degree of control on resources such as land and water however they have limited control over markets--a gap that breaks the empowerment cycle. The gendered division of labour in Kaziputa irrigation scheme shapes the promotion of agriculture intensification activities between the default </w:t>
      </w:r>
      <w:r w:rsidRPr="00C55AC3">
        <w:rPr>
          <w:rFonts w:ascii="Times New Roman" w:eastAsia="Calibri" w:hAnsi="Times New Roman" w:cs="Times New Roman"/>
          <w:i/>
          <w:lang w:val="en-ZA"/>
        </w:rPr>
        <w:t>summer- land lords</w:t>
      </w:r>
      <w:r w:rsidRPr="00C55AC3">
        <w:rPr>
          <w:rFonts w:ascii="Times New Roman" w:eastAsia="Calibri" w:hAnsi="Times New Roman" w:cs="Times New Roman"/>
          <w:lang w:val="en-ZA"/>
        </w:rPr>
        <w:t xml:space="preserve"> and the </w:t>
      </w:r>
      <w:r w:rsidRPr="00C55AC3">
        <w:rPr>
          <w:rFonts w:ascii="Times New Roman" w:eastAsia="Calibri" w:hAnsi="Times New Roman" w:cs="Times New Roman"/>
          <w:i/>
          <w:lang w:val="en-ZA"/>
        </w:rPr>
        <w:t>dry season- tenants</w:t>
      </w:r>
      <w:r w:rsidRPr="00C55AC3">
        <w:rPr>
          <w:rFonts w:ascii="Times New Roman" w:eastAsia="Calibri" w:hAnsi="Times New Roman" w:cs="Times New Roman"/>
          <w:lang w:val="en-ZA"/>
        </w:rPr>
        <w:t xml:space="preserve"> (irrigators). </w:t>
      </w:r>
      <w:r w:rsidRPr="00C55AC3">
        <w:rPr>
          <w:rFonts w:ascii="Times New Roman" w:eastAsia="Times New Roman" w:hAnsi="Times New Roman" w:cs="Times New Roman"/>
          <w:lang w:val="en-ZA" w:eastAsia="en-ZA"/>
        </w:rPr>
        <w:t xml:space="preserve">Using a case study approach based on qualitative data collection and anchored on Meinzen-Dick’s Empowerment Framework; the study questions the possible implications that gender might have on food production efficiency </w:t>
      </w:r>
      <w:r w:rsidRPr="00C55AC3">
        <w:rPr>
          <w:rFonts w:ascii="Times New Roman" w:eastAsia="Calibri" w:hAnsi="Times New Roman" w:cs="Times New Roman"/>
          <w:lang w:val="en-ZA"/>
        </w:rPr>
        <w:t xml:space="preserve">in matrilineal communities such as Ntcheu. This paper concludes that intra-household power dynamics catalyse gender differences that are observed in the fields, markets, management and even in resource ownership and control. The paper therefore recommends that irrigation facilitation be practiced consistently with the existing local cultural tenure systems to protect the existing systems which in matrilineal societies support the interests of women. </w:t>
      </w:r>
    </w:p>
    <w:p w14:paraId="385909E0"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4ADCA679"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0DEB5078"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177ABD46"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5ABBEA50"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7618EEA1" w14:textId="77777777" w:rsidR="00C55AC3" w:rsidRPr="00C55AC3" w:rsidRDefault="00C55AC3" w:rsidP="00C55AC3">
      <w:pPr>
        <w:spacing w:after="200" w:line="276" w:lineRule="auto"/>
        <w:jc w:val="both"/>
        <w:rPr>
          <w:rFonts w:ascii="Times New Roman" w:eastAsia="Calibri" w:hAnsi="Times New Roman" w:cs="Times New Roman"/>
          <w:lang w:val="en-US"/>
        </w:rPr>
      </w:pPr>
    </w:p>
    <w:p w14:paraId="35878216" w14:textId="77777777" w:rsidR="00C55AC3" w:rsidRPr="00C55AC3" w:rsidRDefault="00C55AC3" w:rsidP="00C55AC3">
      <w:pPr>
        <w:spacing w:after="200" w:line="276" w:lineRule="auto"/>
        <w:jc w:val="both"/>
        <w:rPr>
          <w:rFonts w:ascii="Times New Roman" w:eastAsia="Calibri" w:hAnsi="Times New Roman" w:cs="Times New Roman"/>
          <w:lang w:val="en-US"/>
        </w:rPr>
      </w:pPr>
    </w:p>
    <w:p w14:paraId="2A96598A" w14:textId="77777777" w:rsidR="00C55AC3" w:rsidRPr="00C55AC3" w:rsidRDefault="00C55AC3" w:rsidP="00C55AC3">
      <w:pPr>
        <w:spacing w:after="200" w:line="276" w:lineRule="auto"/>
        <w:jc w:val="both"/>
        <w:rPr>
          <w:rFonts w:ascii="Times New Roman" w:eastAsia="Calibri" w:hAnsi="Times New Roman" w:cs="Times New Roman"/>
          <w:lang w:val="en-US"/>
        </w:rPr>
      </w:pPr>
    </w:p>
    <w:p w14:paraId="64F5CAEA" w14:textId="77777777" w:rsidR="00C55AC3" w:rsidRPr="00C55AC3" w:rsidRDefault="00C55AC3" w:rsidP="00C55AC3">
      <w:pPr>
        <w:spacing w:after="200" w:line="276" w:lineRule="auto"/>
        <w:jc w:val="both"/>
        <w:rPr>
          <w:rFonts w:ascii="Times New Roman" w:eastAsia="Calibri" w:hAnsi="Times New Roman" w:cs="Times New Roman"/>
          <w:lang w:val="en-US"/>
        </w:rPr>
      </w:pPr>
    </w:p>
    <w:p w14:paraId="44764D4C" w14:textId="77777777" w:rsidR="00C55AC3" w:rsidRPr="00C55AC3" w:rsidRDefault="00C55AC3" w:rsidP="00C55AC3">
      <w:pPr>
        <w:spacing w:after="200" w:line="276" w:lineRule="auto"/>
        <w:jc w:val="both"/>
        <w:rPr>
          <w:rFonts w:ascii="Times New Roman" w:eastAsia="Calibri" w:hAnsi="Times New Roman" w:cs="Times New Roman"/>
          <w:lang w:val="en-US"/>
        </w:rPr>
      </w:pPr>
    </w:p>
    <w:p w14:paraId="098031BB" w14:textId="77777777" w:rsidR="00C55AC3" w:rsidRPr="00C55AC3" w:rsidRDefault="00C55AC3" w:rsidP="00C55AC3">
      <w:pPr>
        <w:spacing w:after="200" w:line="276" w:lineRule="auto"/>
        <w:jc w:val="both"/>
        <w:rPr>
          <w:rFonts w:ascii="Times New Roman" w:eastAsia="Calibri" w:hAnsi="Times New Roman" w:cs="Times New Roman"/>
          <w:lang w:val="en-US"/>
        </w:rPr>
      </w:pPr>
    </w:p>
    <w:p w14:paraId="16009399" w14:textId="77777777" w:rsidR="00C55AC3" w:rsidRPr="00C55AC3" w:rsidRDefault="00C55AC3" w:rsidP="00C55AC3">
      <w:pPr>
        <w:spacing w:after="200" w:line="276" w:lineRule="auto"/>
        <w:jc w:val="both"/>
        <w:rPr>
          <w:rFonts w:ascii="Times New Roman" w:eastAsia="Calibri" w:hAnsi="Times New Roman" w:cs="Times New Roman"/>
          <w:lang w:val="en-US"/>
        </w:rPr>
      </w:pPr>
    </w:p>
    <w:p w14:paraId="2F2B250E" w14:textId="77777777" w:rsidR="00C55AC3" w:rsidRPr="00C55AC3" w:rsidRDefault="00C55AC3" w:rsidP="00C55AC3">
      <w:pPr>
        <w:spacing w:after="200" w:line="276" w:lineRule="auto"/>
        <w:jc w:val="both"/>
        <w:rPr>
          <w:rFonts w:ascii="Times New Roman" w:eastAsia="Calibri" w:hAnsi="Times New Roman" w:cs="Times New Roman"/>
          <w:lang w:val="en-US"/>
        </w:rPr>
      </w:pPr>
    </w:p>
    <w:p w14:paraId="25396713" w14:textId="77777777" w:rsidR="00C55AC3" w:rsidRPr="00C55AC3" w:rsidRDefault="00C55AC3" w:rsidP="00C55AC3">
      <w:pPr>
        <w:spacing w:after="200" w:line="276" w:lineRule="auto"/>
        <w:jc w:val="both"/>
        <w:rPr>
          <w:rFonts w:ascii="Times New Roman" w:eastAsia="Calibri" w:hAnsi="Times New Roman" w:cs="Times New Roman"/>
          <w:lang w:val="en-US"/>
        </w:rPr>
      </w:pPr>
    </w:p>
    <w:p w14:paraId="26340757" w14:textId="77777777" w:rsidR="00C55AC3" w:rsidRPr="00C55AC3" w:rsidRDefault="00C55AC3" w:rsidP="00C55AC3">
      <w:pPr>
        <w:spacing w:after="200" w:line="276" w:lineRule="auto"/>
        <w:jc w:val="both"/>
        <w:rPr>
          <w:rFonts w:ascii="Times New Roman" w:eastAsia="Calibri" w:hAnsi="Times New Roman" w:cs="Times New Roman"/>
          <w:lang w:val="en-US"/>
        </w:rPr>
      </w:pPr>
    </w:p>
    <w:p w14:paraId="350A5A5D"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bookmarkStart w:id="5" w:name="_Toc427137452"/>
      <w:r w:rsidRPr="00C55AC3">
        <w:rPr>
          <w:rFonts w:ascii="Times New Roman" w:eastAsia="Times New Roman" w:hAnsi="Times New Roman" w:cs="Times New Roman"/>
          <w:b/>
          <w:bCs/>
          <w:lang w:val="en-US"/>
        </w:rPr>
        <w:lastRenderedPageBreak/>
        <w:t>List of Tables</w:t>
      </w:r>
      <w:bookmarkEnd w:id="5"/>
      <w:r w:rsidRPr="00C55AC3">
        <w:rPr>
          <w:rFonts w:ascii="Times New Roman" w:eastAsia="Times New Roman" w:hAnsi="Times New Roman" w:cs="Times New Roman"/>
          <w:b/>
          <w:bCs/>
          <w:lang w:val="en-US"/>
        </w:rPr>
        <w:t xml:space="preserve"> </w:t>
      </w:r>
    </w:p>
    <w:p w14:paraId="69397FBE" w14:textId="77777777" w:rsidR="00C55AC3" w:rsidRPr="00C55AC3" w:rsidRDefault="00C55AC3" w:rsidP="00C55AC3">
      <w:pPr>
        <w:spacing w:after="200" w:line="276" w:lineRule="auto"/>
        <w:jc w:val="both"/>
        <w:rPr>
          <w:rFonts w:ascii="Times New Roman" w:eastAsia="Calibri" w:hAnsi="Times New Roman" w:cs="Times New Roman"/>
          <w:lang w:val="en-US"/>
        </w:rPr>
      </w:pPr>
      <w:r w:rsidRPr="00C55AC3">
        <w:rPr>
          <w:rFonts w:ascii="Times New Roman" w:eastAsia="Calibri" w:hAnsi="Times New Roman" w:cs="Times New Roman"/>
          <w:lang w:val="en-US"/>
        </w:rPr>
        <w:t>Table 1: Farming methods used in Kandeu area</w:t>
      </w:r>
    </w:p>
    <w:p w14:paraId="5DE693AF" w14:textId="77777777" w:rsidR="00C55AC3" w:rsidRPr="00C55AC3" w:rsidRDefault="00C55AC3" w:rsidP="00C55AC3">
      <w:pPr>
        <w:spacing w:after="200" w:line="276" w:lineRule="auto"/>
        <w:jc w:val="both"/>
        <w:rPr>
          <w:rFonts w:ascii="Times New Roman" w:eastAsia="Calibri" w:hAnsi="Times New Roman" w:cs="Times New Roman"/>
          <w:lang w:val="en-US"/>
        </w:rPr>
      </w:pPr>
      <w:r w:rsidRPr="00C55AC3">
        <w:rPr>
          <w:rFonts w:ascii="Times New Roman" w:eastAsia="Calibri" w:hAnsi="Times New Roman" w:cs="Times New Roman"/>
          <w:lang w:val="en-US"/>
        </w:rPr>
        <w:t>Table 2: Access to inputs by gender</w:t>
      </w:r>
    </w:p>
    <w:p w14:paraId="71BC7D7C" w14:textId="77777777" w:rsidR="00C55AC3" w:rsidRPr="00C55AC3" w:rsidRDefault="00C55AC3" w:rsidP="00C55AC3">
      <w:pPr>
        <w:spacing w:after="200" w:line="276" w:lineRule="auto"/>
        <w:jc w:val="both"/>
        <w:rPr>
          <w:rFonts w:ascii="Times New Roman" w:eastAsia="Calibri" w:hAnsi="Times New Roman" w:cs="Times New Roman"/>
          <w:lang w:val="en-US"/>
        </w:rPr>
      </w:pPr>
      <w:r w:rsidRPr="00C55AC3">
        <w:rPr>
          <w:rFonts w:ascii="Times New Roman" w:eastAsia="Calibri" w:hAnsi="Times New Roman" w:cs="Times New Roman"/>
          <w:lang w:val="en-US"/>
        </w:rPr>
        <w:t>Table 3: Crop production by gender</w:t>
      </w:r>
    </w:p>
    <w:p w14:paraId="6726E0E0" w14:textId="77777777" w:rsidR="00C55AC3" w:rsidRPr="00C55AC3" w:rsidRDefault="00C55AC3" w:rsidP="00C55AC3">
      <w:pPr>
        <w:spacing w:after="200" w:line="276" w:lineRule="auto"/>
        <w:jc w:val="both"/>
        <w:rPr>
          <w:rFonts w:ascii="Times New Roman" w:eastAsia="Calibri" w:hAnsi="Times New Roman" w:cs="Times New Roman"/>
          <w:lang w:val="en-US"/>
        </w:rPr>
      </w:pPr>
      <w:r w:rsidRPr="00C55AC3">
        <w:rPr>
          <w:rFonts w:ascii="Times New Roman" w:eastAsia="Calibri" w:hAnsi="Times New Roman" w:cs="Times New Roman"/>
          <w:lang w:val="en-US"/>
        </w:rPr>
        <w:t>Table 4: Labor intensification monthly scores by gender</w:t>
      </w:r>
    </w:p>
    <w:p w14:paraId="598DE1B1" w14:textId="77777777" w:rsidR="00C55AC3" w:rsidRPr="00C55AC3" w:rsidRDefault="00C55AC3" w:rsidP="00C55AC3">
      <w:pPr>
        <w:spacing w:after="200" w:line="276" w:lineRule="auto"/>
        <w:jc w:val="both"/>
        <w:rPr>
          <w:rFonts w:ascii="Times New Roman" w:eastAsia="Calibri" w:hAnsi="Times New Roman" w:cs="Times New Roman"/>
          <w:lang w:val="en-US"/>
        </w:rPr>
      </w:pPr>
      <w:r w:rsidRPr="00C55AC3">
        <w:rPr>
          <w:rFonts w:ascii="Times New Roman" w:eastAsia="Calibri" w:hAnsi="Times New Roman" w:cs="Times New Roman"/>
          <w:lang w:val="en-US"/>
        </w:rPr>
        <w:t>Table 5: Sources of income by gender</w:t>
      </w:r>
    </w:p>
    <w:p w14:paraId="331827DB" w14:textId="77777777" w:rsidR="00C55AC3" w:rsidRPr="00C55AC3" w:rsidRDefault="00C55AC3" w:rsidP="00C55AC3">
      <w:pPr>
        <w:spacing w:after="200" w:line="276" w:lineRule="auto"/>
        <w:jc w:val="both"/>
        <w:rPr>
          <w:rFonts w:ascii="Times New Roman" w:eastAsia="Calibri" w:hAnsi="Times New Roman" w:cs="Times New Roman"/>
          <w:lang w:val="en-US"/>
        </w:rPr>
      </w:pPr>
      <w:r w:rsidRPr="00C55AC3">
        <w:rPr>
          <w:rFonts w:ascii="Times New Roman" w:eastAsia="Calibri" w:hAnsi="Times New Roman" w:cs="Times New Roman"/>
          <w:lang w:val="en-US"/>
        </w:rPr>
        <w:t>Table 6: Sales and expenditure levels by gender</w:t>
      </w:r>
    </w:p>
    <w:p w14:paraId="40BDCD42" w14:textId="77777777" w:rsidR="00C55AC3" w:rsidRPr="00C55AC3" w:rsidRDefault="00C55AC3" w:rsidP="00C55AC3">
      <w:pPr>
        <w:spacing w:after="200" w:line="276" w:lineRule="auto"/>
        <w:jc w:val="both"/>
        <w:rPr>
          <w:rFonts w:ascii="Times New Roman" w:eastAsia="Calibri" w:hAnsi="Times New Roman" w:cs="Times New Roman"/>
          <w:lang w:val="en-US"/>
        </w:rPr>
      </w:pPr>
    </w:p>
    <w:p w14:paraId="4C782881" w14:textId="77777777" w:rsidR="00C55AC3" w:rsidRPr="00C55AC3" w:rsidRDefault="00C55AC3" w:rsidP="00C55AC3">
      <w:pPr>
        <w:spacing w:after="200" w:line="276" w:lineRule="auto"/>
        <w:jc w:val="both"/>
        <w:rPr>
          <w:rFonts w:ascii="Times New Roman" w:eastAsia="Calibri" w:hAnsi="Times New Roman" w:cs="Times New Roman"/>
          <w:lang w:val="en-US"/>
        </w:rPr>
      </w:pPr>
    </w:p>
    <w:p w14:paraId="38B6BA4D"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5515E2DB"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43ACBEF4"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552676D9"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3FAA455D"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0233D529"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1985273E"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243F227C"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251AB8EE"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0D3539B0" w14:textId="77777777" w:rsidR="00C55AC3" w:rsidRPr="00C55AC3" w:rsidRDefault="00C55AC3" w:rsidP="00C55AC3">
      <w:pPr>
        <w:spacing w:after="200" w:line="276" w:lineRule="auto"/>
        <w:jc w:val="both"/>
        <w:rPr>
          <w:rFonts w:ascii="Times New Roman" w:eastAsia="Times New Roman" w:hAnsi="Times New Roman" w:cs="Times New Roman"/>
          <w:b/>
          <w:bCs/>
          <w:lang w:val="en-US"/>
        </w:rPr>
      </w:pPr>
    </w:p>
    <w:p w14:paraId="4DF2C364"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753EC4D7"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0412736E"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52E2F83C"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6859F541"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5E22A830"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729B10A7"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41DAC0FE"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002AA087"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bookmarkStart w:id="6" w:name="_Toc427137453"/>
      <w:r w:rsidRPr="00C55AC3">
        <w:rPr>
          <w:rFonts w:ascii="Times New Roman" w:eastAsia="Times New Roman" w:hAnsi="Times New Roman" w:cs="Times New Roman"/>
          <w:b/>
          <w:bCs/>
          <w:lang w:val="en-US"/>
        </w:rPr>
        <w:lastRenderedPageBreak/>
        <w:t>List of Figures</w:t>
      </w:r>
      <w:bookmarkEnd w:id="6"/>
      <w:r w:rsidRPr="00C55AC3">
        <w:rPr>
          <w:rFonts w:ascii="Times New Roman" w:eastAsia="Times New Roman" w:hAnsi="Times New Roman" w:cs="Times New Roman"/>
          <w:b/>
          <w:bCs/>
          <w:lang w:val="en-US"/>
        </w:rPr>
        <w:t xml:space="preserve"> </w:t>
      </w:r>
    </w:p>
    <w:p w14:paraId="7E5CFCC2" w14:textId="77777777" w:rsidR="00C55AC3" w:rsidRPr="00C55AC3" w:rsidRDefault="00C55AC3" w:rsidP="00C55AC3">
      <w:pPr>
        <w:spacing w:after="200" w:line="276" w:lineRule="auto"/>
        <w:jc w:val="both"/>
        <w:rPr>
          <w:rFonts w:ascii="Times New Roman" w:eastAsia="Times New Roman" w:hAnsi="Times New Roman" w:cs="Times New Roman"/>
          <w:lang w:val="en-US"/>
        </w:rPr>
      </w:pPr>
      <w:r w:rsidRPr="00C55AC3">
        <w:rPr>
          <w:rFonts w:ascii="Times New Roman" w:eastAsia="Times New Roman" w:hAnsi="Times New Roman" w:cs="Times New Roman"/>
          <w:lang w:val="en-US"/>
        </w:rPr>
        <w:t>Figure 1: Case Study Map of Ntcheu District- Kandeu area</w:t>
      </w:r>
    </w:p>
    <w:p w14:paraId="505994A4" w14:textId="77777777" w:rsidR="00C55AC3" w:rsidRPr="00C55AC3" w:rsidRDefault="00C55AC3" w:rsidP="00C55AC3">
      <w:pPr>
        <w:spacing w:after="200" w:line="276" w:lineRule="auto"/>
        <w:jc w:val="both"/>
        <w:rPr>
          <w:rFonts w:ascii="Times New Roman" w:eastAsia="Times New Roman" w:hAnsi="Times New Roman" w:cs="Times New Roman"/>
          <w:lang w:val="en-US"/>
        </w:rPr>
      </w:pPr>
      <w:r w:rsidRPr="00C55AC3">
        <w:rPr>
          <w:rFonts w:ascii="Times New Roman" w:eastAsia="Times New Roman" w:hAnsi="Times New Roman" w:cs="Times New Roman"/>
          <w:lang w:val="en-US"/>
        </w:rPr>
        <w:t>Figure 2: Agriculture Intensification methods by gender</w:t>
      </w:r>
    </w:p>
    <w:p w14:paraId="17A82AAD" w14:textId="77777777" w:rsidR="00C55AC3" w:rsidRPr="00C55AC3" w:rsidRDefault="00C55AC3" w:rsidP="00C55AC3">
      <w:pPr>
        <w:spacing w:after="200" w:line="276" w:lineRule="auto"/>
        <w:jc w:val="both"/>
        <w:rPr>
          <w:rFonts w:ascii="Times New Roman" w:eastAsia="Times New Roman" w:hAnsi="Times New Roman" w:cs="Times New Roman"/>
          <w:lang w:val="en-US"/>
        </w:rPr>
      </w:pPr>
      <w:r w:rsidRPr="00C55AC3">
        <w:rPr>
          <w:rFonts w:ascii="Times New Roman" w:eastAsia="Times New Roman" w:hAnsi="Times New Roman" w:cs="Times New Roman"/>
          <w:lang w:val="en-US"/>
        </w:rPr>
        <w:t>Figure 3: Irrigation Management Hierarchy</w:t>
      </w:r>
    </w:p>
    <w:p w14:paraId="2979F32F" w14:textId="77777777" w:rsidR="00C55AC3" w:rsidRPr="00C55AC3" w:rsidRDefault="00C55AC3" w:rsidP="00C55AC3">
      <w:pPr>
        <w:spacing w:after="200" w:line="276" w:lineRule="auto"/>
        <w:jc w:val="both"/>
        <w:rPr>
          <w:rFonts w:ascii="Times New Roman" w:eastAsia="Times New Roman" w:hAnsi="Times New Roman" w:cs="Times New Roman"/>
          <w:lang w:val="en-US"/>
        </w:rPr>
      </w:pPr>
    </w:p>
    <w:p w14:paraId="46731EBA" w14:textId="77777777" w:rsidR="00C55AC3" w:rsidRPr="00C55AC3" w:rsidRDefault="00C55AC3" w:rsidP="00C55AC3">
      <w:pPr>
        <w:spacing w:after="200" w:line="276" w:lineRule="auto"/>
        <w:jc w:val="both"/>
        <w:rPr>
          <w:rFonts w:ascii="Times New Roman" w:eastAsia="Times New Roman" w:hAnsi="Times New Roman" w:cs="Times New Roman"/>
          <w:lang w:val="en-US"/>
        </w:rPr>
      </w:pPr>
      <w:r w:rsidRPr="00C55AC3">
        <w:rPr>
          <w:rFonts w:ascii="Times New Roman" w:eastAsia="Times New Roman" w:hAnsi="Times New Roman" w:cs="Times New Roman"/>
          <w:lang w:val="en-US"/>
        </w:rPr>
        <w:t xml:space="preserve"> </w:t>
      </w:r>
    </w:p>
    <w:p w14:paraId="496E9871"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p>
    <w:p w14:paraId="32DAFCD8" w14:textId="77777777" w:rsidR="00C55AC3" w:rsidRPr="00C55AC3" w:rsidRDefault="00C55AC3" w:rsidP="00C55AC3">
      <w:pPr>
        <w:spacing w:after="200" w:line="240" w:lineRule="auto"/>
        <w:jc w:val="both"/>
        <w:rPr>
          <w:rFonts w:ascii="Times New Roman" w:eastAsia="Times New Roman" w:hAnsi="Times New Roman" w:cs="Times New Roman"/>
          <w:lang w:val="en-US"/>
        </w:rPr>
      </w:pPr>
    </w:p>
    <w:p w14:paraId="1622C37D" w14:textId="77777777" w:rsidR="00C55AC3" w:rsidRPr="00C55AC3" w:rsidRDefault="00C55AC3" w:rsidP="00C55AC3">
      <w:pPr>
        <w:spacing w:after="200" w:line="240" w:lineRule="auto"/>
        <w:jc w:val="both"/>
        <w:rPr>
          <w:rFonts w:ascii="Times New Roman" w:eastAsia="Times New Roman" w:hAnsi="Times New Roman" w:cs="Times New Roman"/>
          <w:lang w:val="en-US"/>
        </w:rPr>
      </w:pPr>
    </w:p>
    <w:p w14:paraId="4EB23DCB" w14:textId="77777777" w:rsidR="00C55AC3" w:rsidRPr="00C55AC3" w:rsidRDefault="00C55AC3" w:rsidP="00C55AC3">
      <w:pPr>
        <w:spacing w:after="200" w:line="240" w:lineRule="auto"/>
        <w:jc w:val="both"/>
        <w:rPr>
          <w:rFonts w:ascii="Times New Roman" w:eastAsia="Times New Roman" w:hAnsi="Times New Roman" w:cs="Times New Roman"/>
          <w:lang w:val="en-US"/>
        </w:rPr>
      </w:pPr>
    </w:p>
    <w:p w14:paraId="26F9751B" w14:textId="77777777" w:rsidR="00C55AC3" w:rsidRPr="00C55AC3" w:rsidRDefault="00C55AC3" w:rsidP="00C55AC3">
      <w:pPr>
        <w:spacing w:after="200" w:line="240" w:lineRule="auto"/>
        <w:jc w:val="both"/>
        <w:rPr>
          <w:rFonts w:ascii="Times New Roman" w:eastAsia="Times New Roman" w:hAnsi="Times New Roman" w:cs="Times New Roman"/>
          <w:lang w:val="en-US"/>
        </w:rPr>
      </w:pPr>
    </w:p>
    <w:p w14:paraId="4B0E56EA" w14:textId="77777777" w:rsidR="00C55AC3" w:rsidRPr="00C55AC3" w:rsidRDefault="00C55AC3" w:rsidP="00C55AC3">
      <w:pPr>
        <w:spacing w:after="200" w:line="240" w:lineRule="auto"/>
        <w:jc w:val="both"/>
        <w:rPr>
          <w:rFonts w:ascii="Times New Roman" w:eastAsia="Times New Roman" w:hAnsi="Times New Roman" w:cs="Times New Roman"/>
          <w:lang w:val="en-US"/>
        </w:rPr>
      </w:pPr>
    </w:p>
    <w:p w14:paraId="00291B24" w14:textId="77777777" w:rsidR="00C55AC3" w:rsidRPr="00C55AC3" w:rsidRDefault="00C55AC3" w:rsidP="00C55AC3">
      <w:pPr>
        <w:spacing w:after="200" w:line="240" w:lineRule="auto"/>
        <w:jc w:val="both"/>
        <w:rPr>
          <w:rFonts w:ascii="Times New Roman" w:eastAsia="Times New Roman" w:hAnsi="Times New Roman" w:cs="Times New Roman"/>
          <w:lang w:val="en-US"/>
        </w:rPr>
      </w:pPr>
    </w:p>
    <w:p w14:paraId="4402D62C" w14:textId="77777777" w:rsidR="00C55AC3" w:rsidRPr="00C55AC3" w:rsidRDefault="00C55AC3" w:rsidP="00C55AC3">
      <w:pPr>
        <w:spacing w:after="200" w:line="240" w:lineRule="auto"/>
        <w:jc w:val="both"/>
        <w:rPr>
          <w:rFonts w:ascii="Times New Roman" w:eastAsia="Times New Roman" w:hAnsi="Times New Roman" w:cs="Times New Roman"/>
          <w:lang w:val="en-US"/>
        </w:rPr>
      </w:pPr>
    </w:p>
    <w:p w14:paraId="3BDF2243" w14:textId="77777777" w:rsidR="00C55AC3" w:rsidRPr="00C55AC3" w:rsidRDefault="00C55AC3" w:rsidP="00C55AC3">
      <w:pPr>
        <w:spacing w:after="200" w:line="240" w:lineRule="auto"/>
        <w:jc w:val="both"/>
        <w:rPr>
          <w:rFonts w:ascii="Times New Roman" w:eastAsia="Times New Roman" w:hAnsi="Times New Roman" w:cs="Times New Roman"/>
          <w:lang w:val="en-US"/>
        </w:rPr>
      </w:pPr>
    </w:p>
    <w:p w14:paraId="7A32491D" w14:textId="77777777" w:rsidR="00C55AC3" w:rsidRPr="00C55AC3" w:rsidRDefault="00C55AC3" w:rsidP="00C55AC3">
      <w:pPr>
        <w:spacing w:after="200" w:line="240" w:lineRule="auto"/>
        <w:jc w:val="both"/>
        <w:rPr>
          <w:rFonts w:ascii="Times New Roman" w:eastAsia="Times New Roman" w:hAnsi="Times New Roman" w:cs="Times New Roman"/>
          <w:lang w:val="en-US"/>
        </w:rPr>
      </w:pPr>
    </w:p>
    <w:p w14:paraId="762BE980" w14:textId="77777777" w:rsidR="00C55AC3" w:rsidRPr="00C55AC3" w:rsidRDefault="00C55AC3" w:rsidP="00C55AC3">
      <w:pPr>
        <w:spacing w:after="200" w:line="240" w:lineRule="auto"/>
        <w:jc w:val="both"/>
        <w:rPr>
          <w:rFonts w:ascii="Times New Roman" w:eastAsia="Times New Roman" w:hAnsi="Times New Roman" w:cs="Times New Roman"/>
          <w:lang w:val="en-US"/>
        </w:rPr>
      </w:pPr>
    </w:p>
    <w:p w14:paraId="0DA9B908" w14:textId="77777777" w:rsidR="00C55AC3" w:rsidRPr="00C55AC3" w:rsidRDefault="00C55AC3" w:rsidP="00C55AC3">
      <w:pPr>
        <w:spacing w:after="200" w:line="240" w:lineRule="auto"/>
        <w:jc w:val="both"/>
        <w:rPr>
          <w:rFonts w:ascii="Times New Roman" w:eastAsia="Times New Roman" w:hAnsi="Times New Roman" w:cs="Times New Roman"/>
          <w:lang w:val="en-US"/>
        </w:rPr>
      </w:pPr>
    </w:p>
    <w:p w14:paraId="432C202D" w14:textId="77777777" w:rsidR="00C55AC3" w:rsidRPr="00C55AC3" w:rsidRDefault="00C55AC3" w:rsidP="00C55AC3">
      <w:pPr>
        <w:spacing w:after="200" w:line="240" w:lineRule="auto"/>
        <w:jc w:val="both"/>
        <w:rPr>
          <w:rFonts w:ascii="Times New Roman" w:eastAsia="Times New Roman" w:hAnsi="Times New Roman" w:cs="Times New Roman"/>
          <w:lang w:val="en-US"/>
        </w:rPr>
      </w:pPr>
    </w:p>
    <w:p w14:paraId="0EDB4800" w14:textId="77777777" w:rsidR="00C55AC3" w:rsidRPr="00C55AC3" w:rsidRDefault="00C55AC3" w:rsidP="00C55AC3">
      <w:pPr>
        <w:spacing w:after="200" w:line="240" w:lineRule="auto"/>
        <w:jc w:val="both"/>
        <w:rPr>
          <w:rFonts w:ascii="Times New Roman" w:eastAsia="Times New Roman" w:hAnsi="Times New Roman" w:cs="Times New Roman"/>
          <w:lang w:val="en-US"/>
        </w:rPr>
      </w:pPr>
    </w:p>
    <w:p w14:paraId="0D65DFD3" w14:textId="77777777" w:rsidR="00C55AC3" w:rsidRPr="00C55AC3" w:rsidRDefault="00C55AC3" w:rsidP="00C55AC3">
      <w:pPr>
        <w:spacing w:after="200" w:line="240" w:lineRule="auto"/>
        <w:jc w:val="both"/>
        <w:rPr>
          <w:rFonts w:ascii="Times New Roman" w:eastAsia="Times New Roman" w:hAnsi="Times New Roman" w:cs="Times New Roman"/>
          <w:lang w:val="en-US"/>
        </w:rPr>
      </w:pPr>
    </w:p>
    <w:p w14:paraId="1848617E" w14:textId="77777777" w:rsidR="00C55AC3" w:rsidRPr="00C55AC3" w:rsidRDefault="00C55AC3" w:rsidP="00C55AC3">
      <w:pPr>
        <w:spacing w:after="200" w:line="240" w:lineRule="auto"/>
        <w:jc w:val="both"/>
        <w:rPr>
          <w:rFonts w:ascii="Times New Roman" w:eastAsia="Times New Roman" w:hAnsi="Times New Roman" w:cs="Times New Roman"/>
          <w:lang w:val="en-US"/>
        </w:rPr>
      </w:pPr>
    </w:p>
    <w:p w14:paraId="2BD0EF53" w14:textId="77777777" w:rsidR="00C55AC3" w:rsidRPr="00C55AC3" w:rsidRDefault="00C55AC3" w:rsidP="00C55AC3">
      <w:pPr>
        <w:spacing w:after="200" w:line="240" w:lineRule="auto"/>
        <w:jc w:val="both"/>
        <w:rPr>
          <w:rFonts w:ascii="Times New Roman" w:eastAsia="Times New Roman" w:hAnsi="Times New Roman" w:cs="Times New Roman"/>
          <w:lang w:val="en-US"/>
        </w:rPr>
      </w:pPr>
    </w:p>
    <w:p w14:paraId="097A00BF" w14:textId="77777777" w:rsidR="00C55AC3" w:rsidRPr="00C55AC3" w:rsidRDefault="00C55AC3" w:rsidP="00C55AC3">
      <w:pPr>
        <w:spacing w:after="200" w:line="240" w:lineRule="auto"/>
        <w:jc w:val="both"/>
        <w:outlineLvl w:val="0"/>
        <w:rPr>
          <w:rFonts w:ascii="Times New Roman" w:eastAsia="Times New Roman" w:hAnsi="Times New Roman" w:cs="Times New Roman"/>
          <w:b/>
          <w:lang w:val="en-US"/>
        </w:rPr>
      </w:pPr>
    </w:p>
    <w:p w14:paraId="287B5EB4" w14:textId="77777777" w:rsidR="00C55AC3" w:rsidRPr="00C55AC3" w:rsidRDefault="00C55AC3" w:rsidP="00C55AC3">
      <w:pPr>
        <w:spacing w:after="200" w:line="240" w:lineRule="auto"/>
        <w:jc w:val="both"/>
        <w:outlineLvl w:val="0"/>
        <w:rPr>
          <w:rFonts w:ascii="Times New Roman" w:eastAsia="Times New Roman" w:hAnsi="Times New Roman" w:cs="Times New Roman"/>
          <w:b/>
          <w:lang w:val="en-US"/>
        </w:rPr>
      </w:pPr>
    </w:p>
    <w:p w14:paraId="1FECE587" w14:textId="77777777" w:rsidR="00C55AC3" w:rsidRPr="00C55AC3" w:rsidRDefault="00C55AC3" w:rsidP="00C55AC3">
      <w:pPr>
        <w:spacing w:after="200" w:line="240" w:lineRule="auto"/>
        <w:jc w:val="both"/>
        <w:outlineLvl w:val="0"/>
        <w:rPr>
          <w:rFonts w:ascii="Times New Roman" w:eastAsia="Times New Roman" w:hAnsi="Times New Roman" w:cs="Times New Roman"/>
          <w:b/>
          <w:lang w:val="en-US"/>
        </w:rPr>
      </w:pPr>
    </w:p>
    <w:p w14:paraId="5E2E201E" w14:textId="77777777" w:rsidR="00C55AC3" w:rsidRPr="00C55AC3" w:rsidRDefault="00C55AC3" w:rsidP="00C55AC3">
      <w:pPr>
        <w:spacing w:after="200" w:line="240" w:lineRule="auto"/>
        <w:jc w:val="both"/>
        <w:outlineLvl w:val="0"/>
        <w:rPr>
          <w:rFonts w:ascii="Times New Roman" w:eastAsia="Times New Roman" w:hAnsi="Times New Roman" w:cs="Times New Roman"/>
          <w:b/>
          <w:lang w:val="en-US"/>
        </w:rPr>
      </w:pPr>
    </w:p>
    <w:p w14:paraId="2A9301F5" w14:textId="77777777" w:rsidR="00C55AC3" w:rsidRPr="00C55AC3" w:rsidRDefault="00C55AC3" w:rsidP="00C55AC3">
      <w:pPr>
        <w:spacing w:after="200" w:line="240" w:lineRule="auto"/>
        <w:jc w:val="both"/>
        <w:outlineLvl w:val="0"/>
        <w:rPr>
          <w:rFonts w:ascii="Times New Roman" w:eastAsia="Times New Roman" w:hAnsi="Times New Roman" w:cs="Times New Roman"/>
          <w:b/>
          <w:lang w:val="en-US"/>
        </w:rPr>
      </w:pPr>
    </w:p>
    <w:p w14:paraId="64BECC6C" w14:textId="77777777" w:rsidR="00C55AC3" w:rsidRPr="00C55AC3" w:rsidRDefault="00C55AC3" w:rsidP="00C55AC3">
      <w:pPr>
        <w:spacing w:after="200" w:line="360" w:lineRule="auto"/>
        <w:jc w:val="both"/>
        <w:rPr>
          <w:rFonts w:ascii="Times New Roman" w:eastAsia="Times New Roman" w:hAnsi="Times New Roman" w:cs="Times New Roman"/>
          <w:bCs/>
          <w:sz w:val="24"/>
          <w:szCs w:val="24"/>
          <w:lang w:val="en-US"/>
        </w:rPr>
        <w:sectPr w:rsidR="00C55AC3" w:rsidRPr="00C55AC3" w:rsidSect="00B91336">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NumType w:fmt="lowerRoman" w:start="0"/>
          <w:cols w:space="720"/>
          <w:titlePg/>
          <w:docGrid w:linePitch="360"/>
        </w:sectPr>
      </w:pPr>
    </w:p>
    <w:p w14:paraId="06B542D3"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ZA"/>
        </w:rPr>
      </w:pPr>
      <w:bookmarkStart w:id="7" w:name="_Toc427137454"/>
      <w:r w:rsidRPr="00C55AC3">
        <w:rPr>
          <w:rFonts w:ascii="Times New Roman" w:eastAsia="Times New Roman" w:hAnsi="Times New Roman" w:cs="Times New Roman"/>
          <w:b/>
          <w:bCs/>
          <w:lang w:val="en-ZA"/>
        </w:rPr>
        <w:lastRenderedPageBreak/>
        <w:t>1.0 Introduction</w:t>
      </w:r>
      <w:bookmarkEnd w:id="7"/>
    </w:p>
    <w:p w14:paraId="72D1483B"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Gender relations within irrigation scheme contexts have been used as leverage to increase food production efficiency in the face of population increase where resources are non-multipliable and non-renewable (FAO, 2011). Whilst there is massive complexity and heterogeneity amongst irrigation schemes, Doss (2001a) provides that gender (socially endorsed roles and identities) regularly shapes farmers’ accessibility to labour, inputs, land, markets and control of produce as a result of choices and constraints at household and scheme management levels. Nemarundwe (2005) also highlights the extent to which internal dynamics within institutions in irrigation schemes determine the position of men and women in relation to managing access to and control of resources for agricultural production. </w:t>
      </w:r>
    </w:p>
    <w:p w14:paraId="61CCE662"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Times New Roman" w:hAnsi="Times New Roman" w:cs="Times New Roman"/>
          <w:bCs/>
          <w:lang w:val="en-ZA"/>
        </w:rPr>
        <w:t xml:space="preserve">When productivity is increased with less impact on the environment and ensuring that the natural resource base on which agriculture depends is sustained and improved for future generations--that disseminates into Sustainable agriculture intensification (Boserup, 2002). </w:t>
      </w:r>
      <w:r w:rsidRPr="00C55AC3">
        <w:rPr>
          <w:rFonts w:ascii="Times New Roman" w:eastAsia="Calibri" w:hAnsi="Times New Roman" w:cs="Times New Roman"/>
          <w:lang w:val="en-ZA"/>
        </w:rPr>
        <w:t xml:space="preserve">Conventionally, intensification has aimed to raise production and income through greater investments of capital (physical inputs) and labour (UN Millennium Project, 2005) within the auspices of irrigation schemes development in Southern Africa as in other developing countries through the gender lens as given by Reardon </w:t>
      </w:r>
      <w:r w:rsidRPr="00C55AC3">
        <w:rPr>
          <w:rFonts w:ascii="Times New Roman" w:eastAsia="Calibri" w:hAnsi="Times New Roman" w:cs="Times New Roman"/>
          <w:i/>
          <w:lang w:val="en-ZA"/>
        </w:rPr>
        <w:t>et al</w:t>
      </w:r>
      <w:r w:rsidRPr="00C55AC3">
        <w:rPr>
          <w:rFonts w:ascii="Times New Roman" w:eastAsia="Calibri" w:hAnsi="Times New Roman" w:cs="Times New Roman"/>
          <w:lang w:val="en-ZA"/>
        </w:rPr>
        <w:t xml:space="preserve"> (1998). Such a promotion of gender driven sustainable agriculture intensification comes against a setting where uneven distribution of resources, unpredictable climate conditions and exponential increases in population observed by Lele and Stone (1989) require that a multifaceted strategy such as Sustainable Agriculture Intensification be practiced to increase food production upon which vulnerable areas, particularly the dry lands depend. The study</w:t>
      </w:r>
      <w:r w:rsidRPr="00C55AC3">
        <w:rPr>
          <w:rFonts w:ascii="Times New Roman" w:eastAsia="Times New Roman" w:hAnsi="Times New Roman" w:cs="Times New Roman"/>
          <w:lang w:val="en-ZA" w:eastAsia="en-ZA"/>
        </w:rPr>
        <w:t xml:space="preserve"> further seeks to determine the possible relationship between gender, asset ownership and income as well as resource control through the examination of the intra-household and institutional interaction between men and women plot holders in scheme and rainfed settings. This study is a follow up on the baseline survey (CGIAR 1.1) done in the Chinyanja triangle under the guidance of the IWMI in conjunction with CIAT-CGIAR Centre in Malawi which aims to improve food security for the farmers susceptible to severe aridness.</w:t>
      </w:r>
    </w:p>
    <w:p w14:paraId="0CAF2D9F"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rPr>
      </w:pPr>
      <w:bookmarkStart w:id="8" w:name="_Toc427137455"/>
      <w:r w:rsidRPr="00C55AC3">
        <w:rPr>
          <w:rFonts w:ascii="Times New Roman" w:eastAsia="Times New Roman" w:hAnsi="Times New Roman" w:cs="Times New Roman"/>
          <w:b/>
          <w:bCs/>
          <w:lang w:val="en-US"/>
        </w:rPr>
        <w:t>1.1 Theoretical Framework</w:t>
      </w:r>
      <w:bookmarkEnd w:id="8"/>
      <w:r w:rsidRPr="00C55AC3">
        <w:rPr>
          <w:rFonts w:ascii="Times New Roman" w:eastAsia="Times New Roman" w:hAnsi="Times New Roman" w:cs="Times New Roman"/>
          <w:b/>
          <w:bCs/>
          <w:lang w:val="en-ZA"/>
        </w:rPr>
        <w:t xml:space="preserve"> </w:t>
      </w:r>
    </w:p>
    <w:p w14:paraId="3775F571" w14:textId="77777777" w:rsidR="00C55AC3" w:rsidRPr="00C55AC3" w:rsidRDefault="00C55AC3" w:rsidP="00C55AC3">
      <w:pPr>
        <w:spacing w:after="200" w:line="240"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To get an understanding of how gender influences production in irrigation scheme settings, the paper defines empowerment as the ability to access, use and control resources within the context of agriculture within given domains of control. This study is guided by pentagonal combination of domains largely borrowed from Meinzen-Dick </w:t>
      </w:r>
      <w:r w:rsidRPr="00C55AC3">
        <w:rPr>
          <w:rFonts w:ascii="Times New Roman" w:eastAsia="Calibri" w:hAnsi="Times New Roman" w:cs="Times New Roman"/>
          <w:i/>
          <w:lang w:val="en-ZA"/>
        </w:rPr>
        <w:t>et al</w:t>
      </w:r>
      <w:r w:rsidRPr="00C55AC3">
        <w:rPr>
          <w:rFonts w:ascii="Times New Roman" w:eastAsia="Calibri" w:hAnsi="Times New Roman" w:cs="Times New Roman"/>
          <w:lang w:val="en-ZA"/>
        </w:rPr>
        <w:t xml:space="preserve">, 2010’s idea that autonomous resource control by men and women translates into empowerment which drives food security within the parameters of the irrigation scheme settings. The domains include decision making on production factors and income control and expenditure; ownership and access to resources; participation in leadership; allocation of time on agricultural productive tasks. The context within which the interface between the domains of control (which translates into empowerment) and gender relations occur determines the nature of the livelihood strategies utilized. The degree of such empowerment is measured by developmental pointers such as assets, income and skills implementation capacity and is manifested through decrease in poverty at household level, improved food availability and enhanced management and control of resources. The attainability of such attributes largely depends on the nature of the existing institutional processes and structures. Thus the amalgamation of the empowerment drivers as well as the prevailing institutional contexts provides a better understanding of what farmers perceive as spheres of improved productivity thereby serving to identify the most suitable adaptation strategies. </w:t>
      </w:r>
    </w:p>
    <w:p w14:paraId="4355D13C" w14:textId="77777777" w:rsidR="00C55AC3" w:rsidRPr="00C55AC3" w:rsidRDefault="00C55AC3" w:rsidP="00C55AC3">
      <w:pPr>
        <w:keepNext/>
        <w:keepLines/>
        <w:spacing w:before="480" w:after="0" w:line="276" w:lineRule="auto"/>
        <w:outlineLvl w:val="0"/>
        <w:rPr>
          <w:rFonts w:ascii="Times New Roman" w:eastAsia="Times New Roman" w:hAnsi="Times New Roman" w:cs="Times New Roman"/>
          <w:b/>
          <w:bCs/>
          <w:lang w:val="en-ZA"/>
        </w:rPr>
      </w:pPr>
      <w:bookmarkStart w:id="9" w:name="_Toc427137456"/>
      <w:r w:rsidRPr="00C55AC3">
        <w:rPr>
          <w:rFonts w:ascii="Times New Roman" w:eastAsia="Times New Roman" w:hAnsi="Times New Roman" w:cs="Times New Roman"/>
          <w:b/>
          <w:bCs/>
          <w:lang w:val="en-ZA"/>
        </w:rPr>
        <w:lastRenderedPageBreak/>
        <w:t>1.2 Background</w:t>
      </w:r>
      <w:bookmarkEnd w:id="9"/>
    </w:p>
    <w:p w14:paraId="4E48B4D3" w14:textId="77777777" w:rsidR="00C55AC3" w:rsidRPr="00C55AC3" w:rsidRDefault="00C55AC3" w:rsidP="00C55AC3">
      <w:pPr>
        <w:keepNext/>
        <w:keepLines/>
        <w:spacing w:before="200" w:after="0" w:line="276" w:lineRule="auto"/>
        <w:jc w:val="both"/>
        <w:outlineLvl w:val="2"/>
        <w:rPr>
          <w:rFonts w:ascii="Times New Roman" w:eastAsia="Times New Roman" w:hAnsi="Times New Roman" w:cs="Times New Roman"/>
          <w:b/>
          <w:bCs/>
          <w:lang w:val="en-ZA"/>
        </w:rPr>
      </w:pPr>
      <w:bookmarkStart w:id="10" w:name="_Toc427137457"/>
      <w:r w:rsidRPr="00C55AC3">
        <w:rPr>
          <w:rFonts w:ascii="Times New Roman" w:eastAsia="Times New Roman" w:hAnsi="Times New Roman" w:cs="Times New Roman"/>
          <w:b/>
          <w:bCs/>
          <w:lang w:val="en-ZA"/>
        </w:rPr>
        <w:t>1.2.1 Gender influence on Production</w:t>
      </w:r>
      <w:bookmarkEnd w:id="10"/>
    </w:p>
    <w:p w14:paraId="564DEE2C" w14:textId="77777777" w:rsidR="00C55AC3" w:rsidRPr="00C55AC3" w:rsidRDefault="00C55AC3" w:rsidP="00C55AC3">
      <w:pPr>
        <w:spacing w:after="200" w:line="240" w:lineRule="auto"/>
        <w:jc w:val="both"/>
        <w:rPr>
          <w:rFonts w:ascii="Times New Roman" w:eastAsia="Times New Roman" w:hAnsi="Times New Roman" w:cs="Times New Roman"/>
          <w:bCs/>
          <w:lang w:val="en-ZA"/>
        </w:rPr>
      </w:pPr>
      <w:bookmarkStart w:id="11" w:name="_Toc406404313"/>
      <w:bookmarkStart w:id="12" w:name="_Toc406404607"/>
      <w:bookmarkStart w:id="13" w:name="_Toc406405574"/>
      <w:r w:rsidRPr="00C55AC3">
        <w:rPr>
          <w:rFonts w:ascii="Times New Roman" w:eastAsia="Times New Roman" w:hAnsi="Times New Roman" w:cs="Times New Roman"/>
          <w:bCs/>
          <w:lang w:val="en-ZA"/>
        </w:rPr>
        <w:t xml:space="preserve">Gender matters not only for production but also for food use and resources used to produce the food Meinz-Dick </w:t>
      </w:r>
      <w:r w:rsidRPr="00C55AC3">
        <w:rPr>
          <w:rFonts w:ascii="Times New Roman" w:eastAsia="Times New Roman" w:hAnsi="Times New Roman" w:cs="Times New Roman"/>
          <w:bCs/>
          <w:i/>
          <w:lang w:val="en-ZA"/>
        </w:rPr>
        <w:t>et al</w:t>
      </w:r>
      <w:r w:rsidRPr="00C55AC3">
        <w:rPr>
          <w:rFonts w:ascii="Times New Roman" w:eastAsia="Times New Roman" w:hAnsi="Times New Roman" w:cs="Times New Roman"/>
          <w:bCs/>
          <w:lang w:val="en-ZA"/>
        </w:rPr>
        <w:t xml:space="preserve"> (2012). Despite the many roles African women play in Agriculture production they have remained disadvantaged in many respects. With reference to gender patterns of responsibility in agriculture Doss (2002) indicated that women specialize in some production activities and participate with men in others, consequently there are separate crops, separate fields, separate tasks for same or different crops for both men and women. The choice of farming practice is indicative of the degree of gender based division of labour which also determines crop choices and control of produce as evidenced by Doss (2002) who highlighted that gender based crop preferential patterns exist in areas where irrigation institutions determine women’s choice of crops by giving them a preference to intensive crops comprising vegetable cultivation for the market; notwithstanding the fact that the decisions regarding the crop choice are taken mainly (if not utterly) by male members. </w:t>
      </w:r>
      <w:bookmarkEnd w:id="11"/>
      <w:bookmarkEnd w:id="12"/>
      <w:bookmarkEnd w:id="13"/>
    </w:p>
    <w:p w14:paraId="06B700EE" w14:textId="77777777" w:rsidR="00C55AC3" w:rsidRPr="00C55AC3" w:rsidRDefault="00C55AC3" w:rsidP="00C55AC3">
      <w:pPr>
        <w:spacing w:after="200" w:line="240"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Historically women and men often worked in distinct spatial arenas, carrying out diverse tasks, described as complementary by Muchena, (1979). In some areas men and women work jointly in agriculture production Mandala, (1990). However, Oboler (1985) argues that males and females may assume the roles of the other gender in certain situations; this fluidity has been facilitated by factors such as accessibility to education and gender sensitive policies. For instance, Hodgson and McCurdy (2001) provides that as a result of male labour migration in Tanzania women have reconfigured their position in marriage by constructing a more self-reliant female identity through adherence to cash crops and changing subsistence into commercial farming. Similarly FAO (2011) showed that women’s independence in farming and the degree to which they exercise their farming rights is largely compromised even when they have land rights under customary law. For instance, Abdelali-Martini and Dey De (2014) also provides that in rural Syria the occurrence of more female agriculture labourers has not contributed to any changes in gender power relations such that women continue to deliver unpaid labour and participate in traditional tasks.</w:t>
      </w:r>
    </w:p>
    <w:p w14:paraId="35AB5000" w14:textId="77777777" w:rsidR="00C55AC3" w:rsidRPr="00C55AC3" w:rsidRDefault="00C55AC3" w:rsidP="00C55AC3">
      <w:pPr>
        <w:keepNext/>
        <w:keepLines/>
        <w:spacing w:before="200" w:after="0" w:line="276" w:lineRule="auto"/>
        <w:jc w:val="both"/>
        <w:outlineLvl w:val="2"/>
        <w:rPr>
          <w:rFonts w:ascii="Times New Roman" w:eastAsia="Times New Roman" w:hAnsi="Times New Roman" w:cs="Times New Roman"/>
          <w:b/>
          <w:bCs/>
          <w:lang w:val="en-ZA"/>
        </w:rPr>
      </w:pPr>
      <w:bookmarkStart w:id="14" w:name="_Toc427137458"/>
      <w:r w:rsidRPr="00C55AC3">
        <w:rPr>
          <w:rFonts w:ascii="Times New Roman" w:eastAsia="Times New Roman" w:hAnsi="Times New Roman" w:cs="Times New Roman"/>
          <w:b/>
          <w:bCs/>
          <w:lang w:val="en-ZA"/>
        </w:rPr>
        <w:t>1.2.2 Ownership and access to productive Resources</w:t>
      </w:r>
      <w:bookmarkEnd w:id="14"/>
      <w:r w:rsidRPr="00C55AC3">
        <w:rPr>
          <w:rFonts w:ascii="Times New Roman" w:eastAsia="Times New Roman" w:hAnsi="Times New Roman" w:cs="Times New Roman"/>
          <w:b/>
          <w:bCs/>
          <w:lang w:val="en-ZA"/>
        </w:rPr>
        <w:t xml:space="preserve"> </w:t>
      </w:r>
    </w:p>
    <w:p w14:paraId="0828E9EB" w14:textId="77777777" w:rsidR="00C55AC3" w:rsidRPr="00C55AC3" w:rsidRDefault="00C55AC3" w:rsidP="00C55AC3">
      <w:pPr>
        <w:spacing w:after="200" w:line="240"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The degree of accessibility and ownership of resources by both men and women determines production in irrigation schemes. Zwarteveen (1997a) specified that productivity and income were greater when both men and women controlled irrigation plots in Burkina Faso. Rodgers (2005) also support this by indicating that control of land provides security for credit--criterion for access to other inputs such as services, seeds fertilizer and agro-chemicals. However, study by Cleaver (2000) has shown that men and women negotiate control of resources with men opting for those that gave them some sort of social presence. More so Kevane (2004) argues that women are disadvantaged in both constitutional and customary land tenancy systems even when legislation destined for solidification of women’s property rights are endorsed, women often lack the expertise or implementation mechanisms to ensure these rights are maintained. As a result, women have less access to both tangible and non-tangible (human capital, social capital and decision making power) assets as given by Peters (1984). This stands as a consequence of what Rao (2013) postulates as influence of policy on resources distribution methods; varying degrees of decentralization and other forms of diversity such as (ethnic, religious and geographic) which continue to differentiate access to resources by men and women.  </w:t>
      </w:r>
    </w:p>
    <w:p w14:paraId="24A28EA6" w14:textId="77777777" w:rsidR="00C55AC3" w:rsidRPr="00C55AC3" w:rsidRDefault="00C55AC3" w:rsidP="00C55AC3">
      <w:pPr>
        <w:spacing w:after="200" w:line="240"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For example, Cleaver (2000) provides that Ethiopian female headed households have much smaller asset base than male headed households hence relative food deficiency bears heavily on women. Bernal (1988) also showed that access to irrigation plots alone was not satisfactory for improving women’s output. To that effect Hallman (2000) contends that women farmers with equal access to productive resources and inputs are as efficient as male farmers or even more and increasing the resources that women control has been shown to increase sustainability of agricultural production. </w:t>
      </w:r>
    </w:p>
    <w:p w14:paraId="0B474B94" w14:textId="77777777" w:rsidR="00C55AC3" w:rsidRPr="00C55AC3" w:rsidRDefault="00C55AC3" w:rsidP="00C55AC3">
      <w:pPr>
        <w:keepNext/>
        <w:keepLines/>
        <w:spacing w:before="200" w:after="0" w:line="276" w:lineRule="auto"/>
        <w:jc w:val="both"/>
        <w:outlineLvl w:val="2"/>
        <w:rPr>
          <w:rFonts w:ascii="Times New Roman" w:eastAsia="Times New Roman" w:hAnsi="Times New Roman" w:cs="Times New Roman"/>
          <w:b/>
          <w:bCs/>
          <w:lang w:val="en-ZA"/>
        </w:rPr>
      </w:pPr>
      <w:bookmarkStart w:id="15" w:name="_Toc427137459"/>
      <w:r w:rsidRPr="00C55AC3">
        <w:rPr>
          <w:rFonts w:ascii="Times New Roman" w:eastAsia="Times New Roman" w:hAnsi="Times New Roman" w:cs="Times New Roman"/>
          <w:b/>
          <w:bCs/>
          <w:lang w:val="en-ZA"/>
        </w:rPr>
        <w:lastRenderedPageBreak/>
        <w:t>1.2.3 Gender and Leadership</w:t>
      </w:r>
      <w:bookmarkEnd w:id="15"/>
    </w:p>
    <w:p w14:paraId="492B1500" w14:textId="77777777" w:rsidR="00C55AC3" w:rsidRPr="00C55AC3" w:rsidRDefault="00C55AC3" w:rsidP="00C55AC3">
      <w:pPr>
        <w:spacing w:after="200" w:line="240"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Community leadership engagement by both men and women influence resource distribution and accessibility. For instance, in rural Hakra in Pakistan, Hamid (2004) reveals that communities have been divided into different sects based on class, caste and gender the powerful and more influential (men) get more benefits of the resources while the women and the poor people in general are marginalized. The World Bank (2006) also indicates that even when quota systems are introduced to ensure that women are involved in irrigation management that may not always be successful unless poor women are targeted specifically; instead wives of wealthy farmers who do not necessarily understand the issues others face are included. However, Zwarteveen and Neupane (1996) shows that women in Nepal’s non-involvement in leadership got their irrigation water needs accommodated to the extent that some would take more water than allowed and less labour for maintenance since their exclusion in decision making would constitutionally immunize them from being held responsible. In some cases women lack necessary skills and confidence to be members of the management team as van der Molen (2001) indicates; women participate less in the activities of irrigation farming in Sri Lanka and felt that it was not their duty to participate actively in consultations but that of men. Similarly, Thumba (2012) provides that in Malawi women recipients in the land acquirement process did not highly participate in drawing the irrigation sketch land use plan because they depend on their male counterparts.    </w:t>
      </w:r>
    </w:p>
    <w:p w14:paraId="14D18F99" w14:textId="77777777" w:rsidR="00C55AC3" w:rsidRPr="00C55AC3" w:rsidRDefault="00C55AC3" w:rsidP="00C55AC3">
      <w:pPr>
        <w:keepNext/>
        <w:keepLines/>
        <w:spacing w:before="200" w:after="0" w:line="276" w:lineRule="auto"/>
        <w:jc w:val="both"/>
        <w:outlineLvl w:val="2"/>
        <w:rPr>
          <w:rFonts w:ascii="Times New Roman" w:eastAsia="Times New Roman" w:hAnsi="Times New Roman" w:cs="Times New Roman"/>
          <w:b/>
          <w:bCs/>
          <w:lang w:val="en-ZA"/>
        </w:rPr>
      </w:pPr>
      <w:bookmarkStart w:id="16" w:name="_Toc427137460"/>
      <w:r w:rsidRPr="00C55AC3">
        <w:rPr>
          <w:rFonts w:ascii="Times New Roman" w:eastAsia="Times New Roman" w:hAnsi="Times New Roman" w:cs="Times New Roman"/>
          <w:b/>
          <w:bCs/>
          <w:lang w:val="en-ZA"/>
        </w:rPr>
        <w:t>1.2.4 Control over Income and Expenditure</w:t>
      </w:r>
      <w:bookmarkEnd w:id="16"/>
    </w:p>
    <w:p w14:paraId="467E97F4" w14:textId="77777777" w:rsidR="00C55AC3" w:rsidRPr="00C55AC3" w:rsidRDefault="00C55AC3" w:rsidP="00C55AC3">
      <w:pPr>
        <w:spacing w:after="200" w:line="240"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Control over income and expenditures by men and women is shaped by the amount of net income generated per unit input (Alkire </w:t>
      </w:r>
      <w:r w:rsidRPr="00C55AC3">
        <w:rPr>
          <w:rFonts w:ascii="Times New Roman" w:eastAsia="Calibri" w:hAnsi="Times New Roman" w:cs="Times New Roman"/>
          <w:i/>
          <w:lang w:val="en-ZA"/>
        </w:rPr>
        <w:t>et al</w:t>
      </w:r>
      <w:r w:rsidRPr="00C55AC3">
        <w:rPr>
          <w:rFonts w:ascii="Times New Roman" w:eastAsia="Calibri" w:hAnsi="Times New Roman" w:cs="Times New Roman"/>
          <w:lang w:val="en-ZA"/>
        </w:rPr>
        <w:t xml:space="preserve">, 2012) and this can be attributed to availability to fair and efficient markets besides shifting from low value to high value produce. Consequently the accessibility of off-farm opportunities (occasionally less for women) influences the amount of income generated and its ultimate control per household (Alkire </w:t>
      </w:r>
      <w:r w:rsidRPr="00C55AC3">
        <w:rPr>
          <w:rFonts w:ascii="Times New Roman" w:eastAsia="Calibri" w:hAnsi="Times New Roman" w:cs="Times New Roman"/>
          <w:i/>
          <w:lang w:val="en-ZA"/>
        </w:rPr>
        <w:t>et al</w:t>
      </w:r>
      <w:r w:rsidRPr="00C55AC3">
        <w:rPr>
          <w:rFonts w:ascii="Times New Roman" w:eastAsia="Calibri" w:hAnsi="Times New Roman" w:cs="Times New Roman"/>
          <w:lang w:val="en-ZA"/>
        </w:rPr>
        <w:t>, 2012). Koopman (1993) indicates that women cultivate their own land, make decisions and control over earnings basically for subsistence crops while men are in control of the cash crops and animals. In support of this view Pitcher (1996) postulates that matrilinity gives women increased control over the income from their plots while men avoid investing in land when their tenure is insecure.</w:t>
      </w:r>
    </w:p>
    <w:p w14:paraId="01984E66" w14:textId="77777777" w:rsidR="00C55AC3" w:rsidRPr="00C55AC3" w:rsidRDefault="00C55AC3" w:rsidP="00C55AC3">
      <w:pPr>
        <w:keepNext/>
        <w:keepLines/>
        <w:spacing w:before="200" w:after="0" w:line="276" w:lineRule="auto"/>
        <w:jc w:val="both"/>
        <w:outlineLvl w:val="2"/>
        <w:rPr>
          <w:rFonts w:ascii="Times New Roman" w:eastAsia="Times New Roman" w:hAnsi="Times New Roman" w:cs="Times New Roman"/>
          <w:b/>
          <w:bCs/>
          <w:lang w:val="en-ZA"/>
        </w:rPr>
      </w:pPr>
      <w:bookmarkStart w:id="17" w:name="_Toc427137461"/>
      <w:r w:rsidRPr="00C55AC3">
        <w:rPr>
          <w:rFonts w:ascii="Times New Roman" w:eastAsia="Times New Roman" w:hAnsi="Times New Roman" w:cs="Times New Roman"/>
          <w:b/>
          <w:bCs/>
          <w:lang w:val="en-ZA"/>
        </w:rPr>
        <w:t>1.2.5 Gender and productive time allocation</w:t>
      </w:r>
      <w:bookmarkEnd w:id="17"/>
    </w:p>
    <w:p w14:paraId="4B0461F7" w14:textId="77777777" w:rsidR="00C55AC3" w:rsidRPr="00C55AC3" w:rsidRDefault="00C55AC3" w:rsidP="00C55AC3">
      <w:pPr>
        <w:spacing w:after="200" w:line="240"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Generally women engage in farming activities daily. Division of labour between men and women and gender specific crop choices may partly govern women and men’s preference for timing and timelines of water provisions as indicated by Zwarteveen (1997). A study by Jones (1983) in Cameroon irrigation project shows that women tried to minimise their time spend in newly irrigated rice crop controlled by their husbands in favour of their exclusively controlled sorghum production. Bastidas (1999) showed that a substantial amount of women participate more in field activities mainly during peak seasons when labour is limited and extra help is needed, others worked in the fields after finishing with household chores. Kusum and Zwarteveen (1994) showed that in Nicaragua there was a marked difference in the time women and men were eager and able to start irrigating their field; women favoured to start later because of domestic duties which they had to perform early in the morning. Irrigation at night was challenging for women because of social norms which prevent them to go out at night some women would send a relative or be escorted (World Bank, 2006). Moreover Kusum and Zwarteveen (1994) provides that in such schemes, married women allocated less labour to their own lower yield plots of sorghum than did independent women (mostly widows) who cultivated both crops on their own.</w:t>
      </w:r>
    </w:p>
    <w:p w14:paraId="022F2271" w14:textId="77777777" w:rsidR="00C55AC3" w:rsidRPr="00C55AC3" w:rsidRDefault="00C55AC3" w:rsidP="00C55AC3">
      <w:pPr>
        <w:keepNext/>
        <w:keepLines/>
        <w:spacing w:before="200" w:after="0" w:line="276" w:lineRule="auto"/>
        <w:jc w:val="both"/>
        <w:outlineLvl w:val="2"/>
        <w:rPr>
          <w:rFonts w:ascii="Times New Roman" w:eastAsia="Times New Roman" w:hAnsi="Times New Roman" w:cs="Times New Roman"/>
          <w:b/>
          <w:bCs/>
          <w:lang w:val="en-ZA"/>
        </w:rPr>
      </w:pPr>
      <w:bookmarkStart w:id="18" w:name="_Toc427137462"/>
      <w:r w:rsidRPr="00C55AC3">
        <w:rPr>
          <w:rFonts w:ascii="Times New Roman" w:eastAsia="Times New Roman" w:hAnsi="Times New Roman" w:cs="Times New Roman"/>
          <w:b/>
          <w:bCs/>
          <w:lang w:val="en-ZA"/>
        </w:rPr>
        <w:t>1.2.7 Sustainability pathways</w:t>
      </w:r>
      <w:bookmarkEnd w:id="18"/>
    </w:p>
    <w:p w14:paraId="65490298" w14:textId="77777777" w:rsidR="00C55AC3" w:rsidRPr="00C55AC3" w:rsidRDefault="00C55AC3" w:rsidP="00C55AC3">
      <w:pPr>
        <w:spacing w:after="200" w:line="240"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There are two faces of sustainable agriculture intensification namely, Capital-led and Labour-led intensification where by the former is described by Diao (2010) comprising of substantial use of non-labour variable inputs such as land conservation infrastructure, organic inputs and chemical inputs and planting of perennials as long term capital security. For instance, in Burkina Faso, Udry (1995) shows that productivity per unit of land on female managed plots was lower than male managed plots from the same household since fertilizer (capital input) was intensively applied on men’s plots.  Carswell (1997) </w:t>
      </w:r>
      <w:r w:rsidRPr="00C55AC3">
        <w:rPr>
          <w:rFonts w:ascii="Times New Roman" w:eastAsia="Calibri" w:hAnsi="Times New Roman" w:cs="Times New Roman"/>
          <w:lang w:val="en-ZA"/>
        </w:rPr>
        <w:lastRenderedPageBreak/>
        <w:t>indicated that this method is sustainable and productive in fragile resource-poor areas. The latter, is characteristic of labour provision by the farmers onto a given unit of land and according to Lele and Stone (1989) utilizes cropping, weeding and harvesting nonetheless has not been sustainable in Southern Africa in the absence of (policy-led) capital intensification. To this effect, World Bank and IFPRI (2010) provides that African women have less access to agriculture extension and hired labour needed for profitable labour intensive cultivation than their male equivalents hence they provide the bulk of the agriculture labour. Such limited access and substantial provision of labour was also observed by Bernal (1988) who indicated that Sudanese widows from selected irrigation land failed to use their plots effectively because they faced great difficulty in hiring labour and gaining agriculture extension advice and inputs. Merrey and Baviskar (1997) also highlighted that women performed majority of the tasks in the rice production. Furthermore, in Malawi, Saito (1991) indicates that women performed 50-70% of all agriculture work. Nonetheless Abdelali-Martini and Dey de Pryck (2014) argues that increasing women labour does not change gender power relations.</w:t>
      </w:r>
    </w:p>
    <w:p w14:paraId="3CF56E3E" w14:textId="77777777" w:rsidR="00C55AC3" w:rsidRPr="00C55AC3" w:rsidRDefault="00C55AC3" w:rsidP="00C55AC3">
      <w:pPr>
        <w:spacing w:after="200" w:line="240" w:lineRule="auto"/>
        <w:jc w:val="both"/>
        <w:rPr>
          <w:rFonts w:ascii="Times New Roman" w:eastAsia="Calibri" w:hAnsi="Times New Roman" w:cs="Times New Roman"/>
          <w:b/>
          <w:lang w:val="en-ZA"/>
        </w:rPr>
      </w:pPr>
      <w:r w:rsidRPr="00C55AC3">
        <w:rPr>
          <w:rFonts w:ascii="Times New Roman" w:eastAsia="Calibri" w:hAnsi="Times New Roman" w:cs="Times New Roman"/>
          <w:lang w:val="en-ZA"/>
        </w:rPr>
        <w:t xml:space="preserve">Gunchinma </w:t>
      </w:r>
      <w:r w:rsidRPr="00C55AC3">
        <w:rPr>
          <w:rFonts w:ascii="Times New Roman" w:eastAsia="Calibri" w:hAnsi="Times New Roman" w:cs="Times New Roman"/>
          <w:i/>
          <w:lang w:val="en-ZA"/>
        </w:rPr>
        <w:t>et al</w:t>
      </w:r>
      <w:r w:rsidRPr="00C55AC3">
        <w:rPr>
          <w:rFonts w:ascii="Times New Roman" w:eastAsia="Calibri" w:hAnsi="Times New Roman" w:cs="Times New Roman"/>
          <w:lang w:val="en-ZA"/>
        </w:rPr>
        <w:t xml:space="preserve"> (2011) unveiled the degree to which existing mechanisms not provision of labour per se determines recognition towards farmers’ contributions to production by gender as illustrated in Water Users Association in Uzbekistan where Soviet inheritance, traditional patriarchal Uzbek values and social economic evolution challenges resulted in women increasingly constituting the bulk of low paid labour force in agriculture (ADB, 2005). Contrary, the assumption that women would be willing to provide labour without compensation under patriarchal system almost led to the collapse of irrigation in Gambia, Carney (1988) provides that these women did not do so since they lacked appropriate compensation. </w:t>
      </w:r>
    </w:p>
    <w:p w14:paraId="2E931605" w14:textId="77777777" w:rsidR="00C55AC3" w:rsidRPr="00C55AC3" w:rsidRDefault="00C55AC3" w:rsidP="00C55AC3">
      <w:pPr>
        <w:spacing w:after="200" w:line="240"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In order to explore contextualized gender relations within irrigation scheme settings the study examines the gender dynamics in theoretically given domains of resource use, access and control in the drylands areas where increased agriculture production is fundamental using a case study approach. It entails to unveil the possible determinants of intensification within the context of gender power struggles that exist between men and women at household level and within irrigation scheme systems. </w:t>
      </w:r>
    </w:p>
    <w:p w14:paraId="5BC07AF5" w14:textId="77777777" w:rsidR="00C55AC3" w:rsidRPr="00C55AC3" w:rsidRDefault="00C55AC3" w:rsidP="00C55AC3">
      <w:pPr>
        <w:keepNext/>
        <w:keepLines/>
        <w:spacing w:before="480" w:after="0" w:line="276" w:lineRule="auto"/>
        <w:outlineLvl w:val="0"/>
        <w:rPr>
          <w:rFonts w:ascii="Times New Roman" w:eastAsia="Times New Roman" w:hAnsi="Times New Roman" w:cs="Times New Roman"/>
          <w:b/>
          <w:bCs/>
          <w:lang w:val="en-ZA" w:eastAsia="en-ZA"/>
        </w:rPr>
      </w:pPr>
      <w:bookmarkStart w:id="19" w:name="_Toc427137463"/>
      <w:r w:rsidRPr="00C55AC3">
        <w:rPr>
          <w:rFonts w:ascii="Times New Roman" w:eastAsia="Times New Roman" w:hAnsi="Times New Roman" w:cs="Times New Roman"/>
          <w:b/>
          <w:lang w:val="en-US"/>
        </w:rPr>
        <w:t xml:space="preserve">2.0 </w:t>
      </w:r>
      <w:r w:rsidRPr="00C55AC3">
        <w:rPr>
          <w:rFonts w:ascii="Times New Roman" w:eastAsia="Times New Roman" w:hAnsi="Times New Roman" w:cs="Times New Roman"/>
          <w:b/>
          <w:bCs/>
          <w:lang w:val="en-ZA" w:eastAsia="en-ZA"/>
        </w:rPr>
        <w:t>Study site</w:t>
      </w:r>
      <w:bookmarkEnd w:id="19"/>
    </w:p>
    <w:p w14:paraId="0239EB3D" w14:textId="77777777" w:rsidR="00C55AC3" w:rsidRPr="00C55AC3" w:rsidRDefault="00C55AC3" w:rsidP="00C55AC3">
      <w:pPr>
        <w:spacing w:after="200" w:line="276" w:lineRule="auto"/>
        <w:rPr>
          <w:rFonts w:ascii="Times New Roman" w:eastAsia="Times New Roman" w:hAnsi="Times New Roman" w:cs="Times New Roman"/>
          <w:lang w:val="en-US"/>
        </w:rPr>
      </w:pPr>
      <w:r w:rsidRPr="00C55AC3">
        <w:rPr>
          <w:rFonts w:ascii="Times New Roman" w:eastAsia="Times New Roman" w:hAnsi="Times New Roman" w:cs="Times New Roman"/>
          <w:lang w:val="en-ZA" w:eastAsia="en-ZA"/>
        </w:rPr>
        <w:t xml:space="preserve">The study focuses on Kaziputa irrigation scheme located in Kandeu area, Ntcheu district positioned in </w:t>
      </w:r>
      <w:r w:rsidRPr="00C55AC3">
        <w:rPr>
          <w:rFonts w:ascii="Times New Roman" w:eastAsia="Times New Roman" w:hAnsi="Times New Roman" w:cs="Times New Roman"/>
          <w:lang w:val="en-US"/>
        </w:rPr>
        <w:t>the South- Central Region of Malawi within the confines of</w:t>
      </w:r>
      <w:r w:rsidRPr="00C55AC3">
        <w:rPr>
          <w:rFonts w:ascii="Times New Roman" w:eastAsia="Times New Roman" w:hAnsi="Times New Roman" w:cs="Times New Roman"/>
          <w:lang w:val="en-ZA" w:eastAsia="en-ZA"/>
        </w:rPr>
        <w:t xml:space="preserve"> Chinyanja Triangle which</w:t>
      </w:r>
      <w:r w:rsidRPr="00C55AC3">
        <w:rPr>
          <w:rFonts w:ascii="Times New Roman" w:eastAsia="Times New Roman" w:hAnsi="Times New Roman" w:cs="Times New Roman"/>
          <w:lang w:val="en-US"/>
        </w:rPr>
        <w:t xml:space="preserve"> borders with Mozambique to the west, Dedza District to the north, Neno to the south, Balaka to the southeast and Mangochi to the northeast. The 8.53 ha scheme was started in 2005 </w:t>
      </w:r>
      <w:r w:rsidRPr="00C55AC3">
        <w:rPr>
          <w:rFonts w:ascii="Times New Roman" w:eastAsia="Times New Roman" w:hAnsi="Times New Roman" w:cs="Times New Roman"/>
          <w:lang w:val="en-ZA" w:eastAsia="en-ZA"/>
        </w:rPr>
        <w:t xml:space="preserve">and has since operated mainly as a self-funded community owned project comprised of 75 irrigators whose principal source of livelihood is agriculture specializing on cereal production particularly maize. Its ecosystem is less conducive for rainfed agriculture hence farmers cultivate less than 0.1 hectare of land—predominantly small holder. </w:t>
      </w:r>
      <w:bookmarkStart w:id="20" w:name="_Toc403844630"/>
      <w:bookmarkStart w:id="21" w:name="_Toc403849087"/>
      <w:r w:rsidRPr="00C55AC3">
        <w:rPr>
          <w:rFonts w:ascii="Times New Roman" w:eastAsia="Calibri" w:hAnsi="Times New Roman" w:cs="Times New Roman"/>
          <w:lang w:val="en-ZA"/>
        </w:rPr>
        <w:t>Ntcheu covers 3424km</w:t>
      </w:r>
      <w:r w:rsidRPr="00C55AC3">
        <w:rPr>
          <w:rFonts w:ascii="Times New Roman" w:eastAsia="Calibri" w:hAnsi="Times New Roman" w:cs="Times New Roman"/>
          <w:vertAlign w:val="superscript"/>
          <w:lang w:val="en-ZA"/>
        </w:rPr>
        <w:t>2</w:t>
      </w:r>
      <w:r w:rsidRPr="00C55AC3">
        <w:rPr>
          <w:rFonts w:ascii="Times New Roman" w:eastAsia="Calibri" w:hAnsi="Times New Roman" w:cs="Times New Roman"/>
          <w:lang w:val="en-ZA"/>
        </w:rPr>
        <w:t xml:space="preserve"> of land and holds a total of 474 464 people of which 226 567 are male while 247897 are female (Malawi National Statistics report 2008). </w:t>
      </w:r>
      <w:r w:rsidRPr="00C55AC3">
        <w:rPr>
          <w:rFonts w:ascii="Times New Roman" w:eastAsia="Times New Roman" w:hAnsi="Times New Roman" w:cs="Times New Roman"/>
          <w:lang w:val="en-ZA" w:eastAsia="en-ZA"/>
        </w:rPr>
        <w:t>The area in which the scheme is located is considered the least irrigated in Southern Africa despite its aridness that is compounded by the prevalence of slightly above average temperatures which mostly ranges from a minimum of 13</w:t>
      </w:r>
      <w:r w:rsidRPr="00C55AC3">
        <w:rPr>
          <w:rFonts w:ascii="Times New Roman" w:eastAsia="Times New Roman" w:hAnsi="Times New Roman" w:cs="Times New Roman"/>
          <w:vertAlign w:val="superscript"/>
          <w:lang w:val="en-ZA" w:eastAsia="en-ZA"/>
        </w:rPr>
        <w:t>0</w:t>
      </w:r>
      <w:r w:rsidRPr="00C55AC3">
        <w:rPr>
          <w:rFonts w:ascii="Times New Roman" w:eastAsia="Times New Roman" w:hAnsi="Times New Roman" w:cs="Times New Roman"/>
          <w:lang w:val="en-ZA" w:eastAsia="en-ZA"/>
        </w:rPr>
        <w:t>C and maximum of 31</w:t>
      </w:r>
      <w:r w:rsidRPr="00C55AC3">
        <w:rPr>
          <w:rFonts w:ascii="Times New Roman" w:eastAsia="Times New Roman" w:hAnsi="Times New Roman" w:cs="Times New Roman"/>
          <w:vertAlign w:val="superscript"/>
          <w:lang w:val="en-ZA" w:eastAsia="en-ZA"/>
        </w:rPr>
        <w:t>0</w:t>
      </w:r>
      <w:r w:rsidRPr="00C55AC3">
        <w:rPr>
          <w:rFonts w:ascii="Times New Roman" w:eastAsia="Times New Roman" w:hAnsi="Times New Roman" w:cs="Times New Roman"/>
          <w:lang w:val="en-ZA" w:eastAsia="en-ZA"/>
        </w:rPr>
        <w:t>C+; receiving very little unreliable rainfall of 1200mm (max). The scheme draws its water from Livulezi River, uphill, through gravity fed system that utilizes canals as water channelling mechanisms to the irrigated plots</w:t>
      </w:r>
      <w:bookmarkEnd w:id="20"/>
      <w:bookmarkEnd w:id="21"/>
      <w:r w:rsidRPr="00C55AC3">
        <w:rPr>
          <w:rFonts w:ascii="Times New Roman" w:eastAsia="Times New Roman" w:hAnsi="Times New Roman" w:cs="Times New Roman"/>
          <w:lang w:val="en-ZA" w:eastAsia="en-ZA"/>
        </w:rPr>
        <w:t xml:space="preserve">. </w:t>
      </w:r>
      <w:r w:rsidRPr="00C55AC3">
        <w:rPr>
          <w:rFonts w:ascii="Times New Roman" w:eastAsia="Times New Roman" w:hAnsi="Times New Roman" w:cs="Times New Roman"/>
          <w:lang w:val="en-US"/>
        </w:rPr>
        <w:t>Fig 1 below shows an overview picture on the location of the EPAs in the district.</w:t>
      </w:r>
      <w:r w:rsidRPr="00C55AC3">
        <w:rPr>
          <w:rFonts w:ascii="Times New Roman" w:eastAsia="Times New Roman" w:hAnsi="Times New Roman" w:cs="Times New Roman"/>
          <w:b/>
          <w:lang w:val="en-ZA" w:eastAsia="en-ZA"/>
        </w:rPr>
        <w:t xml:space="preserve"> </w:t>
      </w:r>
    </w:p>
    <w:p w14:paraId="03023BA9" w14:textId="77777777" w:rsidR="00C55AC3" w:rsidRPr="00C55AC3" w:rsidRDefault="00C55AC3" w:rsidP="00C55AC3">
      <w:pPr>
        <w:keepNext/>
        <w:spacing w:after="200" w:line="240" w:lineRule="auto"/>
        <w:jc w:val="center"/>
        <w:rPr>
          <w:rFonts w:ascii="Times New Roman" w:eastAsia="Calibri" w:hAnsi="Times New Roman" w:cs="Times New Roman"/>
          <w:b/>
          <w:sz w:val="18"/>
          <w:szCs w:val="18"/>
          <w:lang w:val="en-ZA"/>
        </w:rPr>
      </w:pPr>
      <w:r w:rsidRPr="00C55AC3">
        <w:rPr>
          <w:rFonts w:ascii="Times New Roman" w:eastAsia="Calibri" w:hAnsi="Times New Roman" w:cs="Times New Roman"/>
          <w:noProof/>
          <w:lang w:val="en-ZA" w:eastAsia="en-ZA"/>
        </w:rPr>
        <w:lastRenderedPageBreak/>
        <w:drawing>
          <wp:inline distT="0" distB="0" distL="0" distR="0" wp14:anchorId="1DEAAED7" wp14:editId="4F4234C3">
            <wp:extent cx="5710883" cy="2156604"/>
            <wp:effectExtent l="0" t="0" r="4445" b="0"/>
            <wp:docPr id="2" name="Picture 2" descr="C:\Users\C13IWMI2\AppData\Local\Temp\Ntcheu Distri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13IWMI2\AppData\Local\Temp\Ntcheu District.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164393"/>
                    </a:xfrm>
                    <a:prstGeom prst="rect">
                      <a:avLst/>
                    </a:prstGeom>
                    <a:noFill/>
                    <a:ln>
                      <a:noFill/>
                    </a:ln>
                  </pic:spPr>
                </pic:pic>
              </a:graphicData>
            </a:graphic>
          </wp:inline>
        </w:drawing>
      </w:r>
      <w:r w:rsidRPr="00C55AC3">
        <w:rPr>
          <w:rFonts w:ascii="Times New Roman" w:eastAsia="Calibri" w:hAnsi="Times New Roman" w:cs="Times New Roman"/>
          <w:b/>
          <w:sz w:val="18"/>
          <w:szCs w:val="18"/>
          <w:lang w:val="en-ZA"/>
        </w:rPr>
        <w:t xml:space="preserve"> Figure </w:t>
      </w:r>
      <w:r w:rsidRPr="00C55AC3">
        <w:rPr>
          <w:rFonts w:ascii="Times New Roman" w:eastAsia="Calibri" w:hAnsi="Times New Roman" w:cs="Times New Roman"/>
          <w:b/>
          <w:sz w:val="18"/>
          <w:szCs w:val="18"/>
          <w:lang w:val="en-ZA"/>
        </w:rPr>
        <w:fldChar w:fldCharType="begin"/>
      </w:r>
      <w:r w:rsidRPr="00C55AC3">
        <w:rPr>
          <w:rFonts w:ascii="Times New Roman" w:eastAsia="Calibri" w:hAnsi="Times New Roman" w:cs="Times New Roman"/>
          <w:b/>
          <w:sz w:val="18"/>
          <w:szCs w:val="18"/>
          <w:lang w:val="en-ZA"/>
        </w:rPr>
        <w:instrText xml:space="preserve"> SEQ Figure \* ARABIC </w:instrText>
      </w:r>
      <w:r w:rsidRPr="00C55AC3">
        <w:rPr>
          <w:rFonts w:ascii="Times New Roman" w:eastAsia="Calibri" w:hAnsi="Times New Roman" w:cs="Times New Roman"/>
          <w:b/>
          <w:sz w:val="18"/>
          <w:szCs w:val="18"/>
          <w:lang w:val="en-ZA"/>
        </w:rPr>
        <w:fldChar w:fldCharType="separate"/>
      </w:r>
      <w:r w:rsidRPr="00C55AC3">
        <w:rPr>
          <w:rFonts w:ascii="Times New Roman" w:eastAsia="Calibri" w:hAnsi="Times New Roman" w:cs="Times New Roman"/>
          <w:b/>
          <w:noProof/>
          <w:sz w:val="18"/>
          <w:szCs w:val="18"/>
          <w:lang w:val="en-ZA"/>
        </w:rPr>
        <w:t>1</w:t>
      </w:r>
      <w:r w:rsidRPr="00C55AC3">
        <w:rPr>
          <w:rFonts w:ascii="Times New Roman" w:eastAsia="Calibri" w:hAnsi="Times New Roman" w:cs="Times New Roman"/>
          <w:b/>
          <w:sz w:val="18"/>
          <w:szCs w:val="18"/>
          <w:lang w:val="en-ZA"/>
        </w:rPr>
        <w:fldChar w:fldCharType="end"/>
      </w:r>
      <w:r w:rsidRPr="00C55AC3">
        <w:rPr>
          <w:rFonts w:ascii="Times New Roman" w:eastAsia="Calibri" w:hAnsi="Times New Roman" w:cs="Times New Roman"/>
          <w:b/>
          <w:sz w:val="18"/>
          <w:szCs w:val="18"/>
          <w:lang w:val="en-ZA"/>
        </w:rPr>
        <w:t>: Case study map of Ntcheu District-Kandeu area</w:t>
      </w:r>
    </w:p>
    <w:p w14:paraId="07B7743A" w14:textId="77777777" w:rsidR="00C55AC3" w:rsidRPr="00C55AC3" w:rsidRDefault="00C55AC3" w:rsidP="00C55AC3">
      <w:pPr>
        <w:keepNext/>
        <w:keepLines/>
        <w:spacing w:before="480" w:after="0" w:line="276" w:lineRule="auto"/>
        <w:outlineLvl w:val="0"/>
        <w:rPr>
          <w:rFonts w:ascii="Times New Roman" w:eastAsia="Times New Roman" w:hAnsi="Times New Roman" w:cs="Times New Roman"/>
          <w:b/>
          <w:lang w:val="en-US"/>
        </w:rPr>
      </w:pPr>
      <w:bookmarkStart w:id="22" w:name="_Toc427137464"/>
      <w:r w:rsidRPr="00C55AC3">
        <w:rPr>
          <w:rFonts w:ascii="Times New Roman" w:eastAsia="Times New Roman" w:hAnsi="Times New Roman" w:cs="Times New Roman"/>
          <w:b/>
          <w:lang w:val="en-US"/>
        </w:rPr>
        <w:t>2.1 Methods</w:t>
      </w:r>
      <w:bookmarkEnd w:id="22"/>
    </w:p>
    <w:p w14:paraId="23F29787" w14:textId="77777777" w:rsidR="00C55AC3" w:rsidRPr="00C55AC3" w:rsidRDefault="00C55AC3" w:rsidP="00C55AC3">
      <w:pPr>
        <w:spacing w:after="200" w:line="240" w:lineRule="auto"/>
        <w:jc w:val="both"/>
        <w:rPr>
          <w:rFonts w:ascii="Times New Roman" w:eastAsia="Calibri" w:hAnsi="Times New Roman" w:cs="Times New Roman"/>
          <w:b/>
          <w:bCs/>
          <w:sz w:val="18"/>
          <w:szCs w:val="18"/>
          <w:lang w:val="en-ZA"/>
        </w:rPr>
      </w:pPr>
      <w:r w:rsidRPr="00C55AC3">
        <w:rPr>
          <w:rFonts w:ascii="Times New Roman" w:eastAsia="Times New Roman" w:hAnsi="Times New Roman" w:cs="Times New Roman"/>
          <w:lang w:val="en-US"/>
        </w:rPr>
        <w:t>Using a case study approach; key informant interviews, focus group discussions and non-obtrusive observations were used as the main data collection methods considering the fact that</w:t>
      </w:r>
      <w:r w:rsidRPr="00C55AC3">
        <w:rPr>
          <w:rFonts w:ascii="Times New Roman" w:eastAsia="Calibri" w:hAnsi="Times New Roman" w:cs="Times New Roman"/>
          <w:lang w:val="en-ZA"/>
        </w:rPr>
        <w:t xml:space="preserve"> relative dynamics of gender power relations are better captured and understood through qualitative oriented </w:t>
      </w:r>
      <w:r w:rsidRPr="00C55AC3">
        <w:rPr>
          <w:rFonts w:ascii="Times New Roman" w:eastAsia="Times New Roman" w:hAnsi="Times New Roman" w:cs="Times New Roman"/>
          <w:lang w:val="en-US"/>
        </w:rPr>
        <w:t xml:space="preserve">data collection </w:t>
      </w:r>
      <w:r w:rsidRPr="00C55AC3">
        <w:rPr>
          <w:rFonts w:ascii="Times New Roman" w:eastAsia="Calibri" w:hAnsi="Times New Roman" w:cs="Times New Roman"/>
          <w:lang w:val="en-ZA"/>
        </w:rPr>
        <w:t xml:space="preserve">methods. </w:t>
      </w:r>
      <w:r w:rsidRPr="00C55AC3">
        <w:rPr>
          <w:rFonts w:ascii="Times New Roman" w:eastAsia="Times New Roman" w:hAnsi="Times New Roman" w:cs="Times New Roman"/>
          <w:lang w:val="en-US"/>
        </w:rPr>
        <w:t xml:space="preserve">Representatives from community leaders, agriculture extension workers, village heads and representatives from the irrigation management committees and clubs participated as the key informants who acted as windows through which community knowledge on gender and resource access and control could be accessed. Interviews were also conducted with irrigators and non-irrigators to get understanding of the different strategies used by male and female farmers to increase food production. The interviewer had to engage with the farmers during community events and observed gender patterns of interaction sub-blatantly to capture gender power relations involved in community leadership and group membership.  Seasonal calendars were constructed as a platform to measure both group level and seasonal gender differences in participation in agricultural activities by gender. In order to gather group experiences of both men and women; </w:t>
      </w:r>
      <w:r w:rsidRPr="00C55AC3">
        <w:rPr>
          <w:rFonts w:ascii="Times New Roman" w:eastAsia="Calibri" w:hAnsi="Times New Roman" w:cs="Times New Roman"/>
          <w:lang w:val="en-ZA"/>
        </w:rPr>
        <w:t xml:space="preserve">5 focus group discussions with group membership ranging from 5-13 and stratified into; irrigation managers; village heads; irrigators and non-irrigators members were held. Three of them were mixed (male and female); the other two were single sex representing both gender. The data collection activities were done in 2014. All participants were asked for their consent to participate before the commencement of the study and were guaranteed of their confidentiality through the use of pseudonyms. The incorporation of data from both rainfed and irrigation systems provided an “object background effect” that allowed comparability. In some cases responses were obtained from farmers who practiced both rainfed and irrigation farming. </w:t>
      </w:r>
      <w:r w:rsidRPr="00C55AC3">
        <w:rPr>
          <w:rFonts w:ascii="Times New Roman" w:eastAsia="Times New Roman" w:hAnsi="Times New Roman" w:cs="Times New Roman"/>
          <w:lang w:val="en-US"/>
        </w:rPr>
        <w:t>Some of the participants took part as both key informants and during focus group discussions.</w:t>
      </w:r>
      <w:r w:rsidRPr="00C55AC3">
        <w:rPr>
          <w:rFonts w:ascii="Times New Roman" w:eastAsia="Calibri" w:hAnsi="Times New Roman" w:cs="Times New Roman"/>
          <w:lang w:val="en-ZA"/>
        </w:rPr>
        <w:t xml:space="preserve"> Moreover the scheme was selected as a case study site due to the fact that it is well established and a base line survey was done prior to this study in the same area by IWMI in conjunction CIAT-CGIAR centre in Malawi; where the approach was largely quantitative. Subsequently intra-household micro-dynamics were not well captured such dynamics lie within the interest of this paper. </w:t>
      </w:r>
    </w:p>
    <w:p w14:paraId="2CABECAE" w14:textId="77777777" w:rsidR="00C55AC3" w:rsidRPr="00C55AC3" w:rsidRDefault="00C55AC3" w:rsidP="00C55AC3">
      <w:pPr>
        <w:keepNext/>
        <w:keepLines/>
        <w:spacing w:before="480" w:after="0" w:line="276" w:lineRule="auto"/>
        <w:outlineLvl w:val="0"/>
        <w:rPr>
          <w:rFonts w:ascii="Times New Roman" w:eastAsia="Times New Roman" w:hAnsi="Times New Roman" w:cs="Times New Roman"/>
          <w:b/>
          <w:lang w:val="en-ZA"/>
        </w:rPr>
      </w:pPr>
      <w:bookmarkStart w:id="23" w:name="_Toc427137465"/>
      <w:r w:rsidRPr="00C55AC3">
        <w:rPr>
          <w:rFonts w:ascii="Times New Roman" w:eastAsia="Times New Roman" w:hAnsi="Times New Roman" w:cs="Times New Roman"/>
          <w:b/>
          <w:lang w:val="en-US"/>
        </w:rPr>
        <w:t>3.0 Results</w:t>
      </w:r>
      <w:bookmarkEnd w:id="23"/>
    </w:p>
    <w:p w14:paraId="5AA3A048" w14:textId="77777777" w:rsidR="00C55AC3" w:rsidRPr="00C55AC3" w:rsidRDefault="00C55AC3" w:rsidP="00C55AC3">
      <w:pPr>
        <w:keepNext/>
        <w:keepLines/>
        <w:spacing w:before="200" w:after="0" w:line="276" w:lineRule="auto"/>
        <w:jc w:val="both"/>
        <w:outlineLvl w:val="2"/>
        <w:rPr>
          <w:rFonts w:ascii="Times New Roman" w:eastAsia="Times New Roman" w:hAnsi="Times New Roman" w:cs="Times New Roman"/>
          <w:b/>
          <w:bCs/>
          <w:color w:val="4F81BD"/>
          <w:lang w:val="en-ZA"/>
        </w:rPr>
      </w:pPr>
      <w:bookmarkStart w:id="24" w:name="_Toc427137466"/>
      <w:r w:rsidRPr="00C55AC3">
        <w:rPr>
          <w:rFonts w:ascii="Times New Roman" w:eastAsia="Times New Roman" w:hAnsi="Times New Roman" w:cs="Times New Roman"/>
          <w:b/>
          <w:bCs/>
          <w:lang w:val="en-ZA"/>
        </w:rPr>
        <w:t>3.1.0 Farming methods used by gender</w:t>
      </w:r>
      <w:bookmarkEnd w:id="24"/>
    </w:p>
    <w:p w14:paraId="5248D886" w14:textId="77777777" w:rsidR="00C55AC3" w:rsidRPr="00C55AC3" w:rsidRDefault="00C55AC3" w:rsidP="00C55AC3">
      <w:pPr>
        <w:spacing w:after="200" w:line="240"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In Kandeu area farming methods are gendered. The Kaziputa irrigation scheme which was the epicentre of the study, comprises of 75 irrigators of which 19 are male and 56 are female. This shows percentage scheme membership representation disparity of 75 percent female and 25 percent male which is quite substantial.   The findings in fig 2 below shows that men are inclined more to capital-led intensification while women dominate in the labour-led intensification irrespective of plot location (irrigator/non-irrigator).</w:t>
      </w:r>
    </w:p>
    <w:p w14:paraId="4FA77BDF" w14:textId="77777777" w:rsidR="00C55AC3" w:rsidRPr="00C55AC3" w:rsidRDefault="00C55AC3" w:rsidP="00C55AC3">
      <w:pPr>
        <w:keepNext/>
        <w:spacing w:after="200" w:line="240" w:lineRule="auto"/>
        <w:jc w:val="center"/>
        <w:rPr>
          <w:rFonts w:ascii="Calibri" w:eastAsia="Calibri" w:hAnsi="Calibri" w:cs="Times New Roman"/>
          <w:lang w:val="en-ZA"/>
        </w:rPr>
      </w:pPr>
      <w:r w:rsidRPr="00C55AC3">
        <w:rPr>
          <w:rFonts w:ascii="Times New Roman" w:eastAsia="Calibri" w:hAnsi="Times New Roman" w:cs="Times New Roman"/>
          <w:b/>
          <w:bCs/>
          <w:noProof/>
          <w:color w:val="000000"/>
          <w:sz w:val="18"/>
          <w:szCs w:val="18"/>
          <w:lang w:val="en-ZA" w:eastAsia="en-ZA"/>
        </w:rPr>
        <w:lastRenderedPageBreak/>
        <w:drawing>
          <wp:inline distT="0" distB="0" distL="0" distR="0" wp14:anchorId="39EF01B2" wp14:editId="2120CFE0">
            <wp:extent cx="5486400" cy="1914525"/>
            <wp:effectExtent l="0" t="0" r="1905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Pr="00C55AC3">
        <w:rPr>
          <w:rFonts w:ascii="Times New Roman" w:eastAsia="Calibri" w:hAnsi="Times New Roman" w:cs="Times New Roman"/>
          <w:b/>
          <w:sz w:val="18"/>
          <w:szCs w:val="18"/>
          <w:lang w:val="en-ZA"/>
        </w:rPr>
        <w:t xml:space="preserve"> Figure </w:t>
      </w:r>
      <w:r w:rsidRPr="00C55AC3">
        <w:rPr>
          <w:rFonts w:ascii="Times New Roman" w:eastAsia="Calibri" w:hAnsi="Times New Roman" w:cs="Times New Roman"/>
          <w:b/>
          <w:sz w:val="18"/>
          <w:szCs w:val="18"/>
          <w:lang w:val="en-ZA"/>
        </w:rPr>
        <w:fldChar w:fldCharType="begin"/>
      </w:r>
      <w:r w:rsidRPr="00C55AC3">
        <w:rPr>
          <w:rFonts w:ascii="Times New Roman" w:eastAsia="Calibri" w:hAnsi="Times New Roman" w:cs="Times New Roman"/>
          <w:b/>
          <w:sz w:val="18"/>
          <w:szCs w:val="18"/>
          <w:lang w:val="en-ZA"/>
        </w:rPr>
        <w:instrText xml:space="preserve"> SEQ Figure \* ARABIC </w:instrText>
      </w:r>
      <w:r w:rsidRPr="00C55AC3">
        <w:rPr>
          <w:rFonts w:ascii="Times New Roman" w:eastAsia="Calibri" w:hAnsi="Times New Roman" w:cs="Times New Roman"/>
          <w:b/>
          <w:sz w:val="18"/>
          <w:szCs w:val="18"/>
          <w:lang w:val="en-ZA"/>
        </w:rPr>
        <w:fldChar w:fldCharType="separate"/>
      </w:r>
      <w:r w:rsidRPr="00C55AC3">
        <w:rPr>
          <w:rFonts w:ascii="Times New Roman" w:eastAsia="Calibri" w:hAnsi="Times New Roman" w:cs="Times New Roman"/>
          <w:b/>
          <w:noProof/>
          <w:sz w:val="18"/>
          <w:szCs w:val="18"/>
          <w:lang w:val="en-ZA"/>
        </w:rPr>
        <w:t>2</w:t>
      </w:r>
      <w:r w:rsidRPr="00C55AC3">
        <w:rPr>
          <w:rFonts w:ascii="Times New Roman" w:eastAsia="Calibri" w:hAnsi="Times New Roman" w:cs="Times New Roman"/>
          <w:b/>
          <w:sz w:val="18"/>
          <w:szCs w:val="18"/>
          <w:lang w:val="en-ZA"/>
        </w:rPr>
        <w:fldChar w:fldCharType="end"/>
      </w:r>
      <w:r w:rsidRPr="00C55AC3">
        <w:rPr>
          <w:rFonts w:ascii="Times New Roman" w:eastAsia="Calibri" w:hAnsi="Times New Roman" w:cs="Times New Roman"/>
          <w:b/>
          <w:sz w:val="18"/>
          <w:szCs w:val="18"/>
          <w:lang w:val="en-ZA"/>
        </w:rPr>
        <w:t>: Intensification methods by gender</w:t>
      </w:r>
    </w:p>
    <w:p w14:paraId="67480921" w14:textId="77777777" w:rsidR="00C55AC3" w:rsidRPr="00C55AC3" w:rsidRDefault="00C55AC3" w:rsidP="00C55AC3">
      <w:pPr>
        <w:spacing w:after="200" w:line="240" w:lineRule="auto"/>
        <w:jc w:val="both"/>
        <w:rPr>
          <w:rFonts w:ascii="Times New Roman" w:eastAsia="Calibri" w:hAnsi="Times New Roman" w:cs="Times New Roman"/>
          <w:b/>
          <w:bCs/>
          <w:color w:val="000000"/>
          <w:sz w:val="18"/>
          <w:szCs w:val="18"/>
          <w:lang w:val="en-ZA"/>
        </w:rPr>
      </w:pPr>
      <w:r w:rsidRPr="00C55AC3">
        <w:rPr>
          <w:rFonts w:ascii="Times New Roman" w:eastAsia="Calibri" w:hAnsi="Times New Roman" w:cs="Times New Roman"/>
          <w:lang w:val="en-ZA"/>
        </w:rPr>
        <w:t>Overall women contribute 71% towards labour-led agriculture intensification while men contribute only 29% of this labour. Due to their high numerical representation women make the bulk of famers who apply labour intensive practices in the irrigation scheme hence are more acclimatized to labour-led intensification which however is known to produce low yields. Male investment in capital-led intensification amounts to 64% while women only have 36% level of contribution in that area as shown in fig 2 above. This could be attributed to the fact that men in Kandeu have more knowledge and access to physical inputs than women. Such differences in intensification practices between men and women explain the poverty gap observed in Ntcheu district.</w:t>
      </w:r>
    </w:p>
    <w:p w14:paraId="51931F23" w14:textId="77777777" w:rsidR="00C55AC3" w:rsidRPr="00C55AC3" w:rsidRDefault="00C55AC3" w:rsidP="00C55AC3">
      <w:pPr>
        <w:spacing w:after="200" w:line="240"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Table 1 below shows both irrigators and non-irrigators farming method affinity pattern by gender.  Men dominate in practices such as use of herbicides, mulching/retention of crop residues and fertilizer use with a frequency use above average reflective of 64%, 56% and 62% respectively. Though some women reported having utilized some of these practices in their plots, as indicated by Mrs Maluti on 24 October 2014 saying, </w:t>
      </w:r>
    </w:p>
    <w:p w14:paraId="141E6DFD" w14:textId="77777777" w:rsidR="00C55AC3" w:rsidRPr="00C55AC3" w:rsidRDefault="00C55AC3" w:rsidP="00C55AC3">
      <w:pPr>
        <w:spacing w:after="200" w:line="240" w:lineRule="auto"/>
        <w:ind w:firstLine="720"/>
        <w:jc w:val="both"/>
        <w:rPr>
          <w:rFonts w:ascii="Times New Roman" w:eastAsia="Calibri" w:hAnsi="Times New Roman" w:cs="Times New Roman"/>
          <w:lang w:val="en-ZA"/>
        </w:rPr>
      </w:pPr>
      <w:r w:rsidRPr="00C55AC3">
        <w:rPr>
          <w:rFonts w:ascii="Times New Roman" w:eastAsia="Calibri" w:hAnsi="Times New Roman" w:cs="Times New Roman"/>
          <w:lang w:val="en-ZA"/>
        </w:rPr>
        <w:t>“</w:t>
      </w:r>
      <w:r w:rsidRPr="00C55AC3">
        <w:rPr>
          <w:rFonts w:ascii="Times New Roman" w:eastAsia="Calibri" w:hAnsi="Times New Roman" w:cs="Times New Roman"/>
          <w:i/>
          <w:lang w:val="en-ZA"/>
        </w:rPr>
        <w:t>We practice mulching, tree planting and crop residue incorporation</w:t>
      </w:r>
      <w:r w:rsidRPr="00C55AC3">
        <w:rPr>
          <w:rFonts w:ascii="Times New Roman" w:eastAsia="Calibri" w:hAnsi="Times New Roman" w:cs="Times New Roman"/>
          <w:lang w:val="en-ZA"/>
        </w:rPr>
        <w:t xml:space="preserve">”. </w:t>
      </w:r>
    </w:p>
    <w:p w14:paraId="6E6E4871" w14:textId="77777777" w:rsidR="00C55AC3" w:rsidRPr="00C55AC3" w:rsidRDefault="00C55AC3" w:rsidP="00C55AC3">
      <w:pPr>
        <w:spacing w:after="200" w:line="240"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Nonetheless their involvement is not substantial. On the other hand women show proficiency in a practice such as crop rotation (55%) and intercropping (69%) which crop centred practices even though intercropping is still very low and is still in its budding stage in the area.  Practices such as ridging are generally practiced by both male and female farmers however women appear to be on the lead with a 72% involvement as a result of their high representation as primary plot holders. Interestingly, women make 69% of those who use manure in their plots however often times the manure preparation process is done more by men than by women which shows an element of complementarity between men and women farmers in other aspects of intensification.</w:t>
      </w:r>
    </w:p>
    <w:tbl>
      <w:tblPr>
        <w:tblStyle w:val="TableGrid"/>
        <w:tblW w:w="0" w:type="auto"/>
        <w:tblLook w:val="04A0" w:firstRow="1" w:lastRow="0" w:firstColumn="1" w:lastColumn="0" w:noHBand="0" w:noVBand="1"/>
      </w:tblPr>
      <w:tblGrid>
        <w:gridCol w:w="3012"/>
        <w:gridCol w:w="3002"/>
        <w:gridCol w:w="3002"/>
      </w:tblGrid>
      <w:tr w:rsidR="00C55AC3" w:rsidRPr="00C55AC3" w14:paraId="11C1B458" w14:textId="77777777" w:rsidTr="00621D98">
        <w:tc>
          <w:tcPr>
            <w:tcW w:w="3080" w:type="dxa"/>
          </w:tcPr>
          <w:p w14:paraId="17DE0679"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t>Farming method</w:t>
            </w:r>
          </w:p>
        </w:tc>
        <w:tc>
          <w:tcPr>
            <w:tcW w:w="3081" w:type="dxa"/>
          </w:tcPr>
          <w:p w14:paraId="3BAB0754"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t>Male farmers</w:t>
            </w:r>
          </w:p>
        </w:tc>
        <w:tc>
          <w:tcPr>
            <w:tcW w:w="3081" w:type="dxa"/>
          </w:tcPr>
          <w:p w14:paraId="2B450446"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t>Female farmers</w:t>
            </w:r>
          </w:p>
        </w:tc>
      </w:tr>
      <w:tr w:rsidR="00C55AC3" w:rsidRPr="00C55AC3" w14:paraId="2F32961E" w14:textId="77777777" w:rsidTr="00621D98">
        <w:tc>
          <w:tcPr>
            <w:tcW w:w="3080" w:type="dxa"/>
          </w:tcPr>
          <w:p w14:paraId="4F304F50"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 xml:space="preserve">Minimum soil disturbance (use of herbicides) </w:t>
            </w:r>
          </w:p>
        </w:tc>
        <w:tc>
          <w:tcPr>
            <w:tcW w:w="3081" w:type="dxa"/>
          </w:tcPr>
          <w:p w14:paraId="0B5F8483"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64</w:t>
            </w:r>
          </w:p>
        </w:tc>
        <w:tc>
          <w:tcPr>
            <w:tcW w:w="3081" w:type="dxa"/>
          </w:tcPr>
          <w:p w14:paraId="6A6B3DE6"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36</w:t>
            </w:r>
          </w:p>
        </w:tc>
      </w:tr>
      <w:tr w:rsidR="00C55AC3" w:rsidRPr="00C55AC3" w14:paraId="036024B0" w14:textId="77777777" w:rsidTr="00621D98">
        <w:tc>
          <w:tcPr>
            <w:tcW w:w="3080" w:type="dxa"/>
          </w:tcPr>
          <w:p w14:paraId="42B5D683"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Retention of crop residues</w:t>
            </w:r>
          </w:p>
        </w:tc>
        <w:tc>
          <w:tcPr>
            <w:tcW w:w="3081" w:type="dxa"/>
          </w:tcPr>
          <w:p w14:paraId="54F342B8"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56</w:t>
            </w:r>
          </w:p>
        </w:tc>
        <w:tc>
          <w:tcPr>
            <w:tcW w:w="3081" w:type="dxa"/>
          </w:tcPr>
          <w:p w14:paraId="13537299"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44</w:t>
            </w:r>
          </w:p>
        </w:tc>
      </w:tr>
      <w:tr w:rsidR="00C55AC3" w:rsidRPr="00C55AC3" w14:paraId="32701724" w14:textId="77777777" w:rsidTr="00621D98">
        <w:tc>
          <w:tcPr>
            <w:tcW w:w="3080" w:type="dxa"/>
          </w:tcPr>
          <w:p w14:paraId="1A6C23E5"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Crop rotation</w:t>
            </w:r>
          </w:p>
        </w:tc>
        <w:tc>
          <w:tcPr>
            <w:tcW w:w="3081" w:type="dxa"/>
          </w:tcPr>
          <w:p w14:paraId="41A9C542"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45</w:t>
            </w:r>
          </w:p>
        </w:tc>
        <w:tc>
          <w:tcPr>
            <w:tcW w:w="3081" w:type="dxa"/>
          </w:tcPr>
          <w:p w14:paraId="2901503E"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55</w:t>
            </w:r>
          </w:p>
        </w:tc>
      </w:tr>
      <w:tr w:rsidR="00C55AC3" w:rsidRPr="00C55AC3" w14:paraId="4C185FB7" w14:textId="77777777" w:rsidTr="00621D98">
        <w:tc>
          <w:tcPr>
            <w:tcW w:w="3080" w:type="dxa"/>
          </w:tcPr>
          <w:p w14:paraId="113497E6"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Intercropping</w:t>
            </w:r>
          </w:p>
        </w:tc>
        <w:tc>
          <w:tcPr>
            <w:tcW w:w="3081" w:type="dxa"/>
          </w:tcPr>
          <w:p w14:paraId="29B40189"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31</w:t>
            </w:r>
          </w:p>
        </w:tc>
        <w:tc>
          <w:tcPr>
            <w:tcW w:w="3081" w:type="dxa"/>
          </w:tcPr>
          <w:p w14:paraId="79ABBA56"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69</w:t>
            </w:r>
          </w:p>
        </w:tc>
      </w:tr>
      <w:tr w:rsidR="00C55AC3" w:rsidRPr="00C55AC3" w14:paraId="2FE565F7" w14:textId="77777777" w:rsidTr="00621D98">
        <w:tc>
          <w:tcPr>
            <w:tcW w:w="3080" w:type="dxa"/>
          </w:tcPr>
          <w:p w14:paraId="5E1CCDAA"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Ridging</w:t>
            </w:r>
          </w:p>
        </w:tc>
        <w:tc>
          <w:tcPr>
            <w:tcW w:w="3081" w:type="dxa"/>
          </w:tcPr>
          <w:p w14:paraId="120AD8F7"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28</w:t>
            </w:r>
          </w:p>
        </w:tc>
        <w:tc>
          <w:tcPr>
            <w:tcW w:w="3081" w:type="dxa"/>
          </w:tcPr>
          <w:p w14:paraId="453225EA"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72</w:t>
            </w:r>
          </w:p>
        </w:tc>
      </w:tr>
      <w:tr w:rsidR="00C55AC3" w:rsidRPr="00C55AC3" w14:paraId="40FA2CAC" w14:textId="77777777" w:rsidTr="00621D98">
        <w:tc>
          <w:tcPr>
            <w:tcW w:w="3080" w:type="dxa"/>
          </w:tcPr>
          <w:p w14:paraId="0E85740C"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Use of manure</w:t>
            </w:r>
          </w:p>
        </w:tc>
        <w:tc>
          <w:tcPr>
            <w:tcW w:w="3081" w:type="dxa"/>
          </w:tcPr>
          <w:p w14:paraId="30C1B67E"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41</w:t>
            </w:r>
          </w:p>
        </w:tc>
        <w:tc>
          <w:tcPr>
            <w:tcW w:w="3081" w:type="dxa"/>
          </w:tcPr>
          <w:p w14:paraId="1282DA37"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69</w:t>
            </w:r>
          </w:p>
        </w:tc>
      </w:tr>
      <w:tr w:rsidR="00C55AC3" w:rsidRPr="00C55AC3" w14:paraId="2136CE9B" w14:textId="77777777" w:rsidTr="00621D98">
        <w:tc>
          <w:tcPr>
            <w:tcW w:w="3080" w:type="dxa"/>
          </w:tcPr>
          <w:p w14:paraId="5890A144"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Use of fertilizer</w:t>
            </w:r>
          </w:p>
        </w:tc>
        <w:tc>
          <w:tcPr>
            <w:tcW w:w="3081" w:type="dxa"/>
          </w:tcPr>
          <w:p w14:paraId="3F87A54A"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62</w:t>
            </w:r>
          </w:p>
        </w:tc>
        <w:tc>
          <w:tcPr>
            <w:tcW w:w="3081" w:type="dxa"/>
          </w:tcPr>
          <w:p w14:paraId="51DCDDD3"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38</w:t>
            </w:r>
          </w:p>
        </w:tc>
      </w:tr>
    </w:tbl>
    <w:p w14:paraId="4EA0D9D0" w14:textId="77777777" w:rsidR="00C55AC3" w:rsidRPr="00C55AC3" w:rsidRDefault="00C55AC3" w:rsidP="00C55AC3">
      <w:pPr>
        <w:spacing w:after="200" w:line="240" w:lineRule="auto"/>
        <w:jc w:val="center"/>
        <w:rPr>
          <w:rFonts w:ascii="Times New Roman" w:eastAsia="Calibri" w:hAnsi="Times New Roman" w:cs="Times New Roman"/>
          <w:b/>
          <w:bCs/>
          <w:sz w:val="18"/>
          <w:szCs w:val="18"/>
          <w:lang w:val="en-ZA"/>
        </w:rPr>
      </w:pPr>
      <w:r w:rsidRPr="00C55AC3">
        <w:rPr>
          <w:rFonts w:ascii="Times New Roman" w:eastAsia="Calibri" w:hAnsi="Times New Roman" w:cs="Times New Roman"/>
          <w:b/>
          <w:bCs/>
          <w:sz w:val="18"/>
          <w:szCs w:val="18"/>
          <w:lang w:val="en-ZA"/>
        </w:rPr>
        <w:t xml:space="preserve">Table </w:t>
      </w:r>
      <w:r w:rsidRPr="00C55AC3">
        <w:rPr>
          <w:rFonts w:ascii="Times New Roman" w:eastAsia="Calibri" w:hAnsi="Times New Roman" w:cs="Times New Roman"/>
          <w:b/>
          <w:bCs/>
          <w:sz w:val="18"/>
          <w:szCs w:val="18"/>
          <w:lang w:val="en-ZA"/>
        </w:rPr>
        <w:fldChar w:fldCharType="begin"/>
      </w:r>
      <w:r w:rsidRPr="00C55AC3">
        <w:rPr>
          <w:rFonts w:ascii="Times New Roman" w:eastAsia="Calibri" w:hAnsi="Times New Roman" w:cs="Times New Roman"/>
          <w:b/>
          <w:bCs/>
          <w:sz w:val="18"/>
          <w:szCs w:val="18"/>
          <w:lang w:val="en-ZA"/>
        </w:rPr>
        <w:instrText xml:space="preserve"> SEQ Table \* ARABIC </w:instrText>
      </w:r>
      <w:r w:rsidRPr="00C55AC3">
        <w:rPr>
          <w:rFonts w:ascii="Times New Roman" w:eastAsia="Calibri" w:hAnsi="Times New Roman" w:cs="Times New Roman"/>
          <w:b/>
          <w:bCs/>
          <w:sz w:val="18"/>
          <w:szCs w:val="18"/>
          <w:lang w:val="en-ZA"/>
        </w:rPr>
        <w:fldChar w:fldCharType="separate"/>
      </w:r>
      <w:r w:rsidRPr="00C55AC3">
        <w:rPr>
          <w:rFonts w:ascii="Times New Roman" w:eastAsia="Calibri" w:hAnsi="Times New Roman" w:cs="Times New Roman"/>
          <w:b/>
          <w:bCs/>
          <w:noProof/>
          <w:sz w:val="18"/>
          <w:szCs w:val="18"/>
          <w:lang w:val="en-ZA"/>
        </w:rPr>
        <w:t>1</w:t>
      </w:r>
      <w:r w:rsidRPr="00C55AC3">
        <w:rPr>
          <w:rFonts w:ascii="Times New Roman" w:eastAsia="Calibri" w:hAnsi="Times New Roman" w:cs="Times New Roman"/>
          <w:b/>
          <w:bCs/>
          <w:sz w:val="18"/>
          <w:szCs w:val="18"/>
          <w:lang w:val="en-ZA"/>
        </w:rPr>
        <w:fldChar w:fldCharType="end"/>
      </w:r>
      <w:r w:rsidRPr="00C55AC3">
        <w:rPr>
          <w:rFonts w:ascii="Times New Roman" w:eastAsia="Calibri" w:hAnsi="Times New Roman" w:cs="Times New Roman"/>
          <w:b/>
          <w:bCs/>
          <w:sz w:val="18"/>
          <w:szCs w:val="18"/>
          <w:lang w:val="en-ZA"/>
        </w:rPr>
        <w:t>: Farming methods used in Kandeu area</w:t>
      </w:r>
    </w:p>
    <w:p w14:paraId="0BD0E1AC" w14:textId="77777777" w:rsidR="00C55AC3" w:rsidRPr="00C55AC3" w:rsidRDefault="00C55AC3" w:rsidP="00C55AC3">
      <w:pPr>
        <w:spacing w:after="200" w:line="240"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Farmers in the drylands areas have limited ownership of livestock hence the crop-livestock integration practices as intensification mechanisms are still lagging and this narrows their diversification spectrum consequently trimming their degree of success in sustainable agriculture intensification. </w:t>
      </w:r>
    </w:p>
    <w:p w14:paraId="676E468B" w14:textId="77777777" w:rsidR="00C55AC3" w:rsidRPr="00C55AC3" w:rsidRDefault="00C55AC3" w:rsidP="00C55AC3">
      <w:pPr>
        <w:keepNext/>
        <w:keepLines/>
        <w:spacing w:before="200" w:after="0" w:line="276" w:lineRule="auto"/>
        <w:jc w:val="both"/>
        <w:outlineLvl w:val="2"/>
        <w:rPr>
          <w:rFonts w:ascii="Times New Roman" w:eastAsia="Times New Roman" w:hAnsi="Times New Roman" w:cs="Times New Roman"/>
          <w:b/>
          <w:bCs/>
          <w:lang w:val="en-ZA"/>
        </w:rPr>
      </w:pPr>
      <w:bookmarkStart w:id="25" w:name="_Toc427137467"/>
      <w:r w:rsidRPr="00C55AC3">
        <w:rPr>
          <w:rFonts w:ascii="Times New Roman" w:eastAsia="Times New Roman" w:hAnsi="Times New Roman" w:cs="Times New Roman"/>
          <w:b/>
          <w:bCs/>
          <w:lang w:val="en-ZA"/>
        </w:rPr>
        <w:t>3.1.1 Allocation of resources</w:t>
      </w:r>
      <w:bookmarkEnd w:id="25"/>
    </w:p>
    <w:p w14:paraId="0C953225" w14:textId="77777777" w:rsidR="00C55AC3" w:rsidRPr="00C55AC3" w:rsidRDefault="00C55AC3" w:rsidP="00C55AC3">
      <w:pPr>
        <w:numPr>
          <w:ilvl w:val="0"/>
          <w:numId w:val="1"/>
        </w:numPr>
        <w:spacing w:after="200" w:line="276" w:lineRule="auto"/>
        <w:contextualSpacing/>
        <w:jc w:val="both"/>
        <w:rPr>
          <w:rFonts w:ascii="Times New Roman" w:eastAsia="Calibri" w:hAnsi="Times New Roman" w:cs="Times New Roman"/>
          <w:b/>
          <w:lang w:val="en-ZA"/>
        </w:rPr>
      </w:pPr>
      <w:r w:rsidRPr="00C55AC3">
        <w:rPr>
          <w:rFonts w:ascii="Times New Roman" w:eastAsia="Calibri" w:hAnsi="Times New Roman" w:cs="Times New Roman"/>
          <w:b/>
          <w:lang w:val="en-ZA"/>
        </w:rPr>
        <w:t>Land allocation in the irrigation scheme</w:t>
      </w:r>
    </w:p>
    <w:p w14:paraId="52B15B48" w14:textId="77777777" w:rsidR="00C55AC3" w:rsidRPr="00C55AC3" w:rsidRDefault="00C55AC3" w:rsidP="00C55AC3">
      <w:pPr>
        <w:spacing w:after="200" w:line="276" w:lineRule="auto"/>
        <w:contextualSpacing/>
        <w:jc w:val="both"/>
        <w:rPr>
          <w:rFonts w:ascii="Times New Roman" w:eastAsia="Calibri" w:hAnsi="Times New Roman" w:cs="Times New Roman"/>
          <w:lang w:val="en-ZA"/>
        </w:rPr>
      </w:pPr>
    </w:p>
    <w:p w14:paraId="7907A894" w14:textId="77777777" w:rsidR="00C55AC3" w:rsidRPr="00C55AC3" w:rsidRDefault="00C55AC3" w:rsidP="00C55AC3">
      <w:pPr>
        <w:spacing w:after="200" w:line="276" w:lineRule="auto"/>
        <w:contextualSpacing/>
        <w:jc w:val="both"/>
        <w:rPr>
          <w:rFonts w:ascii="Times New Roman" w:eastAsia="Calibri" w:hAnsi="Times New Roman" w:cs="Times New Roman"/>
          <w:lang w:val="en-ZA"/>
        </w:rPr>
      </w:pPr>
      <w:r w:rsidRPr="00C55AC3">
        <w:rPr>
          <w:rFonts w:ascii="Times New Roman" w:eastAsia="Calibri" w:hAnsi="Times New Roman" w:cs="Times New Roman"/>
          <w:lang w:val="en-ZA"/>
        </w:rPr>
        <w:t>Short term tenure is mainly observed within the Kaziputa irrigation scheme with average irrigation plot size of approximately 0.1 ha for both men and women. The irrigation scheme plot register shows that out of 75 names 57 of them are women, which is an indication to the fact that irrigation plots are registered in the woman’s name</w:t>
      </w:r>
      <w:r w:rsidRPr="00C55AC3">
        <w:rPr>
          <w:rFonts w:ascii="Times New Roman" w:eastAsia="Calibri" w:hAnsi="Times New Roman" w:cs="Times New Roman"/>
          <w:vertAlign w:val="superscript"/>
          <w:lang w:val="en-ZA"/>
        </w:rPr>
        <w:footnoteReference w:id="1"/>
      </w:r>
      <w:r w:rsidRPr="00C55AC3">
        <w:rPr>
          <w:rFonts w:ascii="Times New Roman" w:eastAsia="Calibri" w:hAnsi="Times New Roman" w:cs="Times New Roman"/>
          <w:lang w:val="en-ZA"/>
        </w:rPr>
        <w:t>. At community level more women own land</w:t>
      </w:r>
      <w:r w:rsidRPr="00C55AC3">
        <w:rPr>
          <w:rFonts w:ascii="Times New Roman" w:eastAsia="Calibri" w:hAnsi="Times New Roman" w:cs="Times New Roman"/>
          <w:vertAlign w:val="superscript"/>
          <w:lang w:val="en-ZA"/>
        </w:rPr>
        <w:footnoteReference w:id="2"/>
      </w:r>
      <w:r w:rsidRPr="00C55AC3">
        <w:rPr>
          <w:rFonts w:ascii="Times New Roman" w:eastAsia="Calibri" w:hAnsi="Times New Roman" w:cs="Times New Roman"/>
          <w:lang w:val="en-ZA"/>
        </w:rPr>
        <w:t xml:space="preserve"> and water than men; moreover the scheme committee which controls allocation of resources in the scheme has more women than men at a ratio of four women: 1 men.  Resultantly women participate more as allocators of land and are also the majority beneficiaries of land resources since they comprise 75% of the scheme plot holders. The presence of women as both allocators and beneficiaries tightens their degree of resource control by having strong representation at very point of where land resource management is done. </w:t>
      </w:r>
    </w:p>
    <w:p w14:paraId="35DB2449" w14:textId="77777777" w:rsidR="00C55AC3" w:rsidRPr="00C55AC3" w:rsidRDefault="00C55AC3" w:rsidP="00C55AC3">
      <w:pPr>
        <w:spacing w:after="200" w:line="276" w:lineRule="auto"/>
        <w:contextualSpacing/>
        <w:jc w:val="both"/>
        <w:rPr>
          <w:rFonts w:ascii="Times New Roman" w:eastAsia="Calibri" w:hAnsi="Times New Roman" w:cs="Times New Roman"/>
          <w:lang w:val="en-ZA"/>
        </w:rPr>
      </w:pPr>
    </w:p>
    <w:p w14:paraId="330BDB5D" w14:textId="77777777" w:rsidR="00C55AC3" w:rsidRPr="00C55AC3" w:rsidRDefault="00C55AC3" w:rsidP="00C55AC3">
      <w:pPr>
        <w:spacing w:after="200" w:line="276" w:lineRule="auto"/>
        <w:contextualSpacing/>
        <w:jc w:val="both"/>
        <w:rPr>
          <w:rFonts w:ascii="Times New Roman" w:eastAsia="Calibri" w:hAnsi="Times New Roman" w:cs="Times New Roman"/>
          <w:lang w:val="en-ZA"/>
        </w:rPr>
      </w:pPr>
      <w:r w:rsidRPr="00C55AC3">
        <w:rPr>
          <w:rFonts w:ascii="Times New Roman" w:eastAsia="Calibri" w:hAnsi="Times New Roman" w:cs="Times New Roman"/>
          <w:lang w:val="en-ZA"/>
        </w:rPr>
        <w:t>However the degree of autonomy in controlling land resources in schemes is compromised by the formalization of schemes and the involvement of men as the key decision makers on land issues as traditional leaders, local governance and scheme leaders in a way that gives men a certain amount of influence on land allocation as well. Nonetheless men tend to override women on aspects that have enhancing effects (triggering points) on agriculture such as water allocation where they participate more as maintenance resource persons than women. Such dominance by men in water allocation could be accredited to their perceived ability to manoeuvre, repair and control the flow of water in the irrigation canals.</w:t>
      </w:r>
    </w:p>
    <w:p w14:paraId="68EB4644" w14:textId="77777777" w:rsidR="00C55AC3" w:rsidRPr="00C55AC3" w:rsidRDefault="00C55AC3" w:rsidP="00C55AC3">
      <w:pPr>
        <w:spacing w:after="200" w:line="276" w:lineRule="auto"/>
        <w:contextualSpacing/>
        <w:jc w:val="both"/>
        <w:rPr>
          <w:rFonts w:ascii="Times New Roman" w:eastAsia="Calibri" w:hAnsi="Times New Roman" w:cs="Times New Roman"/>
          <w:lang w:val="en-ZA"/>
        </w:rPr>
      </w:pPr>
    </w:p>
    <w:p w14:paraId="24F3837C" w14:textId="77777777" w:rsidR="00C55AC3" w:rsidRPr="00C55AC3" w:rsidRDefault="00C55AC3" w:rsidP="00C55AC3">
      <w:pPr>
        <w:spacing w:after="200" w:line="276" w:lineRule="auto"/>
        <w:contextualSpacing/>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Farming plots are communally allocated through clubs with membership consisting of 15 farmers per club and women constituting the majority out of the 5 existing clubs. Mrs Fumulo the secretary of the Lithethe club gave a narration on 21 October 2014 highlighting how land is distributed in the scheme, </w:t>
      </w:r>
    </w:p>
    <w:p w14:paraId="2D07EB4A" w14:textId="77777777" w:rsidR="00C55AC3" w:rsidRPr="00C55AC3" w:rsidRDefault="00C55AC3" w:rsidP="00C55AC3">
      <w:pPr>
        <w:spacing w:after="200" w:line="276" w:lineRule="auto"/>
        <w:contextualSpacing/>
        <w:jc w:val="both"/>
        <w:rPr>
          <w:rFonts w:ascii="Times New Roman" w:eastAsia="Calibri" w:hAnsi="Times New Roman" w:cs="Times New Roman"/>
          <w:b/>
          <w:lang w:val="en-ZA"/>
        </w:rPr>
      </w:pPr>
    </w:p>
    <w:p w14:paraId="23DA350D" w14:textId="77777777" w:rsidR="00C55AC3" w:rsidRPr="00C55AC3" w:rsidRDefault="00C55AC3" w:rsidP="00C55AC3">
      <w:pPr>
        <w:spacing w:after="200" w:line="276" w:lineRule="auto"/>
        <w:ind w:left="720"/>
        <w:jc w:val="both"/>
        <w:rPr>
          <w:rFonts w:ascii="Times New Roman" w:eastAsia="Calibri" w:hAnsi="Times New Roman" w:cs="Times New Roman"/>
          <w:lang w:val="en-ZA"/>
        </w:rPr>
      </w:pPr>
      <w:r w:rsidRPr="00C55AC3">
        <w:rPr>
          <w:rFonts w:ascii="Times New Roman" w:eastAsia="Calibri" w:hAnsi="Times New Roman" w:cs="Times New Roman"/>
          <w:lang w:val="en-ZA"/>
        </w:rPr>
        <w:t>“</w:t>
      </w:r>
      <w:r w:rsidRPr="00C55AC3">
        <w:rPr>
          <w:rFonts w:ascii="Times New Roman" w:eastAsia="Calibri" w:hAnsi="Times New Roman" w:cs="Times New Roman"/>
          <w:i/>
          <w:lang w:val="en-ZA"/>
        </w:rPr>
        <w:t>Land is cleared first then basins are constructed. The irrigation management team count the number of basins constructed and then divide by the number of the irrigation members. Land cannot be sold from the irrigation scheme but can only be rented out. Plot allocation for our scheme was done with the village head and mostly targeted women and elderly men</w:t>
      </w:r>
      <w:r w:rsidRPr="00C55AC3">
        <w:rPr>
          <w:rFonts w:ascii="Times New Roman" w:eastAsia="Calibri" w:hAnsi="Times New Roman" w:cs="Times New Roman"/>
          <w:lang w:val="en-ZA"/>
        </w:rPr>
        <w:t xml:space="preserve">”. </w:t>
      </w:r>
    </w:p>
    <w:p w14:paraId="0531EBEC"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A comparison of the scheme non-obtrusive data and statistics reflected by the scheme plot register presented a discrepancy whereby the physically existing plots were more than the recorded plot holders. This mismatch though without substantial difference by gender is attributable to the existence of multiple allocations of plots in the scheme as a result of multiple memberships in any of the five existing clubs. The irrigators are considered </w:t>
      </w:r>
      <w:r w:rsidRPr="00C55AC3">
        <w:rPr>
          <w:rFonts w:ascii="Times New Roman" w:eastAsia="Calibri" w:hAnsi="Times New Roman" w:cs="Times New Roman"/>
          <w:i/>
          <w:lang w:val="en-ZA"/>
        </w:rPr>
        <w:t>dry season tenants</w:t>
      </w:r>
      <w:r w:rsidRPr="00C55AC3">
        <w:rPr>
          <w:rFonts w:ascii="Times New Roman" w:eastAsia="Calibri" w:hAnsi="Times New Roman" w:cs="Times New Roman"/>
          <w:lang w:val="en-ZA"/>
        </w:rPr>
        <w:t xml:space="preserve"> since they use the allocated plots only for the winter cropping whilst paying rent to the principal plot holders (mostly women) who later uses the land for the summer crop as </w:t>
      </w:r>
      <w:r w:rsidRPr="00C55AC3">
        <w:rPr>
          <w:rFonts w:ascii="Times New Roman" w:eastAsia="Calibri" w:hAnsi="Times New Roman" w:cs="Times New Roman"/>
          <w:i/>
          <w:lang w:val="en-ZA"/>
        </w:rPr>
        <w:t>default landholders</w:t>
      </w:r>
      <w:r w:rsidRPr="00C55AC3">
        <w:rPr>
          <w:rFonts w:ascii="Times New Roman" w:eastAsia="Calibri" w:hAnsi="Times New Roman" w:cs="Times New Roman"/>
          <w:lang w:val="en-ZA"/>
        </w:rPr>
        <w:t xml:space="preserve">. This implies that women who by their disposition of being legitimate land holders culturally and having access to the same land freely in summer, despite their being entitled to payment of the scheme joining fees they have multiple benefits from using the land. </w:t>
      </w:r>
    </w:p>
    <w:p w14:paraId="6734790D"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lastRenderedPageBreak/>
        <w:t xml:space="preserve">Contrary, the number of women accessing such benefits is below expected considering the fact that land is generally accessed through matrilineal ties hence should belong to women, nonetheless there are 56 women out of 75 plot holders in the scheme amounting to 75% representation which is far below the expected. This indicates that there is a marked difference of  a fraction of at least 25% from the whole; of women that have shed land to men in the context of growing commercial value for irrigation land (intensifying agriculture); paradoxically such changes can be considered a stride towards gender equality in resources access. Some women farmers view their loss of land as driven by economic and social incapacity as indicated by Ms Mavhuru, on 24 October 2014, </w:t>
      </w:r>
    </w:p>
    <w:p w14:paraId="6314CA07" w14:textId="77777777" w:rsidR="00C55AC3" w:rsidRPr="00C55AC3" w:rsidRDefault="00C55AC3" w:rsidP="00C55AC3">
      <w:pPr>
        <w:spacing w:after="200" w:line="276" w:lineRule="auto"/>
        <w:ind w:left="720"/>
        <w:jc w:val="both"/>
        <w:rPr>
          <w:rFonts w:ascii="Times New Roman" w:eastAsia="Calibri" w:hAnsi="Times New Roman" w:cs="Times New Roman"/>
          <w:lang w:val="en-ZA"/>
        </w:rPr>
      </w:pPr>
      <w:r w:rsidRPr="00C55AC3">
        <w:rPr>
          <w:rFonts w:ascii="Times New Roman" w:eastAsia="Calibri" w:hAnsi="Times New Roman" w:cs="Times New Roman"/>
          <w:lang w:val="en-ZA"/>
        </w:rPr>
        <w:t>“</w:t>
      </w:r>
      <w:r w:rsidRPr="00C55AC3">
        <w:rPr>
          <w:rFonts w:ascii="Times New Roman" w:eastAsia="Calibri" w:hAnsi="Times New Roman" w:cs="Times New Roman"/>
          <w:i/>
          <w:lang w:val="en-ZA"/>
        </w:rPr>
        <w:t>I am not an irrigator but survives on rainfed agriculture because I cannot afford the requirements of the scheme</w:t>
      </w:r>
      <w:r w:rsidRPr="00C55AC3">
        <w:rPr>
          <w:rFonts w:ascii="Times New Roman" w:eastAsia="Calibri" w:hAnsi="Times New Roman" w:cs="Times New Roman"/>
          <w:lang w:val="en-ZA"/>
        </w:rPr>
        <w:t xml:space="preserve">”. </w:t>
      </w:r>
    </w:p>
    <w:p w14:paraId="2F97545F"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Women have been technically marginalized in the allocation of irrigation plots or were forced to abandon them since they could not sustain the intensification of the agriculture production or increasing water fees. Interestingly others have a different view, for instance upon addressing the circumstances alluding to female attrition in irrigation farming, Mrs Chipanda on 27 October 2014 posed an argument embedded with controversy by indicating,</w:t>
      </w:r>
    </w:p>
    <w:p w14:paraId="5B8C9494"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sz w:val="20"/>
          <w:szCs w:val="20"/>
          <w:lang w:val="en-ZA"/>
        </w:rPr>
        <w:t xml:space="preserve"> </w:t>
      </w:r>
      <w:r w:rsidRPr="00C55AC3">
        <w:rPr>
          <w:rFonts w:ascii="Times New Roman" w:eastAsia="Calibri" w:hAnsi="Times New Roman" w:cs="Times New Roman"/>
          <w:sz w:val="20"/>
          <w:szCs w:val="20"/>
          <w:lang w:val="en-ZA"/>
        </w:rPr>
        <w:tab/>
        <w:t xml:space="preserve"> “</w:t>
      </w:r>
      <w:r w:rsidRPr="00C55AC3">
        <w:rPr>
          <w:rFonts w:ascii="Times New Roman" w:eastAsia="Calibri" w:hAnsi="Times New Roman" w:cs="Times New Roman"/>
          <w:i/>
          <w:lang w:val="en-ZA"/>
        </w:rPr>
        <w:t>At times women give away land to men if they are busy with other things</w:t>
      </w:r>
      <w:r w:rsidRPr="00C55AC3">
        <w:rPr>
          <w:rFonts w:ascii="Times New Roman" w:eastAsia="Calibri" w:hAnsi="Times New Roman" w:cs="Times New Roman"/>
          <w:lang w:val="en-ZA"/>
        </w:rPr>
        <w:t xml:space="preserve">”. </w:t>
      </w:r>
    </w:p>
    <w:p w14:paraId="3B2CEA53"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Thus when women lose land it is not always a coercive process but a result of other contributing factors such as those highlighted by the respondent above. This statement is a reflection of how women are circumstantially being gradually elbowed out of having primary use rights to land while men are accruing the </w:t>
      </w:r>
      <w:r w:rsidRPr="00C55AC3">
        <w:rPr>
          <w:rFonts w:ascii="Times New Roman" w:eastAsia="Calibri" w:hAnsi="Times New Roman" w:cs="Times New Roman"/>
          <w:i/>
          <w:lang w:val="en-ZA"/>
        </w:rPr>
        <w:t>de jure</w:t>
      </w:r>
      <w:r w:rsidRPr="00C55AC3">
        <w:rPr>
          <w:rFonts w:ascii="Times New Roman" w:eastAsia="Calibri" w:hAnsi="Times New Roman" w:cs="Times New Roman"/>
          <w:lang w:val="en-ZA"/>
        </w:rPr>
        <w:t xml:space="preserve"> land use rights (legal) through gender inclusive irrigation policies. </w:t>
      </w:r>
    </w:p>
    <w:p w14:paraId="452655F5" w14:textId="77777777" w:rsidR="00C55AC3" w:rsidRPr="00C55AC3" w:rsidRDefault="00C55AC3" w:rsidP="00C55AC3">
      <w:pPr>
        <w:keepNext/>
        <w:keepLines/>
        <w:spacing w:before="200" w:after="0" w:line="276" w:lineRule="auto"/>
        <w:jc w:val="both"/>
        <w:outlineLvl w:val="2"/>
        <w:rPr>
          <w:rFonts w:ascii="Times New Roman" w:eastAsia="Times New Roman" w:hAnsi="Times New Roman" w:cs="Times New Roman"/>
          <w:b/>
          <w:bCs/>
          <w:lang w:val="en-ZA"/>
        </w:rPr>
      </w:pPr>
      <w:bookmarkStart w:id="26" w:name="_Toc427137468"/>
      <w:r w:rsidRPr="00C55AC3">
        <w:rPr>
          <w:rFonts w:ascii="Times New Roman" w:eastAsia="Times New Roman" w:hAnsi="Times New Roman" w:cs="Times New Roman"/>
          <w:b/>
          <w:bCs/>
          <w:lang w:val="en-ZA"/>
        </w:rPr>
        <w:t>3.1.2 Access to agro-inputs and human resources</w:t>
      </w:r>
      <w:bookmarkEnd w:id="26"/>
    </w:p>
    <w:p w14:paraId="6ABC6FBE"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Despite women having a vantage position than men in accessing land resources their degree of accessibility to inputs such as fertilizer, hired out labour, farming equipment, technical expertise and seed that have a catalytic effect on increasing yield is not so high hence strengthening men’s momentum towards achieving intensification sustainably</w:t>
      </w:r>
      <w:r w:rsidRPr="00C55AC3">
        <w:rPr>
          <w:rFonts w:ascii="Times New Roman" w:eastAsia="Calibri" w:hAnsi="Times New Roman" w:cs="Times New Roman"/>
          <w:b/>
          <w:lang w:val="en-ZA"/>
        </w:rPr>
        <w:t xml:space="preserve">.  </w:t>
      </w:r>
      <w:r w:rsidRPr="00C55AC3">
        <w:rPr>
          <w:rFonts w:ascii="Times New Roman" w:eastAsia="Calibri" w:hAnsi="Times New Roman" w:cs="Times New Roman"/>
          <w:lang w:val="en-ZA"/>
        </w:rPr>
        <w:t xml:space="preserve">There is a parallel relationship between women and access to propelling modes of intensification such as physical inputs, equipment and hired labour where women’s degree of access to the mentioned amounts to 31%, 38% and 32% respectively which is remarkably low. Women’s limited access to physical inputs was supported by Mrs Chipanda, on 27 October 2014 who indicated, </w:t>
      </w:r>
    </w:p>
    <w:p w14:paraId="5A17C0C3" w14:textId="77777777" w:rsidR="00C55AC3" w:rsidRPr="00C55AC3" w:rsidRDefault="00C55AC3" w:rsidP="00C55AC3">
      <w:pPr>
        <w:spacing w:after="200" w:line="276" w:lineRule="auto"/>
        <w:ind w:left="720"/>
        <w:jc w:val="both"/>
        <w:rPr>
          <w:rFonts w:ascii="Times New Roman" w:eastAsia="Calibri" w:hAnsi="Times New Roman" w:cs="Times New Roman"/>
          <w:lang w:val="en-ZA"/>
        </w:rPr>
      </w:pPr>
      <w:r w:rsidRPr="00C55AC3">
        <w:rPr>
          <w:rFonts w:ascii="Times New Roman" w:eastAsia="Calibri" w:hAnsi="Times New Roman" w:cs="Times New Roman"/>
          <w:lang w:val="en-ZA"/>
        </w:rPr>
        <w:t>“</w:t>
      </w:r>
      <w:r w:rsidRPr="00C55AC3">
        <w:rPr>
          <w:rFonts w:ascii="Times New Roman" w:eastAsia="Calibri" w:hAnsi="Times New Roman" w:cs="Times New Roman"/>
          <w:i/>
          <w:lang w:val="en-ZA"/>
        </w:rPr>
        <w:t>Inputs such as fertilizer and pesticides were required in the irrigation farming and that women had less access to these inputs</w:t>
      </w:r>
      <w:r w:rsidRPr="00C55AC3">
        <w:rPr>
          <w:rFonts w:ascii="Times New Roman" w:eastAsia="Calibri" w:hAnsi="Times New Roman" w:cs="Times New Roman"/>
          <w:lang w:val="en-ZA"/>
        </w:rPr>
        <w:t xml:space="preserve">”. </w:t>
      </w:r>
    </w:p>
    <w:p w14:paraId="5C4AD287"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Contrary to the statement above the male irrigators gave a different picture by indicating that when it comes to irrigation production women in the irrigation scheme have more access to the resources due to rather circumstantial than fundamental conditions. The male farmers’ remark is a reflection of how gender shapes responsibility and one’s susceptibility to alienation when it comes to access to fundamental resources. Nonetheless influence of the interviewer effects may not be ruled out in shaping the respondent’s perception towards a more socially desirable response considering the fact that the interviewer happened to be female. </w:t>
      </w:r>
    </w:p>
    <w:p w14:paraId="3D7B6F24"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bCs/>
          <w:lang w:val="en-ZA"/>
        </w:rPr>
        <w:t xml:space="preserve">Human resources such as agriculture extension workers are reported accessible to both men and women farmers. The recorded activities reflect that overall, men dominate the agriculture extension services </w:t>
      </w:r>
      <w:r w:rsidRPr="00C55AC3">
        <w:rPr>
          <w:rFonts w:ascii="Times New Roman" w:eastAsia="Calibri" w:hAnsi="Times New Roman" w:cs="Times New Roman"/>
          <w:bCs/>
          <w:lang w:val="en-ZA"/>
        </w:rPr>
        <w:lastRenderedPageBreak/>
        <w:t xml:space="preserve">and hence are positioned to advocate for the interest of the farmers with bias. With respect to access to markets and extension men tend to be in a better position than women as shown below. </w:t>
      </w:r>
    </w:p>
    <w:tbl>
      <w:tblPr>
        <w:tblStyle w:val="TableGrid"/>
        <w:tblW w:w="0" w:type="auto"/>
        <w:tblLook w:val="04A0" w:firstRow="1" w:lastRow="0" w:firstColumn="1" w:lastColumn="0" w:noHBand="0" w:noVBand="1"/>
      </w:tblPr>
      <w:tblGrid>
        <w:gridCol w:w="1268"/>
        <w:gridCol w:w="1333"/>
        <w:gridCol w:w="1323"/>
        <w:gridCol w:w="1357"/>
        <w:gridCol w:w="1299"/>
        <w:gridCol w:w="1376"/>
        <w:gridCol w:w="1060"/>
      </w:tblGrid>
      <w:tr w:rsidR="00C55AC3" w:rsidRPr="00C55AC3" w14:paraId="3200EAB0" w14:textId="77777777" w:rsidTr="00621D98">
        <w:trPr>
          <w:trHeight w:val="425"/>
        </w:trPr>
        <w:tc>
          <w:tcPr>
            <w:tcW w:w="1307" w:type="dxa"/>
          </w:tcPr>
          <w:p w14:paraId="436399B6"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t xml:space="preserve">Inputs </w:t>
            </w:r>
          </w:p>
        </w:tc>
        <w:tc>
          <w:tcPr>
            <w:tcW w:w="1361" w:type="dxa"/>
          </w:tcPr>
          <w:p w14:paraId="5F0CA897"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t>Fertilizer, pesticides and seeds</w:t>
            </w:r>
          </w:p>
        </w:tc>
        <w:tc>
          <w:tcPr>
            <w:tcW w:w="1366" w:type="dxa"/>
          </w:tcPr>
          <w:p w14:paraId="03ACA205"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t>Credit</w:t>
            </w:r>
          </w:p>
        </w:tc>
        <w:tc>
          <w:tcPr>
            <w:tcW w:w="1387" w:type="dxa"/>
          </w:tcPr>
          <w:p w14:paraId="10D04248"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t>Extension worker</w:t>
            </w:r>
          </w:p>
        </w:tc>
        <w:tc>
          <w:tcPr>
            <w:tcW w:w="1332" w:type="dxa"/>
          </w:tcPr>
          <w:p w14:paraId="208B7AEE"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t>Markets</w:t>
            </w:r>
          </w:p>
        </w:tc>
        <w:tc>
          <w:tcPr>
            <w:tcW w:w="1404" w:type="dxa"/>
          </w:tcPr>
          <w:p w14:paraId="21F7CDD6"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t>Farming equipment</w:t>
            </w:r>
          </w:p>
        </w:tc>
        <w:tc>
          <w:tcPr>
            <w:tcW w:w="1085" w:type="dxa"/>
          </w:tcPr>
          <w:p w14:paraId="3AA04842"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t>Hired labour</w:t>
            </w:r>
          </w:p>
        </w:tc>
      </w:tr>
      <w:tr w:rsidR="00C55AC3" w:rsidRPr="00C55AC3" w14:paraId="06C8BD8B" w14:textId="77777777" w:rsidTr="00621D98">
        <w:tc>
          <w:tcPr>
            <w:tcW w:w="1307" w:type="dxa"/>
          </w:tcPr>
          <w:p w14:paraId="68382C30"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Male</w:t>
            </w:r>
          </w:p>
        </w:tc>
        <w:tc>
          <w:tcPr>
            <w:tcW w:w="1361" w:type="dxa"/>
          </w:tcPr>
          <w:p w14:paraId="4E042DDD"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69</w:t>
            </w:r>
          </w:p>
        </w:tc>
        <w:tc>
          <w:tcPr>
            <w:tcW w:w="1366" w:type="dxa"/>
          </w:tcPr>
          <w:p w14:paraId="11605DDD"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43</w:t>
            </w:r>
          </w:p>
        </w:tc>
        <w:tc>
          <w:tcPr>
            <w:tcW w:w="1387" w:type="dxa"/>
          </w:tcPr>
          <w:p w14:paraId="38FDB450"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56</w:t>
            </w:r>
          </w:p>
        </w:tc>
        <w:tc>
          <w:tcPr>
            <w:tcW w:w="1332" w:type="dxa"/>
          </w:tcPr>
          <w:p w14:paraId="77FB3069"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35</w:t>
            </w:r>
          </w:p>
        </w:tc>
        <w:tc>
          <w:tcPr>
            <w:tcW w:w="1404" w:type="dxa"/>
          </w:tcPr>
          <w:p w14:paraId="7A7D13B1"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62</w:t>
            </w:r>
          </w:p>
        </w:tc>
        <w:tc>
          <w:tcPr>
            <w:tcW w:w="1085" w:type="dxa"/>
          </w:tcPr>
          <w:p w14:paraId="2B696EB4"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68</w:t>
            </w:r>
          </w:p>
        </w:tc>
      </w:tr>
      <w:tr w:rsidR="00C55AC3" w:rsidRPr="00C55AC3" w14:paraId="614E6245" w14:textId="77777777" w:rsidTr="00621D98">
        <w:trPr>
          <w:trHeight w:val="379"/>
        </w:trPr>
        <w:tc>
          <w:tcPr>
            <w:tcW w:w="1307" w:type="dxa"/>
          </w:tcPr>
          <w:p w14:paraId="5E1C4247"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Female</w:t>
            </w:r>
          </w:p>
        </w:tc>
        <w:tc>
          <w:tcPr>
            <w:tcW w:w="1361" w:type="dxa"/>
          </w:tcPr>
          <w:p w14:paraId="7D279440"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31</w:t>
            </w:r>
          </w:p>
        </w:tc>
        <w:tc>
          <w:tcPr>
            <w:tcW w:w="1366" w:type="dxa"/>
          </w:tcPr>
          <w:p w14:paraId="726F621E"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57</w:t>
            </w:r>
          </w:p>
        </w:tc>
        <w:tc>
          <w:tcPr>
            <w:tcW w:w="1387" w:type="dxa"/>
          </w:tcPr>
          <w:p w14:paraId="3614174E"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44</w:t>
            </w:r>
          </w:p>
        </w:tc>
        <w:tc>
          <w:tcPr>
            <w:tcW w:w="1332" w:type="dxa"/>
          </w:tcPr>
          <w:p w14:paraId="3BCECF4C"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65</w:t>
            </w:r>
          </w:p>
        </w:tc>
        <w:tc>
          <w:tcPr>
            <w:tcW w:w="1404" w:type="dxa"/>
          </w:tcPr>
          <w:p w14:paraId="07F366C9"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38</w:t>
            </w:r>
          </w:p>
        </w:tc>
        <w:tc>
          <w:tcPr>
            <w:tcW w:w="1085" w:type="dxa"/>
          </w:tcPr>
          <w:p w14:paraId="1FBAEE22"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32</w:t>
            </w:r>
          </w:p>
        </w:tc>
      </w:tr>
    </w:tbl>
    <w:p w14:paraId="171CDBB1" w14:textId="77777777" w:rsidR="00C55AC3" w:rsidRPr="00C55AC3" w:rsidRDefault="00C55AC3" w:rsidP="00C55AC3">
      <w:pPr>
        <w:spacing w:after="200" w:line="240" w:lineRule="auto"/>
        <w:jc w:val="center"/>
        <w:rPr>
          <w:rFonts w:ascii="Times New Roman" w:eastAsia="Calibri" w:hAnsi="Times New Roman" w:cs="Times New Roman"/>
          <w:b/>
          <w:bCs/>
          <w:sz w:val="18"/>
          <w:szCs w:val="18"/>
          <w:lang w:val="en-ZA"/>
        </w:rPr>
      </w:pPr>
      <w:r w:rsidRPr="00C55AC3">
        <w:rPr>
          <w:rFonts w:ascii="Times New Roman" w:eastAsia="Calibri" w:hAnsi="Times New Roman" w:cs="Times New Roman"/>
          <w:b/>
          <w:bCs/>
          <w:sz w:val="18"/>
          <w:szCs w:val="18"/>
          <w:lang w:val="en-ZA"/>
        </w:rPr>
        <w:t xml:space="preserve">Table </w:t>
      </w:r>
      <w:r w:rsidRPr="00C55AC3">
        <w:rPr>
          <w:rFonts w:ascii="Times New Roman" w:eastAsia="Calibri" w:hAnsi="Times New Roman" w:cs="Times New Roman"/>
          <w:b/>
          <w:bCs/>
          <w:sz w:val="18"/>
          <w:szCs w:val="18"/>
          <w:lang w:val="en-ZA"/>
        </w:rPr>
        <w:fldChar w:fldCharType="begin"/>
      </w:r>
      <w:r w:rsidRPr="00C55AC3">
        <w:rPr>
          <w:rFonts w:ascii="Times New Roman" w:eastAsia="Calibri" w:hAnsi="Times New Roman" w:cs="Times New Roman"/>
          <w:b/>
          <w:bCs/>
          <w:sz w:val="18"/>
          <w:szCs w:val="18"/>
          <w:lang w:val="en-ZA"/>
        </w:rPr>
        <w:instrText xml:space="preserve"> SEQ Table \* ARABIC </w:instrText>
      </w:r>
      <w:r w:rsidRPr="00C55AC3">
        <w:rPr>
          <w:rFonts w:ascii="Times New Roman" w:eastAsia="Calibri" w:hAnsi="Times New Roman" w:cs="Times New Roman"/>
          <w:b/>
          <w:bCs/>
          <w:sz w:val="18"/>
          <w:szCs w:val="18"/>
          <w:lang w:val="en-ZA"/>
        </w:rPr>
        <w:fldChar w:fldCharType="separate"/>
      </w:r>
      <w:r w:rsidRPr="00C55AC3">
        <w:rPr>
          <w:rFonts w:ascii="Times New Roman" w:eastAsia="Calibri" w:hAnsi="Times New Roman" w:cs="Times New Roman"/>
          <w:b/>
          <w:bCs/>
          <w:noProof/>
          <w:sz w:val="18"/>
          <w:szCs w:val="18"/>
          <w:lang w:val="en-ZA"/>
        </w:rPr>
        <w:t>2</w:t>
      </w:r>
      <w:r w:rsidRPr="00C55AC3">
        <w:rPr>
          <w:rFonts w:ascii="Times New Roman" w:eastAsia="Calibri" w:hAnsi="Times New Roman" w:cs="Times New Roman"/>
          <w:b/>
          <w:bCs/>
          <w:sz w:val="18"/>
          <w:szCs w:val="18"/>
          <w:lang w:val="en-ZA"/>
        </w:rPr>
        <w:fldChar w:fldCharType="end"/>
      </w:r>
      <w:r w:rsidRPr="00C55AC3">
        <w:rPr>
          <w:rFonts w:ascii="Times New Roman" w:eastAsia="Calibri" w:hAnsi="Times New Roman" w:cs="Times New Roman"/>
          <w:b/>
          <w:bCs/>
          <w:sz w:val="18"/>
          <w:szCs w:val="18"/>
          <w:lang w:val="en-ZA"/>
        </w:rPr>
        <w:t>: Access to inputs by gender</w:t>
      </w:r>
    </w:p>
    <w:p w14:paraId="4924DAFC" w14:textId="77777777" w:rsidR="00C55AC3" w:rsidRPr="00C55AC3" w:rsidRDefault="00C55AC3" w:rsidP="00C55AC3">
      <w:pPr>
        <w:spacing w:after="200" w:line="240"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Table 2 above shows that though women are found at the recognized marketing places with a representation of 65% their involvement and benefit from the marketing process is rather compromised by their limited access to extension workers (44%) who happen to be the main source of knowledge for agricultural produce merchandizing techniques. </w:t>
      </w:r>
    </w:p>
    <w:p w14:paraId="25F1CC8A" w14:textId="77777777" w:rsidR="00C55AC3" w:rsidRPr="00C55AC3" w:rsidRDefault="00C55AC3" w:rsidP="00C55AC3">
      <w:pPr>
        <w:keepNext/>
        <w:keepLines/>
        <w:spacing w:before="200" w:after="0" w:line="276" w:lineRule="auto"/>
        <w:jc w:val="both"/>
        <w:outlineLvl w:val="2"/>
        <w:rPr>
          <w:rFonts w:ascii="Times New Roman" w:eastAsia="Times New Roman" w:hAnsi="Times New Roman" w:cs="Times New Roman"/>
          <w:b/>
          <w:bCs/>
          <w:lang w:val="en-ZA"/>
        </w:rPr>
      </w:pPr>
      <w:bookmarkStart w:id="27" w:name="_Toc427137469"/>
      <w:r w:rsidRPr="00C55AC3">
        <w:rPr>
          <w:rFonts w:ascii="Times New Roman" w:eastAsia="Times New Roman" w:hAnsi="Times New Roman" w:cs="Times New Roman"/>
          <w:b/>
          <w:bCs/>
          <w:lang w:val="en-ZA"/>
        </w:rPr>
        <w:t>3.1.3 Gender and irrigation production</w:t>
      </w:r>
      <w:bookmarkEnd w:id="27"/>
    </w:p>
    <w:p w14:paraId="48409F8D" w14:textId="77777777" w:rsidR="00C55AC3" w:rsidRPr="00C55AC3" w:rsidRDefault="00C55AC3" w:rsidP="00C55AC3">
      <w:pPr>
        <w:numPr>
          <w:ilvl w:val="0"/>
          <w:numId w:val="2"/>
        </w:numPr>
        <w:spacing w:after="200" w:line="276" w:lineRule="auto"/>
        <w:contextualSpacing/>
        <w:jc w:val="both"/>
        <w:rPr>
          <w:rFonts w:ascii="Times New Roman" w:eastAsia="Calibri" w:hAnsi="Times New Roman" w:cs="Times New Roman"/>
          <w:b/>
          <w:lang w:val="en-ZA"/>
        </w:rPr>
      </w:pPr>
      <w:r w:rsidRPr="00C55AC3">
        <w:rPr>
          <w:rFonts w:ascii="Times New Roman" w:eastAsia="Calibri" w:hAnsi="Times New Roman" w:cs="Times New Roman"/>
          <w:b/>
          <w:lang w:val="en-ZA"/>
        </w:rPr>
        <w:t>Crop production by gender</w:t>
      </w:r>
    </w:p>
    <w:p w14:paraId="7235C0C2"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Decision making relating to types of crops produced in the irrigation schemes and rainfed plots also differ by gender even though there is a slight difference by gender on crop choice in the irrigated plots since production is controlled according to one’s affiliation to the existing clubs.  In rainfed plots where there is limited control of crop choice by gender, crops such as tobacco considered cash crops are grown much more by men than women with a difference of 69 male: 31 female. Groundnuts are however grown more by women than men by a margin of 72 female: 28 male as shown in </w:t>
      </w:r>
      <w:r w:rsidRPr="00C55AC3">
        <w:rPr>
          <w:rFonts w:ascii="Times New Roman" w:eastAsia="Calibri" w:hAnsi="Times New Roman" w:cs="Times New Roman"/>
          <w:i/>
          <w:lang w:val="en-ZA"/>
        </w:rPr>
        <w:t>table 3</w:t>
      </w:r>
      <w:r w:rsidRPr="00C55AC3">
        <w:rPr>
          <w:rFonts w:ascii="Times New Roman" w:eastAsia="Calibri" w:hAnsi="Times New Roman" w:cs="Times New Roman"/>
          <w:lang w:val="en-ZA"/>
        </w:rPr>
        <w:t xml:space="preserve"> below consequently groundnuts are considered a woman’s crop in Ntcheu. In support of this view Mr Tibvekeyani had this to say on 26 October 2014, </w:t>
      </w:r>
    </w:p>
    <w:p w14:paraId="1330B8D5" w14:textId="77777777" w:rsidR="00C55AC3" w:rsidRPr="00C55AC3" w:rsidRDefault="00C55AC3" w:rsidP="00C55AC3">
      <w:pPr>
        <w:spacing w:after="200" w:line="276" w:lineRule="auto"/>
        <w:ind w:left="720"/>
        <w:jc w:val="both"/>
        <w:rPr>
          <w:rFonts w:ascii="Times New Roman" w:eastAsia="Calibri" w:hAnsi="Times New Roman" w:cs="Times New Roman"/>
          <w:lang w:val="en-ZA"/>
        </w:rPr>
      </w:pPr>
      <w:r w:rsidRPr="00C55AC3">
        <w:rPr>
          <w:rFonts w:ascii="Times New Roman" w:eastAsia="Calibri" w:hAnsi="Times New Roman" w:cs="Times New Roman"/>
          <w:lang w:val="en-ZA"/>
        </w:rPr>
        <w:t>“</w:t>
      </w:r>
      <w:r w:rsidRPr="00C55AC3">
        <w:rPr>
          <w:rFonts w:ascii="Times New Roman" w:eastAsia="Calibri" w:hAnsi="Times New Roman" w:cs="Times New Roman"/>
          <w:i/>
          <w:lang w:val="en-ZA"/>
        </w:rPr>
        <w:t>The man makes most of the decisions on production in the home…however groundnuts belong to the wife who make decisions even on the use of the income from the sales…mostly used for home consumption</w:t>
      </w:r>
      <w:r w:rsidRPr="00C55AC3">
        <w:rPr>
          <w:rFonts w:ascii="Times New Roman" w:eastAsia="Calibri" w:hAnsi="Times New Roman" w:cs="Times New Roman"/>
          <w:lang w:val="en-ZA"/>
        </w:rPr>
        <w:t xml:space="preserve">”. </w:t>
      </w:r>
    </w:p>
    <w:p w14:paraId="4F2F7BA6"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The same key informant specializes in vegetable production at commercial level particularly the eggplant (which supposedly is considered a woman’s crop). Thus vegetables which however are mostly grown in the irrigated plots are considered women’s crops particularly when they are assigned low value, men tends to invest in their production only when there is substantial economic value attached to the product as in the case above. Thus when it comes to intensification of any particular crop men have an economic orientation while women have provision role.</w:t>
      </w:r>
    </w:p>
    <w:tbl>
      <w:tblPr>
        <w:tblStyle w:val="TableGrid"/>
        <w:tblW w:w="0" w:type="auto"/>
        <w:tblLook w:val="04A0" w:firstRow="1" w:lastRow="0" w:firstColumn="1" w:lastColumn="0" w:noHBand="0" w:noVBand="1"/>
      </w:tblPr>
      <w:tblGrid>
        <w:gridCol w:w="2246"/>
        <w:gridCol w:w="1035"/>
        <w:gridCol w:w="1113"/>
        <w:gridCol w:w="1532"/>
        <w:gridCol w:w="1512"/>
        <w:gridCol w:w="1578"/>
      </w:tblGrid>
      <w:tr w:rsidR="00C55AC3" w:rsidRPr="00C55AC3" w14:paraId="048AB2EF" w14:textId="77777777" w:rsidTr="00621D98">
        <w:tc>
          <w:tcPr>
            <w:tcW w:w="4503" w:type="dxa"/>
            <w:gridSpan w:val="3"/>
          </w:tcPr>
          <w:p w14:paraId="6BA778F4"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t>Irrigated plot</w:t>
            </w:r>
          </w:p>
        </w:tc>
        <w:tc>
          <w:tcPr>
            <w:tcW w:w="4739" w:type="dxa"/>
            <w:gridSpan w:val="3"/>
          </w:tcPr>
          <w:p w14:paraId="12D806D4"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t>Rainfed plot</w:t>
            </w:r>
          </w:p>
        </w:tc>
      </w:tr>
      <w:tr w:rsidR="00C55AC3" w:rsidRPr="00C55AC3" w14:paraId="22737976" w14:textId="77777777" w:rsidTr="00621D98">
        <w:tc>
          <w:tcPr>
            <w:tcW w:w="2310" w:type="dxa"/>
          </w:tcPr>
          <w:p w14:paraId="57FF2BFA"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Type of crop</w:t>
            </w:r>
          </w:p>
        </w:tc>
        <w:tc>
          <w:tcPr>
            <w:tcW w:w="1059" w:type="dxa"/>
          </w:tcPr>
          <w:p w14:paraId="7346F5A7"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Male</w:t>
            </w:r>
          </w:p>
        </w:tc>
        <w:tc>
          <w:tcPr>
            <w:tcW w:w="1134" w:type="dxa"/>
          </w:tcPr>
          <w:p w14:paraId="044AEDB9"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Female</w:t>
            </w:r>
          </w:p>
        </w:tc>
        <w:tc>
          <w:tcPr>
            <w:tcW w:w="1559" w:type="dxa"/>
          </w:tcPr>
          <w:p w14:paraId="498E94F8"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Type of crop</w:t>
            </w:r>
          </w:p>
        </w:tc>
        <w:tc>
          <w:tcPr>
            <w:tcW w:w="1559" w:type="dxa"/>
          </w:tcPr>
          <w:p w14:paraId="7DF5C1DC"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Male</w:t>
            </w:r>
          </w:p>
        </w:tc>
        <w:tc>
          <w:tcPr>
            <w:tcW w:w="1621" w:type="dxa"/>
          </w:tcPr>
          <w:p w14:paraId="581B17F8"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Female</w:t>
            </w:r>
          </w:p>
        </w:tc>
      </w:tr>
      <w:tr w:rsidR="00C55AC3" w:rsidRPr="00C55AC3" w14:paraId="51DFD6CA" w14:textId="77777777" w:rsidTr="00621D98">
        <w:tc>
          <w:tcPr>
            <w:tcW w:w="2310" w:type="dxa"/>
          </w:tcPr>
          <w:p w14:paraId="43075AB7"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Maize</w:t>
            </w:r>
          </w:p>
        </w:tc>
        <w:tc>
          <w:tcPr>
            <w:tcW w:w="1059" w:type="dxa"/>
          </w:tcPr>
          <w:p w14:paraId="0C2FF6D3"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46</w:t>
            </w:r>
          </w:p>
        </w:tc>
        <w:tc>
          <w:tcPr>
            <w:tcW w:w="1134" w:type="dxa"/>
          </w:tcPr>
          <w:p w14:paraId="271CB60D"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54</w:t>
            </w:r>
          </w:p>
        </w:tc>
        <w:tc>
          <w:tcPr>
            <w:tcW w:w="1559" w:type="dxa"/>
          </w:tcPr>
          <w:p w14:paraId="1380C972"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Maize</w:t>
            </w:r>
          </w:p>
        </w:tc>
        <w:tc>
          <w:tcPr>
            <w:tcW w:w="1559" w:type="dxa"/>
          </w:tcPr>
          <w:p w14:paraId="4EBCE125"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49</w:t>
            </w:r>
          </w:p>
        </w:tc>
        <w:tc>
          <w:tcPr>
            <w:tcW w:w="1621" w:type="dxa"/>
          </w:tcPr>
          <w:p w14:paraId="3F163443"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51</w:t>
            </w:r>
          </w:p>
        </w:tc>
      </w:tr>
      <w:tr w:rsidR="00C55AC3" w:rsidRPr="00C55AC3" w14:paraId="1E9236D7" w14:textId="77777777" w:rsidTr="00621D98">
        <w:tc>
          <w:tcPr>
            <w:tcW w:w="2310" w:type="dxa"/>
          </w:tcPr>
          <w:p w14:paraId="133FE52B"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Vegetables (onion, tomato, mastered)</w:t>
            </w:r>
          </w:p>
        </w:tc>
        <w:tc>
          <w:tcPr>
            <w:tcW w:w="1059" w:type="dxa"/>
          </w:tcPr>
          <w:p w14:paraId="154757AC"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33</w:t>
            </w:r>
          </w:p>
        </w:tc>
        <w:tc>
          <w:tcPr>
            <w:tcW w:w="1134" w:type="dxa"/>
          </w:tcPr>
          <w:p w14:paraId="6CFB2C09"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67</w:t>
            </w:r>
          </w:p>
        </w:tc>
        <w:tc>
          <w:tcPr>
            <w:tcW w:w="1559" w:type="dxa"/>
          </w:tcPr>
          <w:p w14:paraId="7AD54B34"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Groundnuts</w:t>
            </w:r>
          </w:p>
        </w:tc>
        <w:tc>
          <w:tcPr>
            <w:tcW w:w="1559" w:type="dxa"/>
          </w:tcPr>
          <w:p w14:paraId="63B3067F"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28</w:t>
            </w:r>
          </w:p>
        </w:tc>
        <w:tc>
          <w:tcPr>
            <w:tcW w:w="1621" w:type="dxa"/>
          </w:tcPr>
          <w:p w14:paraId="660D12AC"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72</w:t>
            </w:r>
          </w:p>
        </w:tc>
      </w:tr>
      <w:tr w:rsidR="00C55AC3" w:rsidRPr="00C55AC3" w14:paraId="62B9F13E" w14:textId="77777777" w:rsidTr="00621D98">
        <w:tc>
          <w:tcPr>
            <w:tcW w:w="2310" w:type="dxa"/>
          </w:tcPr>
          <w:p w14:paraId="6A4E8E39"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Beans</w:t>
            </w:r>
          </w:p>
        </w:tc>
        <w:tc>
          <w:tcPr>
            <w:tcW w:w="1059" w:type="dxa"/>
          </w:tcPr>
          <w:p w14:paraId="62B322C8"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49</w:t>
            </w:r>
          </w:p>
        </w:tc>
        <w:tc>
          <w:tcPr>
            <w:tcW w:w="1134" w:type="dxa"/>
          </w:tcPr>
          <w:p w14:paraId="0D4A3916"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51</w:t>
            </w:r>
          </w:p>
        </w:tc>
        <w:tc>
          <w:tcPr>
            <w:tcW w:w="1559" w:type="dxa"/>
          </w:tcPr>
          <w:p w14:paraId="737CC014"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Tobacco</w:t>
            </w:r>
          </w:p>
        </w:tc>
        <w:tc>
          <w:tcPr>
            <w:tcW w:w="1559" w:type="dxa"/>
          </w:tcPr>
          <w:p w14:paraId="13E1BD39"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69</w:t>
            </w:r>
          </w:p>
        </w:tc>
        <w:tc>
          <w:tcPr>
            <w:tcW w:w="1621" w:type="dxa"/>
          </w:tcPr>
          <w:p w14:paraId="5624F438"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31</w:t>
            </w:r>
          </w:p>
        </w:tc>
      </w:tr>
      <w:tr w:rsidR="00C55AC3" w:rsidRPr="00C55AC3" w14:paraId="5DCDE1AD" w14:textId="77777777" w:rsidTr="00621D98">
        <w:tc>
          <w:tcPr>
            <w:tcW w:w="2310" w:type="dxa"/>
          </w:tcPr>
          <w:p w14:paraId="1268BCC1"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potatoes</w:t>
            </w:r>
          </w:p>
        </w:tc>
        <w:tc>
          <w:tcPr>
            <w:tcW w:w="1059" w:type="dxa"/>
          </w:tcPr>
          <w:p w14:paraId="571DFACC"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53</w:t>
            </w:r>
          </w:p>
        </w:tc>
        <w:tc>
          <w:tcPr>
            <w:tcW w:w="1134" w:type="dxa"/>
          </w:tcPr>
          <w:p w14:paraId="342B5746"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47</w:t>
            </w:r>
          </w:p>
        </w:tc>
        <w:tc>
          <w:tcPr>
            <w:tcW w:w="1559" w:type="dxa"/>
          </w:tcPr>
          <w:p w14:paraId="7DBFF93C"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Beans</w:t>
            </w:r>
          </w:p>
        </w:tc>
        <w:tc>
          <w:tcPr>
            <w:tcW w:w="1559" w:type="dxa"/>
          </w:tcPr>
          <w:p w14:paraId="48C966B6"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47</w:t>
            </w:r>
          </w:p>
        </w:tc>
        <w:tc>
          <w:tcPr>
            <w:tcW w:w="1621" w:type="dxa"/>
          </w:tcPr>
          <w:p w14:paraId="71762DF4"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53</w:t>
            </w:r>
          </w:p>
        </w:tc>
      </w:tr>
      <w:tr w:rsidR="00C55AC3" w:rsidRPr="00C55AC3" w14:paraId="1B7AE3F8" w14:textId="77777777" w:rsidTr="00621D98">
        <w:tc>
          <w:tcPr>
            <w:tcW w:w="2310" w:type="dxa"/>
          </w:tcPr>
          <w:p w14:paraId="3E578363" w14:textId="77777777" w:rsidR="00C55AC3" w:rsidRPr="00C55AC3" w:rsidRDefault="00C55AC3" w:rsidP="00C55AC3">
            <w:pPr>
              <w:jc w:val="both"/>
              <w:rPr>
                <w:rFonts w:ascii="Times New Roman" w:eastAsia="Calibri" w:hAnsi="Times New Roman" w:cs="Times New Roman"/>
                <w:sz w:val="16"/>
                <w:szCs w:val="16"/>
              </w:rPr>
            </w:pPr>
          </w:p>
        </w:tc>
        <w:tc>
          <w:tcPr>
            <w:tcW w:w="1059" w:type="dxa"/>
          </w:tcPr>
          <w:p w14:paraId="3E584921" w14:textId="77777777" w:rsidR="00C55AC3" w:rsidRPr="00C55AC3" w:rsidRDefault="00C55AC3" w:rsidP="00C55AC3">
            <w:pPr>
              <w:jc w:val="both"/>
              <w:rPr>
                <w:rFonts w:ascii="Times New Roman" w:eastAsia="Calibri" w:hAnsi="Times New Roman" w:cs="Times New Roman"/>
                <w:sz w:val="16"/>
                <w:szCs w:val="16"/>
              </w:rPr>
            </w:pPr>
          </w:p>
        </w:tc>
        <w:tc>
          <w:tcPr>
            <w:tcW w:w="1134" w:type="dxa"/>
          </w:tcPr>
          <w:p w14:paraId="5BFA3A7F" w14:textId="77777777" w:rsidR="00C55AC3" w:rsidRPr="00C55AC3" w:rsidRDefault="00C55AC3" w:rsidP="00C55AC3">
            <w:pPr>
              <w:jc w:val="both"/>
              <w:rPr>
                <w:rFonts w:ascii="Times New Roman" w:eastAsia="Calibri" w:hAnsi="Times New Roman" w:cs="Times New Roman"/>
                <w:sz w:val="16"/>
                <w:szCs w:val="16"/>
              </w:rPr>
            </w:pPr>
          </w:p>
        </w:tc>
        <w:tc>
          <w:tcPr>
            <w:tcW w:w="1559" w:type="dxa"/>
          </w:tcPr>
          <w:p w14:paraId="29A30D3A"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Cow peas</w:t>
            </w:r>
          </w:p>
        </w:tc>
        <w:tc>
          <w:tcPr>
            <w:tcW w:w="1559" w:type="dxa"/>
          </w:tcPr>
          <w:p w14:paraId="6F3F43E8"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57</w:t>
            </w:r>
          </w:p>
        </w:tc>
        <w:tc>
          <w:tcPr>
            <w:tcW w:w="1621" w:type="dxa"/>
          </w:tcPr>
          <w:p w14:paraId="691D1350"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43</w:t>
            </w:r>
          </w:p>
        </w:tc>
      </w:tr>
      <w:tr w:rsidR="00C55AC3" w:rsidRPr="00C55AC3" w14:paraId="613CEF08" w14:textId="77777777" w:rsidTr="00621D98">
        <w:tc>
          <w:tcPr>
            <w:tcW w:w="2310" w:type="dxa"/>
          </w:tcPr>
          <w:p w14:paraId="548856E4" w14:textId="77777777" w:rsidR="00C55AC3" w:rsidRPr="00C55AC3" w:rsidRDefault="00C55AC3" w:rsidP="00C55AC3">
            <w:pPr>
              <w:jc w:val="both"/>
              <w:rPr>
                <w:rFonts w:ascii="Times New Roman" w:eastAsia="Calibri" w:hAnsi="Times New Roman" w:cs="Times New Roman"/>
                <w:sz w:val="16"/>
                <w:szCs w:val="16"/>
              </w:rPr>
            </w:pPr>
          </w:p>
        </w:tc>
        <w:tc>
          <w:tcPr>
            <w:tcW w:w="1059" w:type="dxa"/>
          </w:tcPr>
          <w:p w14:paraId="0D7A52B5" w14:textId="77777777" w:rsidR="00C55AC3" w:rsidRPr="00C55AC3" w:rsidRDefault="00C55AC3" w:rsidP="00C55AC3">
            <w:pPr>
              <w:jc w:val="both"/>
              <w:rPr>
                <w:rFonts w:ascii="Times New Roman" w:eastAsia="Calibri" w:hAnsi="Times New Roman" w:cs="Times New Roman"/>
                <w:sz w:val="16"/>
                <w:szCs w:val="16"/>
              </w:rPr>
            </w:pPr>
          </w:p>
        </w:tc>
        <w:tc>
          <w:tcPr>
            <w:tcW w:w="1134" w:type="dxa"/>
          </w:tcPr>
          <w:p w14:paraId="28C3901E" w14:textId="77777777" w:rsidR="00C55AC3" w:rsidRPr="00C55AC3" w:rsidRDefault="00C55AC3" w:rsidP="00C55AC3">
            <w:pPr>
              <w:jc w:val="both"/>
              <w:rPr>
                <w:rFonts w:ascii="Times New Roman" w:eastAsia="Calibri" w:hAnsi="Times New Roman" w:cs="Times New Roman"/>
                <w:sz w:val="16"/>
                <w:szCs w:val="16"/>
              </w:rPr>
            </w:pPr>
          </w:p>
        </w:tc>
        <w:tc>
          <w:tcPr>
            <w:tcW w:w="1559" w:type="dxa"/>
          </w:tcPr>
          <w:p w14:paraId="717CA8BC"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Millet</w:t>
            </w:r>
          </w:p>
        </w:tc>
        <w:tc>
          <w:tcPr>
            <w:tcW w:w="1559" w:type="dxa"/>
          </w:tcPr>
          <w:p w14:paraId="56622C55"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50</w:t>
            </w:r>
          </w:p>
        </w:tc>
        <w:tc>
          <w:tcPr>
            <w:tcW w:w="1621" w:type="dxa"/>
          </w:tcPr>
          <w:p w14:paraId="0F4B926C"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50</w:t>
            </w:r>
          </w:p>
        </w:tc>
      </w:tr>
    </w:tbl>
    <w:p w14:paraId="79AAEFC7" w14:textId="77777777" w:rsidR="00C55AC3" w:rsidRPr="00C55AC3" w:rsidRDefault="00C55AC3" w:rsidP="00C55AC3">
      <w:pPr>
        <w:spacing w:after="200" w:line="240" w:lineRule="auto"/>
        <w:jc w:val="center"/>
        <w:rPr>
          <w:rFonts w:ascii="Times New Roman" w:eastAsia="Calibri" w:hAnsi="Times New Roman" w:cs="Times New Roman"/>
          <w:b/>
          <w:bCs/>
          <w:color w:val="4F81BD"/>
          <w:sz w:val="18"/>
          <w:szCs w:val="18"/>
          <w:lang w:val="en-ZA"/>
        </w:rPr>
      </w:pPr>
      <w:r w:rsidRPr="00C55AC3">
        <w:rPr>
          <w:rFonts w:ascii="Times New Roman" w:eastAsia="Calibri" w:hAnsi="Times New Roman" w:cs="Times New Roman"/>
          <w:b/>
          <w:bCs/>
          <w:sz w:val="18"/>
          <w:szCs w:val="18"/>
          <w:lang w:val="en-ZA"/>
        </w:rPr>
        <w:t xml:space="preserve">Table </w:t>
      </w:r>
      <w:r w:rsidRPr="00C55AC3">
        <w:rPr>
          <w:rFonts w:ascii="Times New Roman" w:eastAsia="Calibri" w:hAnsi="Times New Roman" w:cs="Times New Roman"/>
          <w:b/>
          <w:bCs/>
          <w:sz w:val="18"/>
          <w:szCs w:val="18"/>
          <w:lang w:val="en-ZA"/>
        </w:rPr>
        <w:fldChar w:fldCharType="begin"/>
      </w:r>
      <w:r w:rsidRPr="00C55AC3">
        <w:rPr>
          <w:rFonts w:ascii="Times New Roman" w:eastAsia="Calibri" w:hAnsi="Times New Roman" w:cs="Times New Roman"/>
          <w:b/>
          <w:bCs/>
          <w:sz w:val="18"/>
          <w:szCs w:val="18"/>
          <w:lang w:val="en-ZA"/>
        </w:rPr>
        <w:instrText xml:space="preserve"> SEQ Table \* ARABIC </w:instrText>
      </w:r>
      <w:r w:rsidRPr="00C55AC3">
        <w:rPr>
          <w:rFonts w:ascii="Times New Roman" w:eastAsia="Calibri" w:hAnsi="Times New Roman" w:cs="Times New Roman"/>
          <w:b/>
          <w:bCs/>
          <w:sz w:val="18"/>
          <w:szCs w:val="18"/>
          <w:lang w:val="en-ZA"/>
        </w:rPr>
        <w:fldChar w:fldCharType="separate"/>
      </w:r>
      <w:r w:rsidRPr="00C55AC3">
        <w:rPr>
          <w:rFonts w:ascii="Times New Roman" w:eastAsia="Calibri" w:hAnsi="Times New Roman" w:cs="Times New Roman"/>
          <w:b/>
          <w:bCs/>
          <w:noProof/>
          <w:sz w:val="18"/>
          <w:szCs w:val="18"/>
          <w:lang w:val="en-ZA"/>
        </w:rPr>
        <w:t>3</w:t>
      </w:r>
      <w:r w:rsidRPr="00C55AC3">
        <w:rPr>
          <w:rFonts w:ascii="Times New Roman" w:eastAsia="Calibri" w:hAnsi="Times New Roman" w:cs="Times New Roman"/>
          <w:b/>
          <w:bCs/>
          <w:sz w:val="18"/>
          <w:szCs w:val="18"/>
          <w:lang w:val="en-ZA"/>
        </w:rPr>
        <w:fldChar w:fldCharType="end"/>
      </w:r>
      <w:r w:rsidRPr="00C55AC3">
        <w:rPr>
          <w:rFonts w:ascii="Times New Roman" w:eastAsia="Calibri" w:hAnsi="Times New Roman" w:cs="Times New Roman"/>
          <w:b/>
          <w:bCs/>
          <w:sz w:val="18"/>
          <w:szCs w:val="18"/>
          <w:lang w:val="en-ZA"/>
        </w:rPr>
        <w:t>: Crop production by gender in Kandeu area</w:t>
      </w:r>
    </w:p>
    <w:p w14:paraId="2DBD9862"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The degree of male involvement in agriculture is higher in the rainfed than in the irrigation practices and overall women have a higher representation across the practices as shown in table 3 above. Observed intra-practice gender differences is consequence of acknowledged gender roles and responsibilities at household and community level and also the nature and the demands required for managing the crop in question. </w:t>
      </w:r>
    </w:p>
    <w:p w14:paraId="5D8BC170"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lastRenderedPageBreak/>
        <w:t>Crops such as groundnuts and vegetables are grown more by women than men from both rainfed and irrigation management practices with a percentage use of by women of 72% and 67% respectively while men have a percentage use of 28% an 33% for the same crop management practices. The margin between male and female growers for leguminous crops such as beans (soya), cow peas, potatoes and millet is not exceptional. For instance beans is grown by 51% of females in irrigation and 49% men while the same crop is grown by 53% female and 47% male for the rainfed. This is a reflection that the crops are valued equally by both men and women and require non-gender differentiating skills for their upkeep. However cereal crops are grown almost the same for both men and women from both irrigated and rainfed crops. Wider gender disparities are observed from the rainfed crop management practices than the irrigation where crop choice and management is controlled from a central point (irrigation management committee) in the Kaziputa case. Thus small margins in gender differences in crop production observed within the scheme setting is fundamental towards reaching the assertion that irrigation schemes are mechanisms with the capacity to promote intensification at the same time having the ability to endorse gender equity.</w:t>
      </w:r>
    </w:p>
    <w:p w14:paraId="5588DDB9"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It was also noted that women make almost all decisions on what to grow in female headed households, nonetheless almost all men who make decisions on what to grow on women owned plots are from male headed households. Females have the potential to produce more food for and beyond  household consumption than males by disposition (having access to bigger plots) if the availability of supporting inputs such as fertilizer and pesticides which are the requirements for sustainable agriculture intensification are given at an equal footing with men. </w:t>
      </w:r>
    </w:p>
    <w:p w14:paraId="7EAEDB98" w14:textId="77777777" w:rsidR="00C55AC3" w:rsidRPr="00C55AC3" w:rsidRDefault="00C55AC3" w:rsidP="00C55AC3">
      <w:pPr>
        <w:spacing w:after="200" w:line="240"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Data obtained from agriculture extension workers indicated that men are much able to control pests and diseases than women due to their ability to access agro-chemical inputs through purchasing as reflected in table 3 above. Women tend to get access to such inputs through subsidies or through group contributions which however are not always a success. Hence women face the greatest challenge during crop production than men since crop yield is compromised by the pests and the diseases. To curb such challenges one of the agriculture extension workers nonetheless indicated that farmers were gradually adopting the use of hybrid seed. </w:t>
      </w:r>
    </w:p>
    <w:p w14:paraId="152B4ACF" w14:textId="77777777" w:rsidR="00C55AC3" w:rsidRPr="00C55AC3" w:rsidRDefault="00C55AC3" w:rsidP="00C55AC3">
      <w:pPr>
        <w:keepNext/>
        <w:keepLines/>
        <w:spacing w:before="200" w:after="0" w:line="276" w:lineRule="auto"/>
        <w:jc w:val="both"/>
        <w:outlineLvl w:val="2"/>
        <w:rPr>
          <w:rFonts w:ascii="Times New Roman" w:eastAsia="Times New Roman" w:hAnsi="Times New Roman" w:cs="Times New Roman"/>
          <w:b/>
          <w:bCs/>
          <w:lang w:val="en-ZA"/>
        </w:rPr>
      </w:pPr>
      <w:bookmarkStart w:id="28" w:name="_Toc427137470"/>
      <w:r w:rsidRPr="00C55AC3">
        <w:rPr>
          <w:rFonts w:ascii="Times New Roman" w:eastAsia="Times New Roman" w:hAnsi="Times New Roman" w:cs="Times New Roman"/>
          <w:b/>
          <w:bCs/>
          <w:lang w:val="en-ZA"/>
        </w:rPr>
        <w:t>3.1.4 Group membership and Leadership</w:t>
      </w:r>
      <w:bookmarkEnd w:id="28"/>
    </w:p>
    <w:p w14:paraId="38E1B2F4" w14:textId="77777777" w:rsidR="00C55AC3" w:rsidRPr="00C55AC3" w:rsidRDefault="00C55AC3" w:rsidP="00C55AC3">
      <w:pPr>
        <w:spacing w:after="200" w:line="276" w:lineRule="auto"/>
        <w:jc w:val="both"/>
        <w:rPr>
          <w:rFonts w:ascii="Times New Roman" w:eastAsia="Calibri" w:hAnsi="Times New Roman" w:cs="Times New Roman"/>
          <w:b/>
          <w:lang w:val="en-ZA"/>
        </w:rPr>
      </w:pPr>
      <w:r w:rsidRPr="00C55AC3">
        <w:rPr>
          <w:rFonts w:ascii="Times New Roman" w:eastAsia="Calibri" w:hAnsi="Times New Roman" w:cs="Times New Roman"/>
          <w:b/>
          <w:lang w:val="en-ZA"/>
        </w:rPr>
        <w:t xml:space="preserve"> (a) Irrigation management</w:t>
      </w:r>
    </w:p>
    <w:p w14:paraId="459B069E"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Women’s voice in decision making in Ntcheu has not been directly addressed even if the new irrigation policy includes robust statements supporting women’s equal participation in irrigation agriculture. Women are highly represented in the management committees hence more women take part in the management of the scheme at the highest level however they do not hold strategically influential positions of decision making which are often held by men.  For instance, even though the existing gender ratio in the Irrigation Management main committee is 4 women: 1 men (</w:t>
      </w:r>
      <w:r w:rsidRPr="00C55AC3">
        <w:rPr>
          <w:rFonts w:ascii="Times New Roman" w:eastAsia="Calibri" w:hAnsi="Times New Roman" w:cs="Times New Roman"/>
          <w:i/>
          <w:lang w:val="en-ZA"/>
        </w:rPr>
        <w:t>see fig 3</w:t>
      </w:r>
      <w:r w:rsidRPr="00C55AC3">
        <w:rPr>
          <w:rFonts w:ascii="Times New Roman" w:eastAsia="Calibri" w:hAnsi="Times New Roman" w:cs="Times New Roman"/>
          <w:lang w:val="en-ZA"/>
        </w:rPr>
        <w:t>) nonetheless the irrigation management main committee is chaired by a man. Moreover the irrigation management committee indicated that it monitors all the irrigation activities done but would only consult the village community leaders (mostly men) when crops have been damaged by animals or when they want to start planting crops.</w:t>
      </w:r>
    </w:p>
    <w:p w14:paraId="6759BC47" w14:textId="77777777" w:rsidR="00C55AC3" w:rsidRPr="00C55AC3" w:rsidRDefault="00C55AC3" w:rsidP="00C55AC3">
      <w:pPr>
        <w:spacing w:after="200" w:line="276" w:lineRule="auto"/>
        <w:jc w:val="center"/>
        <w:rPr>
          <w:rFonts w:ascii="Times New Roman" w:eastAsia="Calibri" w:hAnsi="Times New Roman" w:cs="Times New Roman"/>
          <w:lang w:val="en-ZA"/>
        </w:rPr>
      </w:pPr>
      <w:r w:rsidRPr="00C55AC3">
        <w:rPr>
          <w:rFonts w:ascii="Times New Roman" w:eastAsia="Calibri" w:hAnsi="Times New Roman" w:cs="Times New Roman"/>
          <w:noProof/>
          <w:lang w:val="en-ZA" w:eastAsia="en-ZA"/>
        </w:rPr>
        <w:lastRenderedPageBreak/>
        <w:drawing>
          <wp:inline distT="0" distB="0" distL="0" distR="0" wp14:anchorId="02D37F6C" wp14:editId="06CC0ACF">
            <wp:extent cx="5486400" cy="1590675"/>
            <wp:effectExtent l="38100" t="0" r="190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r w:rsidRPr="00C55AC3">
        <w:rPr>
          <w:rFonts w:ascii="Times New Roman" w:eastAsia="Calibri" w:hAnsi="Times New Roman" w:cs="Times New Roman"/>
          <w:b/>
          <w:bCs/>
          <w:color w:val="000000"/>
          <w:sz w:val="18"/>
          <w:szCs w:val="18"/>
          <w:lang w:val="en-ZA"/>
        </w:rPr>
        <w:t xml:space="preserve">Figure </w:t>
      </w:r>
      <w:r w:rsidRPr="00C55AC3">
        <w:rPr>
          <w:rFonts w:ascii="Times New Roman" w:eastAsia="Calibri" w:hAnsi="Times New Roman" w:cs="Times New Roman"/>
          <w:b/>
          <w:bCs/>
          <w:color w:val="000000"/>
          <w:sz w:val="18"/>
          <w:szCs w:val="18"/>
          <w:lang w:val="en-ZA"/>
        </w:rPr>
        <w:fldChar w:fldCharType="begin"/>
      </w:r>
      <w:r w:rsidRPr="00C55AC3">
        <w:rPr>
          <w:rFonts w:ascii="Times New Roman" w:eastAsia="Calibri" w:hAnsi="Times New Roman" w:cs="Times New Roman"/>
          <w:b/>
          <w:bCs/>
          <w:color w:val="000000"/>
          <w:sz w:val="18"/>
          <w:szCs w:val="18"/>
          <w:lang w:val="en-ZA"/>
        </w:rPr>
        <w:instrText xml:space="preserve"> SEQ Figure \* ARABIC </w:instrText>
      </w:r>
      <w:r w:rsidRPr="00C55AC3">
        <w:rPr>
          <w:rFonts w:ascii="Times New Roman" w:eastAsia="Calibri" w:hAnsi="Times New Roman" w:cs="Times New Roman"/>
          <w:b/>
          <w:bCs/>
          <w:color w:val="000000"/>
          <w:sz w:val="18"/>
          <w:szCs w:val="18"/>
          <w:lang w:val="en-ZA"/>
        </w:rPr>
        <w:fldChar w:fldCharType="separate"/>
      </w:r>
      <w:r w:rsidRPr="00C55AC3">
        <w:rPr>
          <w:rFonts w:ascii="Times New Roman" w:eastAsia="Calibri" w:hAnsi="Times New Roman" w:cs="Times New Roman"/>
          <w:b/>
          <w:bCs/>
          <w:noProof/>
          <w:color w:val="000000"/>
          <w:sz w:val="18"/>
          <w:szCs w:val="18"/>
          <w:lang w:val="en-ZA"/>
        </w:rPr>
        <w:t>3</w:t>
      </w:r>
      <w:r w:rsidRPr="00C55AC3">
        <w:rPr>
          <w:rFonts w:ascii="Times New Roman" w:eastAsia="Calibri" w:hAnsi="Times New Roman" w:cs="Times New Roman"/>
          <w:b/>
          <w:bCs/>
          <w:color w:val="000000"/>
          <w:sz w:val="18"/>
          <w:szCs w:val="18"/>
          <w:lang w:val="en-ZA"/>
        </w:rPr>
        <w:fldChar w:fldCharType="end"/>
      </w:r>
      <w:r w:rsidRPr="00C55AC3">
        <w:rPr>
          <w:rFonts w:ascii="Times New Roman" w:eastAsia="Calibri" w:hAnsi="Times New Roman" w:cs="Times New Roman"/>
          <w:b/>
          <w:bCs/>
          <w:color w:val="000000"/>
          <w:sz w:val="18"/>
          <w:szCs w:val="18"/>
          <w:lang w:val="en-ZA"/>
        </w:rPr>
        <w:t>: Irrigation Management Hierarchy</w:t>
      </w:r>
    </w:p>
    <w:p w14:paraId="7898EAAC"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The main committee branches into club committees (</w:t>
      </w:r>
      <w:r w:rsidRPr="00C55AC3">
        <w:rPr>
          <w:rFonts w:ascii="Times New Roman" w:eastAsia="Calibri" w:hAnsi="Times New Roman" w:cs="Times New Roman"/>
          <w:i/>
          <w:lang w:val="en-ZA"/>
        </w:rPr>
        <w:t>figure 3</w:t>
      </w:r>
      <w:r w:rsidRPr="00C55AC3">
        <w:rPr>
          <w:rFonts w:ascii="Times New Roman" w:eastAsia="Calibri" w:hAnsi="Times New Roman" w:cs="Times New Roman"/>
          <w:lang w:val="en-ZA"/>
        </w:rPr>
        <w:t>) consisting of Gobeke, Chimwalira, Namichimba, Chikomba and Lithethe, nonetheless some of the members have multiple allocations (belong to more than one club). At club level, women tend to dominate in numerical representation as shown in figure 3 above, nonetheless decision making is still in the hands of men.</w:t>
      </w:r>
    </w:p>
    <w:p w14:paraId="1D6FC47E"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Despite low representation at all levels of scheme management; men as a peculiar but minority group have reflected a distinctive pattern within the scheme organization structure as acknowledged decision makers even when there are strong indications to the fact that women who are in the scheme leadership are as well doing their job well. Such unique patterns of non-unique events within the scheme are a mirror image of the collective consciousness rooted from the community’s organized culture which has meaning to the scheme members and to which in turn responds; in the process promoting male decision makers at the expense of women even when the latter are present in management. </w:t>
      </w:r>
    </w:p>
    <w:p w14:paraId="63D1E0ED"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Reporting to the main committee are other additional committees such as the disciplinary committee where gender parity has been realized through having equal number of men as to women. This committee is responsible for regulation of behaviour for the scheme members which is often controlled by the constitution as the point of reference. For instance acts of misconduct such vandalism and misbehaviour are charged a fine, interestingly men are the most charged. By their virtue of being the decision makers the constitution is largely endorsed by men hence since they are the most offenders maybe formulate the rules with a biased interest. This implies that when it comes to issues to do with reinforcement of rules and societal norms which function as accountability checks and balances; both men and women have an equal footing in Ntcheu district. </w:t>
      </w:r>
    </w:p>
    <w:p w14:paraId="05AEC50F" w14:textId="77777777" w:rsidR="00C55AC3" w:rsidRPr="00C55AC3" w:rsidRDefault="00C55AC3" w:rsidP="00C55AC3">
      <w:pPr>
        <w:numPr>
          <w:ilvl w:val="0"/>
          <w:numId w:val="2"/>
        </w:numPr>
        <w:spacing w:after="200" w:line="276" w:lineRule="auto"/>
        <w:contextualSpacing/>
        <w:jc w:val="both"/>
        <w:rPr>
          <w:rFonts w:ascii="Times New Roman" w:eastAsia="Calibri" w:hAnsi="Times New Roman" w:cs="Times New Roman"/>
          <w:b/>
          <w:lang w:val="en-ZA"/>
        </w:rPr>
      </w:pPr>
      <w:r w:rsidRPr="00C55AC3">
        <w:rPr>
          <w:rFonts w:ascii="Times New Roman" w:eastAsia="Calibri" w:hAnsi="Times New Roman" w:cs="Times New Roman"/>
          <w:b/>
          <w:lang w:val="en-ZA"/>
        </w:rPr>
        <w:t>Community leadership</w:t>
      </w:r>
    </w:p>
    <w:p w14:paraId="1CCA8593" w14:textId="77777777" w:rsidR="00C55AC3" w:rsidRPr="00C55AC3" w:rsidRDefault="00C55AC3" w:rsidP="00C55AC3">
      <w:pPr>
        <w:spacing w:after="200" w:line="240"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The territorial chief is male; however at village level 35% of village heads are women while men make up 65% of the traditional leaders. Upon answering the question why there were more men in leadership than women, one of the irrigation committee chairperson on 21 October 2014 provided that it is within the Ngoni culture that village headship is a man’s role, he added, </w:t>
      </w:r>
    </w:p>
    <w:p w14:paraId="207329ED" w14:textId="77777777" w:rsidR="00C55AC3" w:rsidRPr="00C55AC3" w:rsidRDefault="00C55AC3" w:rsidP="00C55AC3">
      <w:pPr>
        <w:spacing w:after="200" w:line="240" w:lineRule="auto"/>
        <w:ind w:left="720"/>
        <w:jc w:val="both"/>
        <w:rPr>
          <w:rFonts w:ascii="Times New Roman" w:eastAsia="Calibri" w:hAnsi="Times New Roman" w:cs="Times New Roman"/>
          <w:lang w:val="en-ZA"/>
        </w:rPr>
      </w:pPr>
      <w:r w:rsidRPr="00C55AC3">
        <w:rPr>
          <w:rFonts w:ascii="Times New Roman" w:eastAsia="Calibri" w:hAnsi="Times New Roman" w:cs="Times New Roman"/>
          <w:lang w:val="en-ZA"/>
        </w:rPr>
        <w:t>“…</w:t>
      </w:r>
      <w:r w:rsidRPr="00C55AC3">
        <w:rPr>
          <w:rFonts w:ascii="Times New Roman" w:eastAsia="Calibri" w:hAnsi="Times New Roman" w:cs="Times New Roman"/>
          <w:i/>
          <w:lang w:val="en-ZA"/>
        </w:rPr>
        <w:t>the coming of gender awareness has resulted in consideration of women in such posts, otherwise it is not our culture…”</w:t>
      </w:r>
    </w:p>
    <w:p w14:paraId="7D1C348C" w14:textId="77777777" w:rsidR="00C55AC3" w:rsidRPr="00C55AC3" w:rsidRDefault="00C55AC3" w:rsidP="00C55AC3">
      <w:pPr>
        <w:spacing w:after="200" w:line="240"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The situation in Ntcheu places women as culturally recognized land distributors but on the contrary placing them as ceremonial land owners with only primary usufruct rights who however don’t have adjudication powers (control). While other women positioned themselves as the self-generalized others (a reflection of the community social structure) under the influence social desirability; continuously reported that they did not see anything wrong in having men decide for them since it was their culture. Contrary Mrs Mavhuru on 24 October 2014 stressed that women participated well in the committee </w:t>
      </w:r>
      <w:r w:rsidRPr="00C55AC3">
        <w:rPr>
          <w:rFonts w:ascii="Times New Roman" w:eastAsia="Calibri" w:hAnsi="Times New Roman" w:cs="Times New Roman"/>
          <w:lang w:val="en-ZA"/>
        </w:rPr>
        <w:lastRenderedPageBreak/>
        <w:t>since the Chewa</w:t>
      </w:r>
      <w:r w:rsidRPr="00C55AC3">
        <w:rPr>
          <w:rFonts w:ascii="Times New Roman" w:eastAsia="Calibri" w:hAnsi="Times New Roman" w:cs="Times New Roman"/>
          <w:vertAlign w:val="superscript"/>
          <w:lang w:val="en-ZA"/>
        </w:rPr>
        <w:footnoteReference w:id="3"/>
      </w:r>
      <w:r w:rsidRPr="00C55AC3">
        <w:rPr>
          <w:rFonts w:ascii="Times New Roman" w:eastAsia="Calibri" w:hAnsi="Times New Roman" w:cs="Times New Roman"/>
          <w:lang w:val="en-ZA"/>
        </w:rPr>
        <w:t xml:space="preserve"> culture, according to her, accepts women as leaders assuming that the group is composed of Chewas where matriarchy is recognized. Mrs Mavhuru’s contribution has some irony in it since mere acceptance of women leadership without substantial influence in decision making does not commensurate to empowerment. These statements were however said out in mixed group discussions where both men and women were present and elements of ‘interactional modus vivendi was observed (honouring the perspectives given by the other group even not in total agreement). When interviewed away from the group, the key informant Mr Singo on 23 October 2014 highlighted, </w:t>
      </w:r>
    </w:p>
    <w:p w14:paraId="3E18DBB1" w14:textId="77777777" w:rsidR="00C55AC3" w:rsidRPr="00C55AC3" w:rsidRDefault="00C55AC3" w:rsidP="00C55AC3">
      <w:pPr>
        <w:spacing w:after="200" w:line="240" w:lineRule="auto"/>
        <w:ind w:left="720"/>
        <w:jc w:val="both"/>
        <w:rPr>
          <w:rFonts w:ascii="Times New Roman" w:eastAsia="Calibri" w:hAnsi="Times New Roman" w:cs="Times New Roman"/>
          <w:lang w:val="en-ZA"/>
        </w:rPr>
      </w:pPr>
      <w:r w:rsidRPr="00C55AC3">
        <w:rPr>
          <w:rFonts w:ascii="Times New Roman" w:eastAsia="Calibri" w:hAnsi="Times New Roman" w:cs="Times New Roman"/>
          <w:lang w:val="en-ZA"/>
        </w:rPr>
        <w:t>“</w:t>
      </w:r>
      <w:r w:rsidRPr="00C55AC3">
        <w:rPr>
          <w:rFonts w:ascii="Times New Roman" w:eastAsia="Calibri" w:hAnsi="Times New Roman" w:cs="Times New Roman"/>
          <w:i/>
          <w:lang w:val="en-ZA"/>
        </w:rPr>
        <w:t>Scheme members become committee members by election. Women do manage the irrigation activities but not often…they are taken as unwise people by the men</w:t>
      </w:r>
      <w:r w:rsidRPr="00C55AC3">
        <w:rPr>
          <w:rFonts w:ascii="Times New Roman" w:eastAsia="Calibri" w:hAnsi="Times New Roman" w:cs="Times New Roman"/>
          <w:lang w:val="en-ZA"/>
        </w:rPr>
        <w:t xml:space="preserve">”. </w:t>
      </w:r>
    </w:p>
    <w:p w14:paraId="5AB0E074" w14:textId="77777777" w:rsidR="00C55AC3" w:rsidRPr="00C55AC3" w:rsidRDefault="00C55AC3" w:rsidP="00C55AC3">
      <w:pPr>
        <w:spacing w:after="200" w:line="276" w:lineRule="auto"/>
        <w:contextualSpacing/>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This statement gives a stereotypical view of women by men, which this paper views as a coping strategy used by the minority male irrigators (cultivating inferiority complex in the women) in order for them to survive in women dominated spaces such as irrigation schemes. Considering the mere fact that men are considered as the legitimate leaders at house hold level as well as community level does not match reality in that women are responsible for the day to day running of the scheme (implementers). </w:t>
      </w:r>
    </w:p>
    <w:p w14:paraId="4E9FA319" w14:textId="77777777" w:rsidR="00C55AC3" w:rsidRPr="00C55AC3" w:rsidRDefault="00C55AC3" w:rsidP="00C55AC3">
      <w:pPr>
        <w:spacing w:after="200" w:line="276" w:lineRule="auto"/>
        <w:contextualSpacing/>
        <w:jc w:val="both"/>
        <w:rPr>
          <w:rFonts w:ascii="Times New Roman" w:eastAsia="Calibri" w:hAnsi="Times New Roman" w:cs="Times New Roman"/>
          <w:b/>
          <w:lang w:val="en-ZA"/>
        </w:rPr>
      </w:pPr>
    </w:p>
    <w:p w14:paraId="5D40D191" w14:textId="77777777" w:rsidR="00C55AC3" w:rsidRPr="00C55AC3" w:rsidRDefault="00C55AC3" w:rsidP="00C55AC3">
      <w:pPr>
        <w:spacing w:after="200" w:line="276" w:lineRule="auto"/>
        <w:jc w:val="both"/>
        <w:rPr>
          <w:rFonts w:ascii="Times New Roman" w:eastAsia="Times New Roman" w:hAnsi="Times New Roman" w:cs="Times New Roman"/>
          <w:b/>
          <w:bCs/>
          <w:lang w:val="en-ZA"/>
        </w:rPr>
      </w:pPr>
      <w:r w:rsidRPr="00C55AC3">
        <w:rPr>
          <w:rFonts w:ascii="Times New Roman" w:eastAsia="Times New Roman" w:hAnsi="Times New Roman" w:cs="Times New Roman"/>
          <w:b/>
          <w:bCs/>
          <w:lang w:val="en-ZA"/>
        </w:rPr>
        <w:t>3.1.5 Women’s roles in irrigation farming</w:t>
      </w:r>
    </w:p>
    <w:p w14:paraId="1AB49F90"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In spite of women’s observed substantial contribution to irrigation labour notwithstanding their minimal participation in the governance structures of the scheme their high numerical representation places them as the reliable contributors of scheme financial requirements and production loan repayment.  This was reflected in the scheme accounts records where 70% of financial contributions specifically for the scheme were collected from women. This leaves men at the periphery of the irrigation development box while women are right at the centre. This pattern is attributed to the fact that men invest in other off-farm activities hence their absence in irrigation development box. Due to their high investment in irrigation farming in terms of time, labour and financial commitment women tend to have direct contact with the means of production more than men who ironically come in as managers even when detached from the resources in question. </w:t>
      </w:r>
    </w:p>
    <w:p w14:paraId="1E5A22C5" w14:textId="77777777" w:rsidR="00C55AC3" w:rsidRPr="00C55AC3" w:rsidRDefault="00C55AC3" w:rsidP="00C55AC3">
      <w:pPr>
        <w:keepNext/>
        <w:keepLines/>
        <w:spacing w:before="200" w:after="0" w:line="276" w:lineRule="auto"/>
        <w:jc w:val="both"/>
        <w:outlineLvl w:val="2"/>
        <w:rPr>
          <w:rFonts w:ascii="Times New Roman" w:eastAsia="Times New Roman" w:hAnsi="Times New Roman" w:cs="Times New Roman"/>
          <w:b/>
          <w:bCs/>
          <w:lang w:val="en-ZA"/>
        </w:rPr>
      </w:pPr>
      <w:bookmarkStart w:id="29" w:name="_Toc427137471"/>
      <w:r w:rsidRPr="00C55AC3">
        <w:rPr>
          <w:rFonts w:ascii="Times New Roman" w:eastAsia="Times New Roman" w:hAnsi="Times New Roman" w:cs="Times New Roman"/>
          <w:b/>
          <w:bCs/>
          <w:lang w:val="en-ZA"/>
        </w:rPr>
        <w:t>3.1.6 Time allocation</w:t>
      </w:r>
      <w:bookmarkEnd w:id="29"/>
      <w:r w:rsidRPr="00C55AC3">
        <w:rPr>
          <w:rFonts w:ascii="Times New Roman" w:eastAsia="Times New Roman" w:hAnsi="Times New Roman" w:cs="Times New Roman"/>
          <w:b/>
          <w:bCs/>
          <w:lang w:val="en-ZA"/>
        </w:rPr>
        <w:t xml:space="preserve"> </w:t>
      </w:r>
    </w:p>
    <w:p w14:paraId="02F48FAD"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After carrying out a macro assessment of time investment by both rainfed and irrigation farmers it was observed that generally female farmers exert more time than their male counterparts in agriculture activities in both rainfed and irrigated plots, though variations can be observed with seasons. The period from May to August (dry season) is characteristic of high labour intensification in the irrigation scheme, after which a gradual reduction in labour intensification characteristic of the post irrigation harvest period is observed more for female farmers than male farmers. Women have the highest level of labour provision during the dry season period specifically on tasks such as de-silting the canals and fertilizer application (</w:t>
      </w:r>
      <w:r w:rsidRPr="00C55AC3">
        <w:rPr>
          <w:rFonts w:ascii="Times New Roman" w:eastAsia="Calibri" w:hAnsi="Times New Roman" w:cs="Times New Roman"/>
          <w:i/>
          <w:lang w:val="en-ZA"/>
        </w:rPr>
        <w:t>see Annex A</w:t>
      </w:r>
      <w:r w:rsidRPr="00C55AC3">
        <w:rPr>
          <w:rFonts w:ascii="Times New Roman" w:eastAsia="Calibri" w:hAnsi="Times New Roman" w:cs="Times New Roman"/>
          <w:lang w:val="en-ZA"/>
        </w:rPr>
        <w:t>). Contrary there is less labour intensification during the same period on the rainfed plots, except for the month of August where labour demand is high and equally demanding by gender on both plots.</w:t>
      </w:r>
    </w:p>
    <w:p w14:paraId="7B38847C" w14:textId="77777777" w:rsidR="00C55AC3" w:rsidRPr="00C55AC3" w:rsidRDefault="00C55AC3" w:rsidP="00C55AC3">
      <w:pPr>
        <w:spacing w:after="200" w:line="276" w:lineRule="auto"/>
        <w:jc w:val="both"/>
        <w:rPr>
          <w:rFonts w:ascii="Times New Roman" w:eastAsia="Calibri" w:hAnsi="Times New Roman" w:cs="Times New Roman"/>
          <w:bCs/>
          <w:lang w:val="en-ZA"/>
        </w:rPr>
      </w:pPr>
      <w:r w:rsidRPr="00C55AC3">
        <w:rPr>
          <w:rFonts w:ascii="Times New Roman" w:eastAsia="Calibri" w:hAnsi="Times New Roman" w:cs="Times New Roman"/>
          <w:lang w:val="en-ZA"/>
        </w:rPr>
        <w:t xml:space="preserve">A gradual increase in demand for labour equally for men and women on the rainfed plots is observed from December to April. An asynchronized relationship between labour demand and food availability amplifies the vulnerability of agricultural labourers especially women especially during the onset of the rain season when labour requirements are at their maximum. Provision of labour by males is higher </w:t>
      </w:r>
      <w:r w:rsidRPr="00C55AC3">
        <w:rPr>
          <w:rFonts w:ascii="Times New Roman" w:eastAsia="Calibri" w:hAnsi="Times New Roman" w:cs="Times New Roman"/>
          <w:lang w:val="en-ZA"/>
        </w:rPr>
        <w:lastRenderedPageBreak/>
        <w:t xml:space="preserve">than that for females in April when tobacco fields are attended to most and also in October when tobacco nurseries and planting stations are prepared. </w:t>
      </w:r>
      <w:r w:rsidRPr="00C55AC3">
        <w:rPr>
          <w:rFonts w:ascii="Times New Roman" w:eastAsia="Calibri" w:hAnsi="Times New Roman" w:cs="Times New Roman"/>
          <w:bCs/>
          <w:lang w:val="en-ZA"/>
        </w:rPr>
        <w:t xml:space="preserve">During the same period farmers will have harvested crop produce from the irrigated plots and would be disposed of at the market place hence time will be spend more at the market place than in the fields while other mostly women will preserving the harvested crop using various techniques inclusive of shelling, packaging and applying chemicals. Men are considered economically less vulnerable than women during this period as a consequence of the high value products such as fish, baskets and transport hiring that they offer compared to women who will be selling field produce which are sold at a low rate due to market saturation. </w:t>
      </w:r>
    </w:p>
    <w:p w14:paraId="423F826F"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b/>
          <w:sz w:val="20"/>
          <w:szCs w:val="20"/>
          <w:lang w:val="en-ZA"/>
        </w:rPr>
        <w:t>Farmers’ seasonal Calendar</w:t>
      </w:r>
    </w:p>
    <w:tbl>
      <w:tblPr>
        <w:tblStyle w:val="TableGrid"/>
        <w:tblW w:w="0" w:type="auto"/>
        <w:tblLook w:val="04A0" w:firstRow="1" w:lastRow="0" w:firstColumn="1" w:lastColumn="0" w:noHBand="0" w:noVBand="1"/>
      </w:tblPr>
      <w:tblGrid>
        <w:gridCol w:w="1678"/>
        <w:gridCol w:w="516"/>
        <w:gridCol w:w="539"/>
        <w:gridCol w:w="571"/>
        <w:gridCol w:w="623"/>
        <w:gridCol w:w="592"/>
        <w:gridCol w:w="520"/>
        <w:gridCol w:w="475"/>
        <w:gridCol w:w="563"/>
        <w:gridCol w:w="539"/>
        <w:gridCol w:w="529"/>
        <w:gridCol w:w="568"/>
        <w:gridCol w:w="536"/>
        <w:gridCol w:w="554"/>
      </w:tblGrid>
      <w:tr w:rsidR="00C55AC3" w:rsidRPr="00C55AC3" w14:paraId="64FBCDB9" w14:textId="77777777" w:rsidTr="00621D98">
        <w:tc>
          <w:tcPr>
            <w:tcW w:w="8249" w:type="dxa"/>
            <w:gridSpan w:val="13"/>
          </w:tcPr>
          <w:p w14:paraId="197BB0C5"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Temporal variations in labour intensification by gender</w:t>
            </w:r>
          </w:p>
        </w:tc>
        <w:tc>
          <w:tcPr>
            <w:tcW w:w="554" w:type="dxa"/>
          </w:tcPr>
          <w:p w14:paraId="3939443E"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 xml:space="preserve">Total </w:t>
            </w:r>
          </w:p>
        </w:tc>
      </w:tr>
      <w:tr w:rsidR="00C55AC3" w:rsidRPr="00C55AC3" w14:paraId="6FD44C6A" w14:textId="77777777" w:rsidTr="00621D98">
        <w:tc>
          <w:tcPr>
            <w:tcW w:w="1678" w:type="dxa"/>
          </w:tcPr>
          <w:p w14:paraId="2B100BD3"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t xml:space="preserve"> Month</w:t>
            </w:r>
          </w:p>
        </w:tc>
        <w:tc>
          <w:tcPr>
            <w:tcW w:w="516" w:type="dxa"/>
          </w:tcPr>
          <w:p w14:paraId="21A25A6C"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Jan</w:t>
            </w:r>
          </w:p>
        </w:tc>
        <w:tc>
          <w:tcPr>
            <w:tcW w:w="539" w:type="dxa"/>
          </w:tcPr>
          <w:p w14:paraId="6C73A09F"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Feb</w:t>
            </w:r>
          </w:p>
        </w:tc>
        <w:tc>
          <w:tcPr>
            <w:tcW w:w="571" w:type="dxa"/>
          </w:tcPr>
          <w:p w14:paraId="2AE5E73A"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Mar</w:t>
            </w:r>
          </w:p>
        </w:tc>
        <w:tc>
          <w:tcPr>
            <w:tcW w:w="623" w:type="dxa"/>
          </w:tcPr>
          <w:p w14:paraId="50E47276"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April</w:t>
            </w:r>
          </w:p>
        </w:tc>
        <w:tc>
          <w:tcPr>
            <w:tcW w:w="592" w:type="dxa"/>
          </w:tcPr>
          <w:p w14:paraId="67080343"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May</w:t>
            </w:r>
          </w:p>
        </w:tc>
        <w:tc>
          <w:tcPr>
            <w:tcW w:w="520" w:type="dxa"/>
          </w:tcPr>
          <w:p w14:paraId="39721ED8"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Jun</w:t>
            </w:r>
          </w:p>
        </w:tc>
        <w:tc>
          <w:tcPr>
            <w:tcW w:w="475" w:type="dxa"/>
          </w:tcPr>
          <w:p w14:paraId="6A1627D2"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Jul</w:t>
            </w:r>
          </w:p>
        </w:tc>
        <w:tc>
          <w:tcPr>
            <w:tcW w:w="563" w:type="dxa"/>
          </w:tcPr>
          <w:p w14:paraId="6F029DF2"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Aug</w:t>
            </w:r>
          </w:p>
        </w:tc>
        <w:tc>
          <w:tcPr>
            <w:tcW w:w="539" w:type="dxa"/>
          </w:tcPr>
          <w:p w14:paraId="52723404"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Sep</w:t>
            </w:r>
          </w:p>
        </w:tc>
        <w:tc>
          <w:tcPr>
            <w:tcW w:w="529" w:type="dxa"/>
          </w:tcPr>
          <w:p w14:paraId="024254E6"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Oct</w:t>
            </w:r>
          </w:p>
        </w:tc>
        <w:tc>
          <w:tcPr>
            <w:tcW w:w="568" w:type="dxa"/>
          </w:tcPr>
          <w:p w14:paraId="45BFAE0E"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Nov</w:t>
            </w:r>
          </w:p>
        </w:tc>
        <w:tc>
          <w:tcPr>
            <w:tcW w:w="536" w:type="dxa"/>
          </w:tcPr>
          <w:p w14:paraId="65853942"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Dec</w:t>
            </w:r>
          </w:p>
        </w:tc>
        <w:tc>
          <w:tcPr>
            <w:tcW w:w="554" w:type="dxa"/>
          </w:tcPr>
          <w:p w14:paraId="42F29894" w14:textId="77777777" w:rsidR="00C55AC3" w:rsidRPr="00C55AC3" w:rsidRDefault="00C55AC3" w:rsidP="00C55AC3">
            <w:pPr>
              <w:jc w:val="both"/>
              <w:rPr>
                <w:rFonts w:ascii="Times New Roman" w:eastAsia="Calibri" w:hAnsi="Times New Roman" w:cs="Times New Roman"/>
                <w:sz w:val="16"/>
                <w:szCs w:val="16"/>
              </w:rPr>
            </w:pPr>
          </w:p>
        </w:tc>
      </w:tr>
      <w:tr w:rsidR="00C55AC3" w:rsidRPr="00C55AC3" w14:paraId="429E28E1" w14:textId="77777777" w:rsidTr="00621D98">
        <w:tc>
          <w:tcPr>
            <w:tcW w:w="1678" w:type="dxa"/>
          </w:tcPr>
          <w:p w14:paraId="3E8478DE"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t xml:space="preserve">Male (Irrigators) </w:t>
            </w:r>
          </w:p>
        </w:tc>
        <w:tc>
          <w:tcPr>
            <w:tcW w:w="516" w:type="dxa"/>
          </w:tcPr>
          <w:p w14:paraId="7B1DA7F3"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w:t>
            </w:r>
          </w:p>
        </w:tc>
        <w:tc>
          <w:tcPr>
            <w:tcW w:w="539" w:type="dxa"/>
          </w:tcPr>
          <w:p w14:paraId="3BC1042C"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w:t>
            </w:r>
          </w:p>
        </w:tc>
        <w:tc>
          <w:tcPr>
            <w:tcW w:w="571" w:type="dxa"/>
          </w:tcPr>
          <w:p w14:paraId="76C9DF3A"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w:t>
            </w:r>
          </w:p>
        </w:tc>
        <w:tc>
          <w:tcPr>
            <w:tcW w:w="623" w:type="dxa"/>
          </w:tcPr>
          <w:p w14:paraId="3985ACB5"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3</w:t>
            </w:r>
          </w:p>
        </w:tc>
        <w:tc>
          <w:tcPr>
            <w:tcW w:w="592" w:type="dxa"/>
          </w:tcPr>
          <w:p w14:paraId="583F6050"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18</w:t>
            </w:r>
          </w:p>
        </w:tc>
        <w:tc>
          <w:tcPr>
            <w:tcW w:w="520" w:type="dxa"/>
          </w:tcPr>
          <w:p w14:paraId="125EBE9F"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w:t>
            </w:r>
          </w:p>
        </w:tc>
        <w:tc>
          <w:tcPr>
            <w:tcW w:w="475" w:type="dxa"/>
          </w:tcPr>
          <w:p w14:paraId="57C3A045"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18</w:t>
            </w:r>
          </w:p>
        </w:tc>
        <w:tc>
          <w:tcPr>
            <w:tcW w:w="563" w:type="dxa"/>
          </w:tcPr>
          <w:p w14:paraId="06E84DFD"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12</w:t>
            </w:r>
          </w:p>
        </w:tc>
        <w:tc>
          <w:tcPr>
            <w:tcW w:w="539" w:type="dxa"/>
          </w:tcPr>
          <w:p w14:paraId="19048B00"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12</w:t>
            </w:r>
          </w:p>
        </w:tc>
        <w:tc>
          <w:tcPr>
            <w:tcW w:w="529" w:type="dxa"/>
          </w:tcPr>
          <w:p w14:paraId="5E55394B"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3</w:t>
            </w:r>
          </w:p>
        </w:tc>
        <w:tc>
          <w:tcPr>
            <w:tcW w:w="568" w:type="dxa"/>
          </w:tcPr>
          <w:p w14:paraId="0683D83A"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3</w:t>
            </w:r>
          </w:p>
        </w:tc>
        <w:tc>
          <w:tcPr>
            <w:tcW w:w="536" w:type="dxa"/>
          </w:tcPr>
          <w:p w14:paraId="0B0AE4B7"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w:t>
            </w:r>
          </w:p>
        </w:tc>
        <w:tc>
          <w:tcPr>
            <w:tcW w:w="554" w:type="dxa"/>
          </w:tcPr>
          <w:p w14:paraId="3BF50A6F"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75</w:t>
            </w:r>
          </w:p>
        </w:tc>
      </w:tr>
      <w:tr w:rsidR="00C55AC3" w:rsidRPr="00C55AC3" w14:paraId="631B5E4B" w14:textId="77777777" w:rsidTr="00621D98">
        <w:tc>
          <w:tcPr>
            <w:tcW w:w="1678" w:type="dxa"/>
          </w:tcPr>
          <w:p w14:paraId="48931070"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t>Female (Irrigators)</w:t>
            </w:r>
          </w:p>
        </w:tc>
        <w:tc>
          <w:tcPr>
            <w:tcW w:w="516" w:type="dxa"/>
          </w:tcPr>
          <w:p w14:paraId="4CEA6437"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w:t>
            </w:r>
          </w:p>
        </w:tc>
        <w:tc>
          <w:tcPr>
            <w:tcW w:w="539" w:type="dxa"/>
          </w:tcPr>
          <w:p w14:paraId="57136F6A"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w:t>
            </w:r>
          </w:p>
        </w:tc>
        <w:tc>
          <w:tcPr>
            <w:tcW w:w="571" w:type="dxa"/>
          </w:tcPr>
          <w:p w14:paraId="1FA622C1"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w:t>
            </w:r>
          </w:p>
        </w:tc>
        <w:tc>
          <w:tcPr>
            <w:tcW w:w="623" w:type="dxa"/>
          </w:tcPr>
          <w:p w14:paraId="43901982"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w:t>
            </w:r>
          </w:p>
        </w:tc>
        <w:tc>
          <w:tcPr>
            <w:tcW w:w="592" w:type="dxa"/>
          </w:tcPr>
          <w:p w14:paraId="0A2F7070"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21</w:t>
            </w:r>
          </w:p>
        </w:tc>
        <w:tc>
          <w:tcPr>
            <w:tcW w:w="520" w:type="dxa"/>
          </w:tcPr>
          <w:p w14:paraId="58F934DB"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12</w:t>
            </w:r>
          </w:p>
        </w:tc>
        <w:tc>
          <w:tcPr>
            <w:tcW w:w="475" w:type="dxa"/>
          </w:tcPr>
          <w:p w14:paraId="6B6D89ED"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27</w:t>
            </w:r>
          </w:p>
        </w:tc>
        <w:tc>
          <w:tcPr>
            <w:tcW w:w="563" w:type="dxa"/>
          </w:tcPr>
          <w:p w14:paraId="6451372A"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15</w:t>
            </w:r>
          </w:p>
        </w:tc>
        <w:tc>
          <w:tcPr>
            <w:tcW w:w="539" w:type="dxa"/>
          </w:tcPr>
          <w:p w14:paraId="1ABE4005"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15</w:t>
            </w:r>
          </w:p>
        </w:tc>
        <w:tc>
          <w:tcPr>
            <w:tcW w:w="529" w:type="dxa"/>
          </w:tcPr>
          <w:p w14:paraId="0FAAB9AA"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w:t>
            </w:r>
          </w:p>
        </w:tc>
        <w:tc>
          <w:tcPr>
            <w:tcW w:w="568" w:type="dxa"/>
          </w:tcPr>
          <w:p w14:paraId="23A16AED"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w:t>
            </w:r>
          </w:p>
        </w:tc>
        <w:tc>
          <w:tcPr>
            <w:tcW w:w="536" w:type="dxa"/>
          </w:tcPr>
          <w:p w14:paraId="028FDA79"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w:t>
            </w:r>
          </w:p>
        </w:tc>
        <w:tc>
          <w:tcPr>
            <w:tcW w:w="554" w:type="dxa"/>
          </w:tcPr>
          <w:p w14:paraId="63BCF54C"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108</w:t>
            </w:r>
          </w:p>
        </w:tc>
      </w:tr>
      <w:tr w:rsidR="00C55AC3" w:rsidRPr="00C55AC3" w14:paraId="35295DF6" w14:textId="77777777" w:rsidTr="00621D98">
        <w:tc>
          <w:tcPr>
            <w:tcW w:w="1678" w:type="dxa"/>
          </w:tcPr>
          <w:p w14:paraId="2BFD537D"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t>Male (rainfed)</w:t>
            </w:r>
          </w:p>
        </w:tc>
        <w:tc>
          <w:tcPr>
            <w:tcW w:w="516" w:type="dxa"/>
          </w:tcPr>
          <w:p w14:paraId="3078BFFF"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18</w:t>
            </w:r>
          </w:p>
        </w:tc>
        <w:tc>
          <w:tcPr>
            <w:tcW w:w="539" w:type="dxa"/>
          </w:tcPr>
          <w:p w14:paraId="236A6E75"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12</w:t>
            </w:r>
          </w:p>
        </w:tc>
        <w:tc>
          <w:tcPr>
            <w:tcW w:w="571" w:type="dxa"/>
          </w:tcPr>
          <w:p w14:paraId="451C49A8"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15</w:t>
            </w:r>
          </w:p>
        </w:tc>
        <w:tc>
          <w:tcPr>
            <w:tcW w:w="623" w:type="dxa"/>
          </w:tcPr>
          <w:p w14:paraId="694292FC"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21</w:t>
            </w:r>
          </w:p>
        </w:tc>
        <w:tc>
          <w:tcPr>
            <w:tcW w:w="592" w:type="dxa"/>
          </w:tcPr>
          <w:p w14:paraId="3A0DCF66"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w:t>
            </w:r>
          </w:p>
        </w:tc>
        <w:tc>
          <w:tcPr>
            <w:tcW w:w="520" w:type="dxa"/>
          </w:tcPr>
          <w:p w14:paraId="3EDA4D94"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15</w:t>
            </w:r>
          </w:p>
        </w:tc>
        <w:tc>
          <w:tcPr>
            <w:tcW w:w="475" w:type="dxa"/>
          </w:tcPr>
          <w:p w14:paraId="57DEF238"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9</w:t>
            </w:r>
          </w:p>
        </w:tc>
        <w:tc>
          <w:tcPr>
            <w:tcW w:w="563" w:type="dxa"/>
          </w:tcPr>
          <w:p w14:paraId="1EFF24D0"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18</w:t>
            </w:r>
          </w:p>
        </w:tc>
        <w:tc>
          <w:tcPr>
            <w:tcW w:w="539" w:type="dxa"/>
          </w:tcPr>
          <w:p w14:paraId="3D340A91"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w:t>
            </w:r>
          </w:p>
        </w:tc>
        <w:tc>
          <w:tcPr>
            <w:tcW w:w="529" w:type="dxa"/>
          </w:tcPr>
          <w:p w14:paraId="10862FB3"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12</w:t>
            </w:r>
          </w:p>
        </w:tc>
        <w:tc>
          <w:tcPr>
            <w:tcW w:w="568" w:type="dxa"/>
          </w:tcPr>
          <w:p w14:paraId="06E0A366"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w:t>
            </w:r>
          </w:p>
        </w:tc>
        <w:tc>
          <w:tcPr>
            <w:tcW w:w="536" w:type="dxa"/>
          </w:tcPr>
          <w:p w14:paraId="72E92A76"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15</w:t>
            </w:r>
          </w:p>
        </w:tc>
        <w:tc>
          <w:tcPr>
            <w:tcW w:w="554" w:type="dxa"/>
          </w:tcPr>
          <w:p w14:paraId="760EE9B9"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153</w:t>
            </w:r>
          </w:p>
        </w:tc>
      </w:tr>
      <w:tr w:rsidR="00C55AC3" w:rsidRPr="00C55AC3" w14:paraId="3F511579" w14:textId="77777777" w:rsidTr="00621D98">
        <w:tc>
          <w:tcPr>
            <w:tcW w:w="1678" w:type="dxa"/>
          </w:tcPr>
          <w:p w14:paraId="0F0674AC"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t>Female (rainfed)</w:t>
            </w:r>
          </w:p>
        </w:tc>
        <w:tc>
          <w:tcPr>
            <w:tcW w:w="516" w:type="dxa"/>
          </w:tcPr>
          <w:p w14:paraId="05B696D9"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18</w:t>
            </w:r>
          </w:p>
        </w:tc>
        <w:tc>
          <w:tcPr>
            <w:tcW w:w="539" w:type="dxa"/>
          </w:tcPr>
          <w:p w14:paraId="48C5A453"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24</w:t>
            </w:r>
          </w:p>
        </w:tc>
        <w:tc>
          <w:tcPr>
            <w:tcW w:w="571" w:type="dxa"/>
          </w:tcPr>
          <w:p w14:paraId="613DE568"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21</w:t>
            </w:r>
          </w:p>
        </w:tc>
        <w:tc>
          <w:tcPr>
            <w:tcW w:w="623" w:type="dxa"/>
          </w:tcPr>
          <w:p w14:paraId="1E96BE25"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18</w:t>
            </w:r>
          </w:p>
        </w:tc>
        <w:tc>
          <w:tcPr>
            <w:tcW w:w="592" w:type="dxa"/>
          </w:tcPr>
          <w:p w14:paraId="1809527B"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w:t>
            </w:r>
          </w:p>
        </w:tc>
        <w:tc>
          <w:tcPr>
            <w:tcW w:w="520" w:type="dxa"/>
          </w:tcPr>
          <w:p w14:paraId="38AE05A3"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15</w:t>
            </w:r>
          </w:p>
        </w:tc>
        <w:tc>
          <w:tcPr>
            <w:tcW w:w="475" w:type="dxa"/>
          </w:tcPr>
          <w:p w14:paraId="071B0699"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9</w:t>
            </w:r>
          </w:p>
        </w:tc>
        <w:tc>
          <w:tcPr>
            <w:tcW w:w="563" w:type="dxa"/>
          </w:tcPr>
          <w:p w14:paraId="32D8E0E4"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18</w:t>
            </w:r>
          </w:p>
        </w:tc>
        <w:tc>
          <w:tcPr>
            <w:tcW w:w="539" w:type="dxa"/>
          </w:tcPr>
          <w:p w14:paraId="45386557"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w:t>
            </w:r>
          </w:p>
        </w:tc>
        <w:tc>
          <w:tcPr>
            <w:tcW w:w="529" w:type="dxa"/>
          </w:tcPr>
          <w:p w14:paraId="1F94A4A2"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6</w:t>
            </w:r>
          </w:p>
        </w:tc>
        <w:tc>
          <w:tcPr>
            <w:tcW w:w="568" w:type="dxa"/>
          </w:tcPr>
          <w:p w14:paraId="247C8F27"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9</w:t>
            </w:r>
          </w:p>
        </w:tc>
        <w:tc>
          <w:tcPr>
            <w:tcW w:w="536" w:type="dxa"/>
          </w:tcPr>
          <w:p w14:paraId="598C9CC3"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18</w:t>
            </w:r>
          </w:p>
        </w:tc>
        <w:tc>
          <w:tcPr>
            <w:tcW w:w="554" w:type="dxa"/>
          </w:tcPr>
          <w:p w14:paraId="0266DDA1"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168</w:t>
            </w:r>
          </w:p>
        </w:tc>
      </w:tr>
    </w:tbl>
    <w:p w14:paraId="24B18E57" w14:textId="77777777" w:rsidR="00C55AC3" w:rsidRPr="00C55AC3" w:rsidRDefault="00C55AC3" w:rsidP="00C55AC3">
      <w:pPr>
        <w:spacing w:after="200" w:line="240" w:lineRule="auto"/>
        <w:jc w:val="center"/>
        <w:rPr>
          <w:rFonts w:ascii="Times New Roman" w:eastAsia="Calibri" w:hAnsi="Times New Roman" w:cs="Times New Roman"/>
          <w:b/>
          <w:bCs/>
          <w:sz w:val="18"/>
          <w:szCs w:val="18"/>
          <w:lang w:val="en-ZA"/>
        </w:rPr>
      </w:pPr>
      <w:r w:rsidRPr="00C55AC3">
        <w:rPr>
          <w:rFonts w:ascii="Times New Roman" w:eastAsia="Calibri" w:hAnsi="Times New Roman" w:cs="Times New Roman"/>
          <w:b/>
          <w:bCs/>
          <w:sz w:val="18"/>
          <w:szCs w:val="18"/>
          <w:lang w:val="en-ZA"/>
        </w:rPr>
        <w:t>Table 4: Labour intensification monthly scores by gender</w:t>
      </w:r>
    </w:p>
    <w:p w14:paraId="4AAE5FBE"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Micro-level analysis of time and labour management shows that women’s responsibilities tend to go beyond the irrigation scheme consequently working for longer hours with less time for income generating activities, a scenario different from that of men who tends to dominate in off-farm activities. Thus in terms of productive time women tend to spend longer but less productive periods than men who often have ample time to attend to off-farm income generating activities which are much more instantly rewarding. Off-farm (</w:t>
      </w:r>
      <w:r w:rsidRPr="00C55AC3">
        <w:rPr>
          <w:rFonts w:ascii="Times New Roman" w:eastAsia="Calibri" w:hAnsi="Times New Roman" w:cs="Times New Roman"/>
          <w:i/>
          <w:lang w:val="en-ZA"/>
        </w:rPr>
        <w:t>ganyu</w:t>
      </w:r>
      <w:r w:rsidRPr="00C55AC3">
        <w:rPr>
          <w:rFonts w:ascii="Times New Roman" w:eastAsia="Calibri" w:hAnsi="Times New Roman" w:cs="Times New Roman"/>
          <w:lang w:val="en-ZA"/>
        </w:rPr>
        <w:t>) income obtained by engaging in activities such as cash for work and hiring out labour is a supplementary source to irrigation produce and is a source of livelihoods in dry lands. In Kandeu for instance, females make up 4 out of 10 of off-farm labourers and this is rather minimal while men make the majority of those who hire out labour (</w:t>
      </w:r>
      <w:r w:rsidRPr="00C55AC3">
        <w:rPr>
          <w:rFonts w:ascii="Times New Roman" w:eastAsia="Calibri" w:hAnsi="Times New Roman" w:cs="Times New Roman"/>
          <w:i/>
          <w:lang w:val="en-ZA"/>
        </w:rPr>
        <w:t>ganyu</w:t>
      </w:r>
      <w:r w:rsidRPr="00C55AC3">
        <w:rPr>
          <w:rFonts w:ascii="Times New Roman" w:eastAsia="Calibri" w:hAnsi="Times New Roman" w:cs="Times New Roman"/>
          <w:lang w:val="en-ZA"/>
        </w:rPr>
        <w:t xml:space="preserve">). Generally the irrigators indicated that by 4am they will be in the field working as supported by Mrs Chimwaira on 23 October 2014, who said, </w:t>
      </w:r>
    </w:p>
    <w:p w14:paraId="1E9BE872" w14:textId="77777777" w:rsidR="00C55AC3" w:rsidRPr="00C55AC3" w:rsidRDefault="00C55AC3" w:rsidP="00C55AC3">
      <w:pPr>
        <w:spacing w:after="200" w:line="276" w:lineRule="auto"/>
        <w:ind w:left="720"/>
        <w:jc w:val="both"/>
        <w:rPr>
          <w:rFonts w:ascii="Times New Roman" w:eastAsia="Calibri" w:hAnsi="Times New Roman" w:cs="Times New Roman"/>
          <w:lang w:val="en-ZA"/>
        </w:rPr>
      </w:pPr>
      <w:r w:rsidRPr="00C55AC3">
        <w:rPr>
          <w:rFonts w:ascii="Times New Roman" w:eastAsia="Calibri" w:hAnsi="Times New Roman" w:cs="Times New Roman"/>
          <w:lang w:val="en-ZA"/>
        </w:rPr>
        <w:t>“</w:t>
      </w:r>
      <w:r w:rsidRPr="00C55AC3">
        <w:rPr>
          <w:rFonts w:ascii="Times New Roman" w:eastAsia="Calibri" w:hAnsi="Times New Roman" w:cs="Times New Roman"/>
          <w:i/>
          <w:lang w:val="en-ZA"/>
        </w:rPr>
        <w:t xml:space="preserve">When there is moon light--by 2 am I will already be in the field working until 10 or even 11 am… </w:t>
      </w:r>
      <w:r w:rsidRPr="00C55AC3">
        <w:rPr>
          <w:rFonts w:ascii="Times New Roman" w:eastAsia="Calibri" w:hAnsi="Times New Roman" w:cs="Times New Roman"/>
          <w:lang w:val="en-ZA"/>
        </w:rPr>
        <w:t>”.</w:t>
      </w:r>
      <w:r w:rsidRPr="00C55AC3">
        <w:rPr>
          <w:rFonts w:ascii="Times New Roman" w:eastAsia="Calibri" w:hAnsi="Times New Roman" w:cs="Times New Roman"/>
          <w:i/>
          <w:lang w:val="en-ZA"/>
        </w:rPr>
        <w:t xml:space="preserve"> </w:t>
      </w:r>
    </w:p>
    <w:p w14:paraId="5E3130E2"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This statement is an indication that the irrigators’ majority of which are women can go up to 8 hours of labour in the fields leaving no extra activity time. The female irrigators further explained that they go to the fields early in the morning in order to have time to attend to other household chores as a result certain irrigation specific roles are forgone in order to attend to household responsibilities.</w:t>
      </w:r>
      <w:r w:rsidRPr="00C55AC3">
        <w:rPr>
          <w:rFonts w:ascii="Times New Roman" w:eastAsia="Calibri" w:hAnsi="Times New Roman" w:cs="Times New Roman"/>
          <w:i/>
          <w:lang w:val="en-ZA"/>
        </w:rPr>
        <w:t xml:space="preserve"> </w:t>
      </w:r>
      <w:r w:rsidRPr="00C55AC3">
        <w:rPr>
          <w:rFonts w:ascii="Times New Roman" w:eastAsia="Calibri" w:hAnsi="Times New Roman" w:cs="Times New Roman"/>
          <w:lang w:val="en-ZA"/>
        </w:rPr>
        <w:t xml:space="preserve">Moreover, to add to the afore mentioned duties women are as well sent to attend meetings while men practice </w:t>
      </w:r>
      <w:r w:rsidRPr="00C55AC3">
        <w:rPr>
          <w:rFonts w:ascii="Times New Roman" w:eastAsia="Calibri" w:hAnsi="Times New Roman" w:cs="Times New Roman"/>
          <w:i/>
          <w:lang w:val="en-ZA"/>
        </w:rPr>
        <w:t>ganyu</w:t>
      </w:r>
      <w:r w:rsidRPr="00C55AC3">
        <w:rPr>
          <w:rFonts w:ascii="Times New Roman" w:eastAsia="Calibri" w:hAnsi="Times New Roman" w:cs="Times New Roman"/>
          <w:lang w:val="en-ZA"/>
        </w:rPr>
        <w:t xml:space="preserve"> to raise more money which they will have control over. </w:t>
      </w:r>
    </w:p>
    <w:p w14:paraId="202D3548" w14:textId="77777777" w:rsidR="00C55AC3" w:rsidRPr="00C55AC3" w:rsidRDefault="00C55AC3" w:rsidP="00C55AC3">
      <w:pPr>
        <w:spacing w:after="200" w:line="240" w:lineRule="auto"/>
        <w:jc w:val="both"/>
        <w:outlineLvl w:val="2"/>
        <w:rPr>
          <w:rFonts w:ascii="Times New Roman" w:eastAsia="Calibri" w:hAnsi="Times New Roman" w:cs="Times New Roman"/>
          <w:b/>
          <w:bCs/>
          <w:lang w:val="en-ZA"/>
        </w:rPr>
      </w:pPr>
      <w:bookmarkStart w:id="30" w:name="_Toc427137472"/>
      <w:r w:rsidRPr="00C55AC3">
        <w:rPr>
          <w:rFonts w:ascii="Times New Roman" w:eastAsia="Calibri" w:hAnsi="Times New Roman" w:cs="Times New Roman"/>
          <w:b/>
          <w:bCs/>
          <w:lang w:val="en-ZA"/>
        </w:rPr>
        <w:t>3.1.7 Income and expenditure</w:t>
      </w:r>
      <w:bookmarkEnd w:id="30"/>
    </w:p>
    <w:p w14:paraId="0161C335" w14:textId="77777777" w:rsidR="00C55AC3" w:rsidRPr="00C55AC3" w:rsidRDefault="00C55AC3" w:rsidP="00C55AC3">
      <w:pPr>
        <w:spacing w:after="200" w:line="276" w:lineRule="auto"/>
        <w:jc w:val="both"/>
        <w:rPr>
          <w:rFonts w:ascii="Times New Roman" w:eastAsia="Calibri" w:hAnsi="Times New Roman" w:cs="Times New Roman"/>
          <w:b/>
          <w:lang w:val="en-ZA"/>
        </w:rPr>
      </w:pPr>
      <w:r w:rsidRPr="00C55AC3">
        <w:rPr>
          <w:rFonts w:ascii="Times New Roman" w:eastAsia="Calibri" w:hAnsi="Times New Roman" w:cs="Times New Roman"/>
          <w:b/>
          <w:lang w:val="en-ZA"/>
        </w:rPr>
        <w:t>(a) Sources of income</w:t>
      </w:r>
    </w:p>
    <w:p w14:paraId="1E8A76A3"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A focus group discussion held with a mixture of 5 men and 8 women benefiting from both rainfed and irrigation farming was held. The responses show that women benefited more from agriculture produce than from other off-farm activities. Men on the other hand benefited satisfactorily from agriculture activities and more from off-farm activities. Table below provides an indication of the degree to which men and women benefits from the given sources of income.</w:t>
      </w:r>
    </w:p>
    <w:tbl>
      <w:tblPr>
        <w:tblStyle w:val="TableGrid"/>
        <w:tblW w:w="0" w:type="auto"/>
        <w:tblLook w:val="04A0" w:firstRow="1" w:lastRow="0" w:firstColumn="1" w:lastColumn="0" w:noHBand="0" w:noVBand="1"/>
      </w:tblPr>
      <w:tblGrid>
        <w:gridCol w:w="1132"/>
        <w:gridCol w:w="1145"/>
        <w:gridCol w:w="1196"/>
        <w:gridCol w:w="1106"/>
        <w:gridCol w:w="1182"/>
        <w:gridCol w:w="1118"/>
        <w:gridCol w:w="1206"/>
        <w:gridCol w:w="931"/>
      </w:tblGrid>
      <w:tr w:rsidR="00C55AC3" w:rsidRPr="00C55AC3" w14:paraId="637D0162" w14:textId="77777777" w:rsidTr="00621D98">
        <w:tc>
          <w:tcPr>
            <w:tcW w:w="1160" w:type="dxa"/>
          </w:tcPr>
          <w:p w14:paraId="40F60F67"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lastRenderedPageBreak/>
              <w:t>Source of income</w:t>
            </w:r>
          </w:p>
        </w:tc>
        <w:tc>
          <w:tcPr>
            <w:tcW w:w="1178" w:type="dxa"/>
          </w:tcPr>
          <w:p w14:paraId="3AB9ACA3"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Rainfed farming</w:t>
            </w:r>
          </w:p>
        </w:tc>
        <w:tc>
          <w:tcPr>
            <w:tcW w:w="1225" w:type="dxa"/>
          </w:tcPr>
          <w:p w14:paraId="0020ACA8"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Irrigation farming</w:t>
            </w:r>
          </w:p>
        </w:tc>
        <w:tc>
          <w:tcPr>
            <w:tcW w:w="1143" w:type="dxa"/>
          </w:tcPr>
          <w:p w14:paraId="008C486E"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 xml:space="preserve">Hired out labour </w:t>
            </w:r>
          </w:p>
        </w:tc>
        <w:tc>
          <w:tcPr>
            <w:tcW w:w="1212" w:type="dxa"/>
          </w:tcPr>
          <w:p w14:paraId="20C35B90"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Selling firewood</w:t>
            </w:r>
          </w:p>
        </w:tc>
        <w:tc>
          <w:tcPr>
            <w:tcW w:w="1153" w:type="dxa"/>
          </w:tcPr>
          <w:p w14:paraId="019C5CA0"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Selling craft work</w:t>
            </w:r>
          </w:p>
        </w:tc>
        <w:tc>
          <w:tcPr>
            <w:tcW w:w="1234" w:type="dxa"/>
          </w:tcPr>
          <w:p w14:paraId="669A0C7C"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Transport</w:t>
            </w:r>
          </w:p>
        </w:tc>
        <w:tc>
          <w:tcPr>
            <w:tcW w:w="937" w:type="dxa"/>
          </w:tcPr>
          <w:p w14:paraId="3EDDF140"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Selling beverages</w:t>
            </w:r>
          </w:p>
        </w:tc>
      </w:tr>
      <w:tr w:rsidR="00C55AC3" w:rsidRPr="00C55AC3" w14:paraId="374459C2" w14:textId="77777777" w:rsidTr="00621D98">
        <w:tc>
          <w:tcPr>
            <w:tcW w:w="1160" w:type="dxa"/>
          </w:tcPr>
          <w:p w14:paraId="4DAB0456"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t>Male</w:t>
            </w:r>
          </w:p>
        </w:tc>
        <w:tc>
          <w:tcPr>
            <w:tcW w:w="1178" w:type="dxa"/>
          </w:tcPr>
          <w:p w14:paraId="34D23B1F"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3</w:t>
            </w:r>
          </w:p>
        </w:tc>
        <w:tc>
          <w:tcPr>
            <w:tcW w:w="1225" w:type="dxa"/>
          </w:tcPr>
          <w:p w14:paraId="0032F2FA"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4</w:t>
            </w:r>
          </w:p>
        </w:tc>
        <w:tc>
          <w:tcPr>
            <w:tcW w:w="1143" w:type="dxa"/>
          </w:tcPr>
          <w:p w14:paraId="3DA004B6"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5</w:t>
            </w:r>
          </w:p>
        </w:tc>
        <w:tc>
          <w:tcPr>
            <w:tcW w:w="1212" w:type="dxa"/>
          </w:tcPr>
          <w:p w14:paraId="3EE1942F"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4</w:t>
            </w:r>
          </w:p>
        </w:tc>
        <w:tc>
          <w:tcPr>
            <w:tcW w:w="1153" w:type="dxa"/>
          </w:tcPr>
          <w:p w14:paraId="6EFE9DAC"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3</w:t>
            </w:r>
          </w:p>
        </w:tc>
        <w:tc>
          <w:tcPr>
            <w:tcW w:w="1234" w:type="dxa"/>
          </w:tcPr>
          <w:p w14:paraId="38F3BE14"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3</w:t>
            </w:r>
          </w:p>
        </w:tc>
        <w:tc>
          <w:tcPr>
            <w:tcW w:w="937" w:type="dxa"/>
          </w:tcPr>
          <w:p w14:paraId="79CFE2FF"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w:t>
            </w:r>
          </w:p>
        </w:tc>
      </w:tr>
      <w:tr w:rsidR="00C55AC3" w:rsidRPr="00C55AC3" w14:paraId="4688FA9F" w14:textId="77777777" w:rsidTr="00621D98">
        <w:tc>
          <w:tcPr>
            <w:tcW w:w="1160" w:type="dxa"/>
          </w:tcPr>
          <w:p w14:paraId="54342A89" w14:textId="77777777" w:rsidR="00C55AC3" w:rsidRPr="00C55AC3" w:rsidRDefault="00C55AC3" w:rsidP="00C55AC3">
            <w:pPr>
              <w:jc w:val="both"/>
              <w:rPr>
                <w:rFonts w:ascii="Times New Roman" w:eastAsia="Calibri" w:hAnsi="Times New Roman" w:cs="Times New Roman"/>
                <w:b/>
                <w:sz w:val="16"/>
                <w:szCs w:val="16"/>
              </w:rPr>
            </w:pPr>
            <w:r w:rsidRPr="00C55AC3">
              <w:rPr>
                <w:rFonts w:ascii="Times New Roman" w:eastAsia="Calibri" w:hAnsi="Times New Roman" w:cs="Times New Roman"/>
                <w:b/>
                <w:sz w:val="16"/>
                <w:szCs w:val="16"/>
              </w:rPr>
              <w:t>Females</w:t>
            </w:r>
          </w:p>
        </w:tc>
        <w:tc>
          <w:tcPr>
            <w:tcW w:w="1178" w:type="dxa"/>
          </w:tcPr>
          <w:p w14:paraId="7050B969"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4</w:t>
            </w:r>
          </w:p>
        </w:tc>
        <w:tc>
          <w:tcPr>
            <w:tcW w:w="1225" w:type="dxa"/>
          </w:tcPr>
          <w:p w14:paraId="63E5E3B5"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8</w:t>
            </w:r>
          </w:p>
        </w:tc>
        <w:tc>
          <w:tcPr>
            <w:tcW w:w="1143" w:type="dxa"/>
          </w:tcPr>
          <w:p w14:paraId="055D8C9F"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5</w:t>
            </w:r>
          </w:p>
        </w:tc>
        <w:tc>
          <w:tcPr>
            <w:tcW w:w="1212" w:type="dxa"/>
          </w:tcPr>
          <w:p w14:paraId="70E85885"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2</w:t>
            </w:r>
          </w:p>
        </w:tc>
        <w:tc>
          <w:tcPr>
            <w:tcW w:w="1153" w:type="dxa"/>
          </w:tcPr>
          <w:p w14:paraId="1C98DF54"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1</w:t>
            </w:r>
          </w:p>
        </w:tc>
        <w:tc>
          <w:tcPr>
            <w:tcW w:w="1234" w:type="dxa"/>
          </w:tcPr>
          <w:p w14:paraId="2FBC5A7B"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w:t>
            </w:r>
          </w:p>
        </w:tc>
        <w:tc>
          <w:tcPr>
            <w:tcW w:w="937" w:type="dxa"/>
          </w:tcPr>
          <w:p w14:paraId="67E7E6AA" w14:textId="77777777" w:rsidR="00C55AC3" w:rsidRPr="00C55AC3" w:rsidRDefault="00C55AC3" w:rsidP="00C55AC3">
            <w:pPr>
              <w:jc w:val="both"/>
              <w:rPr>
                <w:rFonts w:ascii="Times New Roman" w:eastAsia="Calibri" w:hAnsi="Times New Roman" w:cs="Times New Roman"/>
                <w:sz w:val="16"/>
                <w:szCs w:val="16"/>
              </w:rPr>
            </w:pPr>
            <w:r w:rsidRPr="00C55AC3">
              <w:rPr>
                <w:rFonts w:ascii="Times New Roman" w:eastAsia="Calibri" w:hAnsi="Times New Roman" w:cs="Times New Roman"/>
                <w:sz w:val="16"/>
                <w:szCs w:val="16"/>
              </w:rPr>
              <w:t>2</w:t>
            </w:r>
          </w:p>
        </w:tc>
      </w:tr>
    </w:tbl>
    <w:p w14:paraId="10039110" w14:textId="77777777" w:rsidR="00C55AC3" w:rsidRPr="00C55AC3" w:rsidRDefault="00C55AC3" w:rsidP="00C55AC3">
      <w:pPr>
        <w:spacing w:after="200" w:line="240" w:lineRule="auto"/>
        <w:jc w:val="center"/>
        <w:rPr>
          <w:rFonts w:ascii="Times New Roman" w:eastAsia="Calibri" w:hAnsi="Times New Roman" w:cs="Times New Roman"/>
          <w:b/>
          <w:bCs/>
          <w:sz w:val="18"/>
          <w:szCs w:val="18"/>
          <w:lang w:val="en-ZA"/>
        </w:rPr>
      </w:pPr>
      <w:r w:rsidRPr="00C55AC3">
        <w:rPr>
          <w:rFonts w:ascii="Times New Roman" w:eastAsia="Calibri" w:hAnsi="Times New Roman" w:cs="Times New Roman"/>
          <w:b/>
          <w:bCs/>
          <w:sz w:val="18"/>
          <w:szCs w:val="18"/>
          <w:lang w:val="en-ZA"/>
        </w:rPr>
        <w:t>Table 5: Source of income by gender</w:t>
      </w:r>
    </w:p>
    <w:p w14:paraId="73E0CA7B"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From the table above out of five scores, women scored all in benefiting from irrigation farming and only four indicated selling their produce from the rainfed plots. Mrs Nyasoni scheme committee member on 24 October 2014 revealed that women work in rainfed plots mainly to obtain food for the family while irrigation produce brings in income. Four of the men as to eight women also indicated that they got more income from irrigation than rainfed. The difference was that the number of men who indicated benefiting from both plots was lower than that of women as reflection of their difference in numerical representation overall in the agricultural system and also during this particular focus group discussion. While all the men indicated obtaining income from casual labour, three out of eight women revealed that they could not attend to casual labour while out of eight women five indicated engaging in casual labour as much as men. Tasks such as selling firewood and craft work and transport was seen as men’s main source of income. Therefore men generally obtain more income from tasks that are detached from agriculture more than women hence women are largely dependent on agricultural produce than their counterparts. Such substantial diversity on income source by gender at one level increases the gender gap since some tasks are more lucrative than others but at household level diversity can be considered economically enriching.</w:t>
      </w:r>
    </w:p>
    <w:p w14:paraId="11C4CF51" w14:textId="77777777" w:rsidR="00C55AC3" w:rsidRPr="00C55AC3" w:rsidRDefault="00C55AC3" w:rsidP="00C55AC3">
      <w:pPr>
        <w:keepNext/>
        <w:keepLines/>
        <w:spacing w:before="200" w:after="0" w:line="276" w:lineRule="auto"/>
        <w:outlineLvl w:val="2"/>
        <w:rPr>
          <w:rFonts w:ascii="Times New Roman" w:eastAsia="Times New Roman" w:hAnsi="Times New Roman" w:cs="Times New Roman"/>
          <w:b/>
          <w:bCs/>
          <w:lang w:val="en-ZA"/>
        </w:rPr>
      </w:pPr>
      <w:bookmarkStart w:id="31" w:name="_Toc427137473"/>
      <w:r w:rsidRPr="00C55AC3">
        <w:rPr>
          <w:rFonts w:ascii="Times New Roman" w:eastAsia="Times New Roman" w:hAnsi="Times New Roman" w:cs="Times New Roman"/>
          <w:b/>
          <w:bCs/>
          <w:lang w:val="en-ZA"/>
        </w:rPr>
        <w:t>3.1.8 Market negotiation by gender</w:t>
      </w:r>
      <w:bookmarkEnd w:id="31"/>
    </w:p>
    <w:p w14:paraId="46520901"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Though men have limited land than women, they tend to produce more income from their produce than women who seem to have more land. Men sale their produce at a higher price than women while women incur greater costs in the transportation of their produce from the field to the market. For instance on average a female farmer get a net profit of 137.38 usd (61271.48 kw)</w:t>
      </w:r>
      <w:r w:rsidRPr="00C55AC3">
        <w:rPr>
          <w:rFonts w:ascii="Times New Roman" w:eastAsia="Calibri" w:hAnsi="Times New Roman" w:cs="Times New Roman"/>
          <w:vertAlign w:val="superscript"/>
          <w:lang w:val="en-ZA"/>
        </w:rPr>
        <w:footnoteReference w:id="4"/>
      </w:r>
      <w:r w:rsidRPr="00C55AC3">
        <w:rPr>
          <w:rFonts w:ascii="Times New Roman" w:eastAsia="Calibri" w:hAnsi="Times New Roman" w:cs="Times New Roman"/>
          <w:lang w:val="en-ZA"/>
        </w:rPr>
        <w:t xml:space="preserve"> and after selling the same produce a male farmer gets 174. 66 usd (77898.36 kw)</w:t>
      </w:r>
      <w:r w:rsidRPr="00C55AC3">
        <w:rPr>
          <w:rFonts w:ascii="Times New Roman" w:eastAsia="Calibri" w:hAnsi="Times New Roman" w:cs="Times New Roman"/>
          <w:vertAlign w:val="superscript"/>
          <w:lang w:val="en-ZA"/>
        </w:rPr>
        <w:footnoteReference w:id="5"/>
      </w:r>
      <w:r w:rsidRPr="00C55AC3">
        <w:rPr>
          <w:rFonts w:ascii="Times New Roman" w:eastAsia="Calibri" w:hAnsi="Times New Roman" w:cs="Times New Roman"/>
          <w:lang w:val="en-ZA"/>
        </w:rPr>
        <w:t xml:space="preserve"> as net profit as inferred from the table below.  Thus with one hand women are giving their produce at an affordable price which is beneficial to the society but at the same time short changing the household income benefits. Such differences are attributable to a number of factors inclusive of merchandizing dexterity which is much stronger in men than in women as a result of their ability to access transport at lower prices (when hiring the transport without the transporting labour) a situation far from reach for most women. Consequently few men will have to hire transport and where there is need they have a better bargaining position than women since they dominate the transport industry in Ntcheu. Moreover women often times carry the produce on their heads to the market place hence ferry very little amounts to the market at a time since the mode of transport commonly used is the bicycle which is considered a man’s asset in the area. This lengthens the period within which the same amount of produce as that of men could be sold considering the reported fact that on average a woman can carry</w:t>
      </w:r>
      <w:r w:rsidRPr="00C55AC3">
        <w:rPr>
          <w:rFonts w:ascii="Times New Roman" w:eastAsia="Calibri" w:hAnsi="Times New Roman" w:cs="Times New Roman"/>
          <w:i/>
          <w:lang w:val="en-ZA"/>
        </w:rPr>
        <w:t xml:space="preserve"> </w:t>
      </w:r>
      <w:r w:rsidRPr="00C55AC3">
        <w:rPr>
          <w:rFonts w:ascii="Times New Roman" w:eastAsia="Calibri" w:hAnsi="Times New Roman" w:cs="Times New Roman"/>
          <w:lang w:val="en-ZA"/>
        </w:rPr>
        <w:t xml:space="preserve">20 kg at most to the market twice a week since conventional market place is a while away. Table below shows the total amount of cost produce, cost input and transport cost by gender. </w:t>
      </w:r>
    </w:p>
    <w:tbl>
      <w:tblPr>
        <w:tblStyle w:val="TableGrid"/>
        <w:tblW w:w="0" w:type="auto"/>
        <w:tblLook w:val="04A0" w:firstRow="1" w:lastRow="0" w:firstColumn="1" w:lastColumn="0" w:noHBand="0" w:noVBand="1"/>
      </w:tblPr>
      <w:tblGrid>
        <w:gridCol w:w="3313"/>
        <w:gridCol w:w="3058"/>
        <w:gridCol w:w="2645"/>
      </w:tblGrid>
      <w:tr w:rsidR="00C55AC3" w:rsidRPr="00C55AC3" w14:paraId="14203CDD" w14:textId="77777777" w:rsidTr="00621D98">
        <w:trPr>
          <w:trHeight w:val="81"/>
        </w:trPr>
        <w:tc>
          <w:tcPr>
            <w:tcW w:w="3369" w:type="dxa"/>
            <w:vMerge w:val="restart"/>
          </w:tcPr>
          <w:p w14:paraId="54303624" w14:textId="77777777" w:rsidR="00C55AC3" w:rsidRPr="00C55AC3" w:rsidRDefault="00C55AC3" w:rsidP="00C55AC3">
            <w:pPr>
              <w:jc w:val="both"/>
              <w:rPr>
                <w:rFonts w:ascii="Times New Roman" w:eastAsia="Calibri" w:hAnsi="Times New Roman" w:cs="Times New Roman"/>
                <w:b/>
                <w:sz w:val="18"/>
                <w:szCs w:val="18"/>
              </w:rPr>
            </w:pPr>
            <w:r w:rsidRPr="00C55AC3">
              <w:rPr>
                <w:rFonts w:ascii="Times New Roman" w:eastAsia="Calibri" w:hAnsi="Times New Roman" w:cs="Times New Roman"/>
                <w:b/>
                <w:sz w:val="18"/>
                <w:szCs w:val="18"/>
              </w:rPr>
              <w:t>Commodity</w:t>
            </w:r>
          </w:p>
        </w:tc>
        <w:tc>
          <w:tcPr>
            <w:tcW w:w="3118" w:type="dxa"/>
          </w:tcPr>
          <w:p w14:paraId="5899E78E" w14:textId="77777777" w:rsidR="00C55AC3" w:rsidRPr="00C55AC3" w:rsidRDefault="00C55AC3" w:rsidP="00C55AC3">
            <w:pPr>
              <w:jc w:val="both"/>
              <w:rPr>
                <w:rFonts w:ascii="Times New Roman" w:eastAsia="Calibri" w:hAnsi="Times New Roman" w:cs="Times New Roman"/>
                <w:b/>
                <w:sz w:val="18"/>
                <w:szCs w:val="18"/>
              </w:rPr>
            </w:pPr>
            <w:r w:rsidRPr="00C55AC3">
              <w:rPr>
                <w:rFonts w:ascii="Times New Roman" w:eastAsia="Calibri" w:hAnsi="Times New Roman" w:cs="Times New Roman"/>
                <w:b/>
                <w:sz w:val="18"/>
                <w:szCs w:val="18"/>
              </w:rPr>
              <w:t>Male</w:t>
            </w:r>
          </w:p>
        </w:tc>
        <w:tc>
          <w:tcPr>
            <w:tcW w:w="2693" w:type="dxa"/>
          </w:tcPr>
          <w:p w14:paraId="235522AE" w14:textId="77777777" w:rsidR="00C55AC3" w:rsidRPr="00C55AC3" w:rsidRDefault="00C55AC3" w:rsidP="00C55AC3">
            <w:pPr>
              <w:jc w:val="both"/>
              <w:rPr>
                <w:rFonts w:ascii="Times New Roman" w:eastAsia="Calibri" w:hAnsi="Times New Roman" w:cs="Times New Roman"/>
                <w:b/>
                <w:sz w:val="18"/>
                <w:szCs w:val="18"/>
              </w:rPr>
            </w:pPr>
            <w:r w:rsidRPr="00C55AC3">
              <w:rPr>
                <w:rFonts w:ascii="Times New Roman" w:eastAsia="Calibri" w:hAnsi="Times New Roman" w:cs="Times New Roman"/>
                <w:b/>
                <w:sz w:val="18"/>
                <w:szCs w:val="18"/>
              </w:rPr>
              <w:t>Female</w:t>
            </w:r>
          </w:p>
        </w:tc>
      </w:tr>
      <w:tr w:rsidR="00C55AC3" w:rsidRPr="00C55AC3" w14:paraId="3F6F7382" w14:textId="77777777" w:rsidTr="00621D98">
        <w:trPr>
          <w:trHeight w:val="208"/>
        </w:trPr>
        <w:tc>
          <w:tcPr>
            <w:tcW w:w="3369" w:type="dxa"/>
            <w:vMerge/>
          </w:tcPr>
          <w:p w14:paraId="33CBA0FC" w14:textId="77777777" w:rsidR="00C55AC3" w:rsidRPr="00C55AC3" w:rsidRDefault="00C55AC3" w:rsidP="00C55AC3">
            <w:pPr>
              <w:jc w:val="both"/>
              <w:rPr>
                <w:rFonts w:ascii="Times New Roman" w:eastAsia="Calibri" w:hAnsi="Times New Roman" w:cs="Times New Roman"/>
                <w:b/>
                <w:sz w:val="18"/>
                <w:szCs w:val="18"/>
              </w:rPr>
            </w:pPr>
          </w:p>
        </w:tc>
        <w:tc>
          <w:tcPr>
            <w:tcW w:w="3118" w:type="dxa"/>
          </w:tcPr>
          <w:p w14:paraId="25EBADF4" w14:textId="77777777" w:rsidR="00C55AC3" w:rsidRPr="00C55AC3" w:rsidRDefault="00C55AC3" w:rsidP="00C55AC3">
            <w:pPr>
              <w:jc w:val="both"/>
              <w:rPr>
                <w:rFonts w:ascii="Times New Roman" w:eastAsia="Calibri" w:hAnsi="Times New Roman" w:cs="Times New Roman"/>
                <w:b/>
                <w:sz w:val="18"/>
                <w:szCs w:val="18"/>
              </w:rPr>
            </w:pPr>
            <w:r w:rsidRPr="00C55AC3">
              <w:rPr>
                <w:rFonts w:ascii="Times New Roman" w:eastAsia="Calibri" w:hAnsi="Times New Roman" w:cs="Times New Roman"/>
                <w:b/>
                <w:sz w:val="18"/>
                <w:szCs w:val="18"/>
              </w:rPr>
              <w:t>usd</w:t>
            </w:r>
          </w:p>
          <w:p w14:paraId="5D7D2B47" w14:textId="77777777" w:rsidR="00C55AC3" w:rsidRPr="00C55AC3" w:rsidRDefault="00C55AC3" w:rsidP="00C55AC3">
            <w:pPr>
              <w:jc w:val="both"/>
              <w:rPr>
                <w:rFonts w:ascii="Times New Roman" w:eastAsia="Calibri" w:hAnsi="Times New Roman" w:cs="Times New Roman"/>
                <w:b/>
                <w:sz w:val="18"/>
                <w:szCs w:val="18"/>
              </w:rPr>
            </w:pPr>
          </w:p>
        </w:tc>
        <w:tc>
          <w:tcPr>
            <w:tcW w:w="2693" w:type="dxa"/>
          </w:tcPr>
          <w:p w14:paraId="25F22121" w14:textId="77777777" w:rsidR="00C55AC3" w:rsidRPr="00C55AC3" w:rsidRDefault="00C55AC3" w:rsidP="00C55AC3">
            <w:pPr>
              <w:jc w:val="both"/>
              <w:rPr>
                <w:rFonts w:ascii="Times New Roman" w:eastAsia="Calibri" w:hAnsi="Times New Roman" w:cs="Times New Roman"/>
                <w:b/>
                <w:sz w:val="18"/>
                <w:szCs w:val="18"/>
              </w:rPr>
            </w:pPr>
            <w:r w:rsidRPr="00C55AC3">
              <w:rPr>
                <w:rFonts w:ascii="Times New Roman" w:eastAsia="Calibri" w:hAnsi="Times New Roman" w:cs="Times New Roman"/>
                <w:b/>
                <w:sz w:val="18"/>
                <w:szCs w:val="18"/>
              </w:rPr>
              <w:t>usd</w:t>
            </w:r>
          </w:p>
          <w:p w14:paraId="54EDBCC3" w14:textId="77777777" w:rsidR="00C55AC3" w:rsidRPr="00C55AC3" w:rsidRDefault="00C55AC3" w:rsidP="00C55AC3">
            <w:pPr>
              <w:jc w:val="both"/>
              <w:rPr>
                <w:rFonts w:ascii="Times New Roman" w:eastAsia="Calibri" w:hAnsi="Times New Roman" w:cs="Times New Roman"/>
                <w:b/>
                <w:sz w:val="18"/>
                <w:szCs w:val="18"/>
              </w:rPr>
            </w:pPr>
          </w:p>
        </w:tc>
      </w:tr>
      <w:tr w:rsidR="00C55AC3" w:rsidRPr="00C55AC3" w14:paraId="5B8F522D" w14:textId="77777777" w:rsidTr="00621D98">
        <w:tc>
          <w:tcPr>
            <w:tcW w:w="3369" w:type="dxa"/>
          </w:tcPr>
          <w:p w14:paraId="31AF26EE" w14:textId="77777777" w:rsidR="00C55AC3" w:rsidRPr="00C55AC3" w:rsidRDefault="00C55AC3" w:rsidP="00C55AC3">
            <w:pPr>
              <w:jc w:val="both"/>
              <w:rPr>
                <w:rFonts w:ascii="Times New Roman" w:eastAsia="Calibri" w:hAnsi="Times New Roman" w:cs="Times New Roman"/>
                <w:sz w:val="18"/>
                <w:szCs w:val="18"/>
              </w:rPr>
            </w:pPr>
            <w:r w:rsidRPr="00C55AC3">
              <w:rPr>
                <w:rFonts w:ascii="Times New Roman" w:eastAsia="Calibri" w:hAnsi="Times New Roman" w:cs="Times New Roman"/>
                <w:sz w:val="18"/>
                <w:szCs w:val="18"/>
              </w:rPr>
              <w:t>Sum cost of produce</w:t>
            </w:r>
          </w:p>
        </w:tc>
        <w:tc>
          <w:tcPr>
            <w:tcW w:w="3118" w:type="dxa"/>
          </w:tcPr>
          <w:p w14:paraId="27755719" w14:textId="77777777" w:rsidR="00C55AC3" w:rsidRPr="00C55AC3" w:rsidRDefault="00C55AC3" w:rsidP="00C55AC3">
            <w:pPr>
              <w:jc w:val="both"/>
              <w:rPr>
                <w:rFonts w:ascii="Times New Roman" w:eastAsia="Calibri" w:hAnsi="Times New Roman" w:cs="Times New Roman"/>
                <w:sz w:val="18"/>
                <w:szCs w:val="18"/>
              </w:rPr>
            </w:pPr>
            <w:r w:rsidRPr="00C55AC3">
              <w:rPr>
                <w:rFonts w:ascii="Times New Roman" w:eastAsia="Calibri" w:hAnsi="Times New Roman" w:cs="Times New Roman"/>
                <w:sz w:val="18"/>
                <w:szCs w:val="18"/>
              </w:rPr>
              <w:t>316.14</w:t>
            </w:r>
          </w:p>
          <w:p w14:paraId="5B9B1D5E" w14:textId="77777777" w:rsidR="00C55AC3" w:rsidRPr="00C55AC3" w:rsidRDefault="00C55AC3" w:rsidP="00C55AC3">
            <w:pPr>
              <w:jc w:val="both"/>
              <w:rPr>
                <w:rFonts w:ascii="Times New Roman" w:eastAsia="Calibri" w:hAnsi="Times New Roman" w:cs="Times New Roman"/>
                <w:sz w:val="18"/>
                <w:szCs w:val="18"/>
              </w:rPr>
            </w:pPr>
          </w:p>
        </w:tc>
        <w:tc>
          <w:tcPr>
            <w:tcW w:w="2693" w:type="dxa"/>
          </w:tcPr>
          <w:p w14:paraId="68C27D55" w14:textId="77777777" w:rsidR="00C55AC3" w:rsidRPr="00C55AC3" w:rsidRDefault="00C55AC3" w:rsidP="00C55AC3">
            <w:pPr>
              <w:jc w:val="both"/>
              <w:rPr>
                <w:rFonts w:ascii="Times New Roman" w:eastAsia="Calibri" w:hAnsi="Times New Roman" w:cs="Times New Roman"/>
                <w:sz w:val="18"/>
                <w:szCs w:val="18"/>
              </w:rPr>
            </w:pPr>
            <w:r w:rsidRPr="00C55AC3">
              <w:rPr>
                <w:rFonts w:ascii="Times New Roman" w:eastAsia="Calibri" w:hAnsi="Times New Roman" w:cs="Times New Roman"/>
                <w:sz w:val="18"/>
                <w:szCs w:val="18"/>
              </w:rPr>
              <w:t>219.0</w:t>
            </w:r>
          </w:p>
          <w:p w14:paraId="084F0C16" w14:textId="77777777" w:rsidR="00C55AC3" w:rsidRPr="00C55AC3" w:rsidRDefault="00C55AC3" w:rsidP="00C55AC3">
            <w:pPr>
              <w:jc w:val="both"/>
              <w:rPr>
                <w:rFonts w:ascii="Times New Roman" w:eastAsia="Calibri" w:hAnsi="Times New Roman" w:cs="Times New Roman"/>
                <w:sz w:val="18"/>
                <w:szCs w:val="18"/>
              </w:rPr>
            </w:pPr>
          </w:p>
        </w:tc>
      </w:tr>
      <w:tr w:rsidR="00C55AC3" w:rsidRPr="00C55AC3" w14:paraId="1E6F63D0" w14:textId="77777777" w:rsidTr="00621D98">
        <w:trPr>
          <w:trHeight w:val="321"/>
        </w:trPr>
        <w:tc>
          <w:tcPr>
            <w:tcW w:w="3369" w:type="dxa"/>
          </w:tcPr>
          <w:p w14:paraId="24506C4E" w14:textId="77777777" w:rsidR="00C55AC3" w:rsidRPr="00C55AC3" w:rsidRDefault="00C55AC3" w:rsidP="00C55AC3">
            <w:pPr>
              <w:jc w:val="both"/>
              <w:rPr>
                <w:rFonts w:ascii="Times New Roman" w:eastAsia="Calibri" w:hAnsi="Times New Roman" w:cs="Times New Roman"/>
                <w:sz w:val="18"/>
                <w:szCs w:val="18"/>
              </w:rPr>
            </w:pPr>
            <w:r w:rsidRPr="00C55AC3">
              <w:rPr>
                <w:rFonts w:ascii="Times New Roman" w:eastAsia="Calibri" w:hAnsi="Times New Roman" w:cs="Times New Roman"/>
                <w:sz w:val="18"/>
                <w:szCs w:val="18"/>
              </w:rPr>
              <w:lastRenderedPageBreak/>
              <w:t>Average cost of input</w:t>
            </w:r>
          </w:p>
        </w:tc>
        <w:tc>
          <w:tcPr>
            <w:tcW w:w="3118" w:type="dxa"/>
          </w:tcPr>
          <w:p w14:paraId="3C57ABA7" w14:textId="77777777" w:rsidR="00C55AC3" w:rsidRPr="00C55AC3" w:rsidRDefault="00C55AC3" w:rsidP="00C55AC3">
            <w:pPr>
              <w:jc w:val="both"/>
              <w:rPr>
                <w:rFonts w:ascii="Times New Roman" w:eastAsia="Calibri" w:hAnsi="Times New Roman" w:cs="Times New Roman"/>
                <w:sz w:val="18"/>
                <w:szCs w:val="18"/>
              </w:rPr>
            </w:pPr>
            <w:r w:rsidRPr="00C55AC3">
              <w:rPr>
                <w:rFonts w:ascii="Times New Roman" w:eastAsia="Calibri" w:hAnsi="Times New Roman" w:cs="Times New Roman"/>
                <w:sz w:val="18"/>
                <w:szCs w:val="18"/>
              </w:rPr>
              <w:t>135.21</w:t>
            </w:r>
          </w:p>
          <w:p w14:paraId="0A60EBCE" w14:textId="77777777" w:rsidR="00C55AC3" w:rsidRPr="00C55AC3" w:rsidRDefault="00C55AC3" w:rsidP="00C55AC3">
            <w:pPr>
              <w:jc w:val="both"/>
              <w:rPr>
                <w:rFonts w:ascii="Times New Roman" w:eastAsia="Calibri" w:hAnsi="Times New Roman" w:cs="Times New Roman"/>
                <w:sz w:val="18"/>
                <w:szCs w:val="18"/>
              </w:rPr>
            </w:pPr>
          </w:p>
        </w:tc>
        <w:tc>
          <w:tcPr>
            <w:tcW w:w="2693" w:type="dxa"/>
          </w:tcPr>
          <w:p w14:paraId="4342F1E9" w14:textId="77777777" w:rsidR="00C55AC3" w:rsidRPr="00C55AC3" w:rsidRDefault="00C55AC3" w:rsidP="00C55AC3">
            <w:pPr>
              <w:jc w:val="both"/>
              <w:rPr>
                <w:rFonts w:ascii="Times New Roman" w:eastAsia="Calibri" w:hAnsi="Times New Roman" w:cs="Times New Roman"/>
                <w:sz w:val="18"/>
                <w:szCs w:val="18"/>
              </w:rPr>
            </w:pPr>
            <w:r w:rsidRPr="00C55AC3">
              <w:rPr>
                <w:rFonts w:ascii="Times New Roman" w:eastAsia="Calibri" w:hAnsi="Times New Roman" w:cs="Times New Roman"/>
                <w:sz w:val="18"/>
                <w:szCs w:val="18"/>
              </w:rPr>
              <w:t>73.77</w:t>
            </w:r>
          </w:p>
          <w:p w14:paraId="7A475AB2" w14:textId="77777777" w:rsidR="00C55AC3" w:rsidRPr="00C55AC3" w:rsidRDefault="00C55AC3" w:rsidP="00C55AC3">
            <w:pPr>
              <w:jc w:val="both"/>
              <w:rPr>
                <w:rFonts w:ascii="Times New Roman" w:eastAsia="Calibri" w:hAnsi="Times New Roman" w:cs="Times New Roman"/>
                <w:sz w:val="18"/>
                <w:szCs w:val="18"/>
              </w:rPr>
            </w:pPr>
          </w:p>
        </w:tc>
      </w:tr>
      <w:tr w:rsidR="00C55AC3" w:rsidRPr="00C55AC3" w14:paraId="1BEFEA80" w14:textId="77777777" w:rsidTr="00621D98">
        <w:tc>
          <w:tcPr>
            <w:tcW w:w="3369" w:type="dxa"/>
          </w:tcPr>
          <w:p w14:paraId="3254F3DC" w14:textId="77777777" w:rsidR="00C55AC3" w:rsidRPr="00C55AC3" w:rsidRDefault="00C55AC3" w:rsidP="00C55AC3">
            <w:pPr>
              <w:jc w:val="both"/>
              <w:rPr>
                <w:rFonts w:ascii="Times New Roman" w:eastAsia="Calibri" w:hAnsi="Times New Roman" w:cs="Times New Roman"/>
                <w:sz w:val="18"/>
                <w:szCs w:val="18"/>
              </w:rPr>
            </w:pPr>
            <w:r w:rsidRPr="00C55AC3">
              <w:rPr>
                <w:rFonts w:ascii="Times New Roman" w:eastAsia="Calibri" w:hAnsi="Times New Roman" w:cs="Times New Roman"/>
                <w:sz w:val="18"/>
                <w:szCs w:val="18"/>
              </w:rPr>
              <w:t>Average transport cost</w:t>
            </w:r>
          </w:p>
        </w:tc>
        <w:tc>
          <w:tcPr>
            <w:tcW w:w="3118" w:type="dxa"/>
          </w:tcPr>
          <w:p w14:paraId="001C1BD6" w14:textId="77777777" w:rsidR="00C55AC3" w:rsidRPr="00C55AC3" w:rsidRDefault="00C55AC3" w:rsidP="00C55AC3">
            <w:pPr>
              <w:jc w:val="both"/>
              <w:rPr>
                <w:rFonts w:ascii="Times New Roman" w:eastAsia="Calibri" w:hAnsi="Times New Roman" w:cs="Times New Roman"/>
                <w:sz w:val="18"/>
                <w:szCs w:val="18"/>
              </w:rPr>
            </w:pPr>
            <w:r w:rsidRPr="00C55AC3">
              <w:rPr>
                <w:rFonts w:ascii="Times New Roman" w:eastAsia="Calibri" w:hAnsi="Times New Roman" w:cs="Times New Roman"/>
                <w:sz w:val="18"/>
                <w:szCs w:val="18"/>
              </w:rPr>
              <w:t>6.27</w:t>
            </w:r>
          </w:p>
        </w:tc>
        <w:tc>
          <w:tcPr>
            <w:tcW w:w="2693" w:type="dxa"/>
          </w:tcPr>
          <w:p w14:paraId="51649D35" w14:textId="77777777" w:rsidR="00C55AC3" w:rsidRPr="00C55AC3" w:rsidRDefault="00C55AC3" w:rsidP="00C55AC3">
            <w:pPr>
              <w:jc w:val="both"/>
              <w:rPr>
                <w:rFonts w:ascii="Times New Roman" w:eastAsia="Calibri" w:hAnsi="Times New Roman" w:cs="Times New Roman"/>
                <w:sz w:val="18"/>
                <w:szCs w:val="18"/>
              </w:rPr>
            </w:pPr>
            <w:r w:rsidRPr="00C55AC3">
              <w:rPr>
                <w:rFonts w:ascii="Times New Roman" w:eastAsia="Calibri" w:hAnsi="Times New Roman" w:cs="Times New Roman"/>
                <w:sz w:val="18"/>
                <w:szCs w:val="18"/>
              </w:rPr>
              <w:t>7.85</w:t>
            </w:r>
          </w:p>
        </w:tc>
      </w:tr>
    </w:tbl>
    <w:p w14:paraId="5E03F61B" w14:textId="77777777" w:rsidR="00C55AC3" w:rsidRPr="00C55AC3" w:rsidRDefault="00C55AC3" w:rsidP="00C55AC3">
      <w:pPr>
        <w:spacing w:after="200" w:line="240" w:lineRule="auto"/>
        <w:jc w:val="center"/>
        <w:rPr>
          <w:rFonts w:ascii="Times New Roman" w:eastAsia="Calibri" w:hAnsi="Times New Roman" w:cs="Times New Roman"/>
          <w:b/>
          <w:bCs/>
          <w:sz w:val="18"/>
          <w:szCs w:val="18"/>
          <w:lang w:val="en-ZA"/>
        </w:rPr>
      </w:pPr>
      <w:r w:rsidRPr="00C55AC3">
        <w:rPr>
          <w:rFonts w:ascii="Times New Roman" w:eastAsia="Calibri" w:hAnsi="Times New Roman" w:cs="Times New Roman"/>
          <w:b/>
          <w:bCs/>
          <w:sz w:val="18"/>
          <w:szCs w:val="18"/>
          <w:lang w:val="en-ZA"/>
        </w:rPr>
        <w:t>Table 6: Sales and expenditure levels by gender</w:t>
      </w:r>
    </w:p>
    <w:p w14:paraId="59056032"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While some of the produce are sold from home particularly by women--to cut on transport costs other farmers instead of selling their crops soon after harvesting delay in disposing of the produce as leverage for better returns and also reinforcement for market negotiation inertia. Nonetheless those who engage in such practices have other economic safety nets that can carry them through the market flooding period. </w:t>
      </w:r>
    </w:p>
    <w:p w14:paraId="3E4837B4" w14:textId="77777777" w:rsidR="00C55AC3" w:rsidRPr="00C55AC3" w:rsidRDefault="00C55AC3" w:rsidP="00C55AC3">
      <w:pPr>
        <w:spacing w:after="200" w:line="276" w:lineRule="auto"/>
        <w:jc w:val="both"/>
        <w:rPr>
          <w:rFonts w:ascii="Times New Roman" w:eastAsia="Calibri" w:hAnsi="Times New Roman" w:cs="Times New Roman"/>
          <w:b/>
          <w:lang w:val="en-ZA"/>
        </w:rPr>
      </w:pPr>
      <w:r w:rsidRPr="00C55AC3">
        <w:rPr>
          <w:rFonts w:ascii="Times New Roman" w:eastAsia="Calibri" w:hAnsi="Times New Roman" w:cs="Times New Roman"/>
          <w:b/>
          <w:lang w:val="en-ZA"/>
        </w:rPr>
        <w:t>3.2.1 Income and asset control</w:t>
      </w:r>
    </w:p>
    <w:p w14:paraId="738DD08D" w14:textId="77777777" w:rsidR="00C55AC3" w:rsidRPr="00C55AC3" w:rsidRDefault="00C55AC3" w:rsidP="00C55AC3">
      <w:pPr>
        <w:numPr>
          <w:ilvl w:val="0"/>
          <w:numId w:val="3"/>
        </w:numPr>
        <w:spacing w:after="200" w:line="276" w:lineRule="auto"/>
        <w:contextualSpacing/>
        <w:jc w:val="both"/>
        <w:rPr>
          <w:rFonts w:ascii="Times New Roman" w:eastAsia="Calibri" w:hAnsi="Times New Roman" w:cs="Times New Roman"/>
          <w:b/>
          <w:lang w:val="en-ZA"/>
        </w:rPr>
      </w:pPr>
      <w:r w:rsidRPr="00C55AC3">
        <w:rPr>
          <w:rFonts w:ascii="Times New Roman" w:eastAsia="Calibri" w:hAnsi="Times New Roman" w:cs="Times New Roman"/>
          <w:b/>
          <w:lang w:val="en-ZA"/>
        </w:rPr>
        <w:t>Intra-household gender differences on income expenditure</w:t>
      </w:r>
    </w:p>
    <w:p w14:paraId="22869B19"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Gender power relations are observed even when it comes to income expenditure and control. Considering that land belongs to women in Ntcheu both inter and intra-gender related conflict surrounding the use of produce and related benefits are observed. As in the case reported by Agnes on 22 October 2014 below, </w:t>
      </w:r>
    </w:p>
    <w:p w14:paraId="20F8DAE3" w14:textId="77777777" w:rsidR="00C55AC3" w:rsidRPr="00C55AC3" w:rsidRDefault="00C55AC3" w:rsidP="00C55AC3">
      <w:pPr>
        <w:spacing w:after="200" w:line="276" w:lineRule="auto"/>
        <w:ind w:left="720"/>
        <w:jc w:val="both"/>
        <w:rPr>
          <w:rFonts w:ascii="Times New Roman" w:eastAsia="Calibri" w:hAnsi="Times New Roman" w:cs="Times New Roman"/>
          <w:lang w:val="en-ZA"/>
        </w:rPr>
      </w:pPr>
      <w:r w:rsidRPr="00C55AC3">
        <w:rPr>
          <w:rFonts w:ascii="Times New Roman" w:eastAsia="Calibri" w:hAnsi="Times New Roman" w:cs="Times New Roman"/>
          <w:lang w:val="en-ZA"/>
        </w:rPr>
        <w:t>“</w:t>
      </w:r>
      <w:r w:rsidRPr="00C55AC3">
        <w:rPr>
          <w:rFonts w:ascii="Times New Roman" w:eastAsia="Calibri" w:hAnsi="Times New Roman" w:cs="Times New Roman"/>
          <w:i/>
          <w:lang w:val="en-ZA"/>
        </w:rPr>
        <w:t>My husband’s sister wanted to take over the management of the income hence I refused</w:t>
      </w:r>
      <w:r w:rsidRPr="00C55AC3">
        <w:rPr>
          <w:rFonts w:ascii="Times New Roman" w:eastAsia="Calibri" w:hAnsi="Times New Roman" w:cs="Times New Roman"/>
          <w:lang w:val="en-ZA"/>
        </w:rPr>
        <w:t xml:space="preserve">”. </w:t>
      </w:r>
    </w:p>
    <w:p w14:paraId="05F1F0EA"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Intensification is not only confined to application of agricultural related inputs and labour; it also entails managing the outputs such as the field produce and the financial returns which have a part to play in the continuity of the production process. The above referenced scenario is an indication that gender aspects shape farm and related income expenditure and control both within and yonder the immediate agrarian family circles. Failure to balance inputs and outputs (income) compromises the sustainability of the intensification process. Unrealized returns by either gender would consequently create dissonance in adopting the intensification mechanisms and this catalyses household fragmentation and perpetuates poverty. Such draw backs in agricultural intensification as in the case of Agnes and can be exacerbated further if either of the parties fail to absorb agricultural related shocks such as inputs and market access. The interviewer further queried on possibility of getting a similar set up for a male farmer; the Kaziputa village head on 21 October 2014 responded that,</w:t>
      </w:r>
    </w:p>
    <w:p w14:paraId="2DB3E832" w14:textId="77777777" w:rsidR="00C55AC3" w:rsidRPr="00C55AC3" w:rsidRDefault="00C55AC3" w:rsidP="00C55AC3">
      <w:pPr>
        <w:spacing w:after="200" w:line="276" w:lineRule="auto"/>
        <w:ind w:left="720" w:firstLine="60"/>
        <w:jc w:val="both"/>
        <w:rPr>
          <w:rFonts w:ascii="Times New Roman" w:eastAsia="Calibri" w:hAnsi="Times New Roman" w:cs="Times New Roman"/>
          <w:lang w:val="en-ZA"/>
        </w:rPr>
      </w:pPr>
      <w:r w:rsidRPr="00C55AC3">
        <w:rPr>
          <w:rFonts w:ascii="Times New Roman" w:eastAsia="Calibri" w:hAnsi="Times New Roman" w:cs="Times New Roman"/>
          <w:lang w:val="en-ZA"/>
        </w:rPr>
        <w:t>“</w:t>
      </w:r>
      <w:r w:rsidRPr="00C55AC3">
        <w:rPr>
          <w:rFonts w:ascii="Times New Roman" w:eastAsia="Calibri" w:hAnsi="Times New Roman" w:cs="Times New Roman"/>
          <w:i/>
          <w:lang w:val="en-ZA"/>
        </w:rPr>
        <w:t xml:space="preserve">You can’t find one … from one woman men always make sure that they stay briefly at their parents’ home and then proceed to another woman’s place, where they can get another piece of land for farming again </w:t>
      </w:r>
      <w:r w:rsidRPr="00C55AC3">
        <w:rPr>
          <w:rFonts w:ascii="Times New Roman" w:eastAsia="Calibri" w:hAnsi="Times New Roman" w:cs="Times New Roman"/>
          <w:lang w:val="en-ZA"/>
        </w:rPr>
        <w:t xml:space="preserve">…”  </w:t>
      </w:r>
    </w:p>
    <w:p w14:paraId="69DF9FED"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This statement though peculiar in Ntcheu where men do not own the means of production is an indication that despite the fact that men do not own means of production (land) they make effort to locate where they can be heads of household only to access the means of production and the benefits associated (income). Women have ultimate control of the income to pay rentals mostly in female headed households while men have control in family (both men and women) owned plots.</w:t>
      </w:r>
    </w:p>
    <w:p w14:paraId="4307382A" w14:textId="77777777" w:rsidR="00C55AC3" w:rsidRPr="00C55AC3" w:rsidRDefault="00C55AC3" w:rsidP="00C55AC3">
      <w:pPr>
        <w:keepNext/>
        <w:keepLines/>
        <w:spacing w:before="200" w:after="0" w:line="276" w:lineRule="auto"/>
        <w:jc w:val="both"/>
        <w:outlineLvl w:val="2"/>
        <w:rPr>
          <w:rFonts w:ascii="Times New Roman" w:eastAsia="Times New Roman" w:hAnsi="Times New Roman" w:cs="Times New Roman"/>
          <w:b/>
          <w:bCs/>
          <w:lang w:val="en-ZA"/>
        </w:rPr>
      </w:pPr>
      <w:bookmarkStart w:id="32" w:name="_Toc427137474"/>
      <w:r w:rsidRPr="00C55AC3">
        <w:rPr>
          <w:rFonts w:ascii="Times New Roman" w:eastAsia="Times New Roman" w:hAnsi="Times New Roman" w:cs="Times New Roman"/>
          <w:b/>
          <w:bCs/>
          <w:lang w:val="en-ZA"/>
        </w:rPr>
        <w:t>3.1.9 Asset ownership by gender</w:t>
      </w:r>
      <w:bookmarkEnd w:id="32"/>
    </w:p>
    <w:p w14:paraId="070280C6" w14:textId="77777777" w:rsidR="00C55AC3" w:rsidRPr="00C55AC3" w:rsidRDefault="00C55AC3" w:rsidP="00C55AC3">
      <w:pPr>
        <w:spacing w:after="200" w:line="240"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Even though most of the assets are controlled by men nonetheless they tend to own assets that have secondary attachment to the agricultural production process such as bicycles, radio, phone, carts, bed and construction instruments such as spirit level, trowel and shovel were indicated as men’s assets which only have an aesthetical value particularly the sickle which is viewed as symbolic asset of the </w:t>
      </w:r>
      <w:r w:rsidRPr="00C55AC3">
        <w:rPr>
          <w:rFonts w:ascii="Times New Roman" w:eastAsia="Calibri" w:hAnsi="Times New Roman" w:cs="Times New Roman"/>
          <w:lang w:val="en-ZA"/>
        </w:rPr>
        <w:lastRenderedPageBreak/>
        <w:t>Ngoni</w:t>
      </w:r>
      <w:r w:rsidRPr="00C55AC3">
        <w:rPr>
          <w:rFonts w:ascii="Times New Roman" w:eastAsia="Calibri" w:hAnsi="Times New Roman" w:cs="Times New Roman"/>
          <w:vertAlign w:val="superscript"/>
          <w:lang w:val="en-ZA"/>
        </w:rPr>
        <w:footnoteReference w:id="6"/>
      </w:r>
      <w:r w:rsidRPr="00C55AC3">
        <w:rPr>
          <w:rFonts w:ascii="Times New Roman" w:eastAsia="Calibri" w:hAnsi="Times New Roman" w:cs="Times New Roman"/>
          <w:lang w:val="en-ZA"/>
        </w:rPr>
        <w:t xml:space="preserve">. Women on the other hand indicated that assets such as hoes and the land itself belong to women. Thus women tend to control assets that are primarily and closely related to agricultural production.  Thus the nexus gap between women, asset ownership and agricultural intensification is narrow whilst that of men is wide. </w:t>
      </w:r>
    </w:p>
    <w:p w14:paraId="0612D36C" w14:textId="77777777" w:rsidR="00C55AC3" w:rsidRPr="00C55AC3" w:rsidRDefault="00C55AC3" w:rsidP="00C55AC3">
      <w:pPr>
        <w:spacing w:after="200" w:line="240" w:lineRule="auto"/>
        <w:jc w:val="both"/>
        <w:rPr>
          <w:rFonts w:ascii="Times New Roman" w:eastAsia="Calibri" w:hAnsi="Times New Roman" w:cs="Times New Roman"/>
          <w:lang w:val="en-ZA"/>
        </w:rPr>
      </w:pPr>
      <w:bookmarkStart w:id="33" w:name="_Toc403920133"/>
      <w:r w:rsidRPr="00C55AC3">
        <w:rPr>
          <w:rFonts w:ascii="Times New Roman" w:eastAsia="Calibri" w:hAnsi="Times New Roman" w:cs="Times New Roman"/>
          <w:lang w:val="en-ZA"/>
        </w:rPr>
        <w:t xml:space="preserve">More so irrespective of gender; individual asset-ownership bond is a key driver towards human and physical investment in the intensification process. An occurrence consistent with findings by Carney (1988) that in Gambia women only provided labour in their plots at the expense of the husbands’ since they had not received appropriate compensation and that led to a near collapse of the scheme. In some cases such as the Chewa of Ntcheu men also to a certain extend avoid investing in land when their tenure is insecure such as in cases where women are considered the custodians of the land who possess veto powers over the use and access to such assets and in such cases overriding land ownership (primary production virtues). </w:t>
      </w:r>
    </w:p>
    <w:p w14:paraId="1B457F26" w14:textId="77777777" w:rsidR="00C55AC3" w:rsidRPr="00C55AC3" w:rsidRDefault="00C55AC3" w:rsidP="00C55AC3">
      <w:pPr>
        <w:keepNext/>
        <w:keepLines/>
        <w:spacing w:before="480" w:after="0" w:line="276" w:lineRule="auto"/>
        <w:outlineLvl w:val="0"/>
        <w:rPr>
          <w:rFonts w:ascii="Times New Roman" w:eastAsia="Calibri" w:hAnsi="Times New Roman" w:cs="Times New Roman"/>
          <w:b/>
          <w:lang w:val="en-ZA"/>
        </w:rPr>
      </w:pPr>
      <w:bookmarkStart w:id="34" w:name="_Toc427137475"/>
      <w:r w:rsidRPr="00C55AC3">
        <w:rPr>
          <w:rFonts w:ascii="Times New Roman" w:eastAsia="Times New Roman" w:hAnsi="Times New Roman" w:cs="Times New Roman"/>
          <w:b/>
          <w:lang w:val="en-ZA"/>
        </w:rPr>
        <w:t>4.0 Discussions</w:t>
      </w:r>
      <w:bookmarkEnd w:id="33"/>
      <w:bookmarkEnd w:id="34"/>
    </w:p>
    <w:p w14:paraId="542B8F06"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The case study findings indicate that men are inclined more towards capital-led intensification while women dominate in the labour-led intensification irrespective of plot location (irrigator/non-irrigator). This is a result of gendered division of labour in irrigation schemes that shapes the promotion of agriculture intensification activities in the irrigation schemes. This notion was also presented by Doss (2002) who indicated that there are separate tasks for the same or different crops for both men and women. Women are more inclined to labour intensification while men are inclined to capital intensification. While capital led intensification produces more yields, the Ntcheu case is non-exceptional in that men who are secondary land users have access to capital inputs and tend to have better income returns from the intensification outputs. The labour invested by the women does not positively correlate with yield due to lack of physical inputs. The gender polarized intensification scenario increases the gender gap especially when it comes to level of production. The paper therefore arguments FAO (2011)’s contention that if both men and women are given equal access to input yield will increase by 20-30%. This contention is only applicable where the degree of complementarity between men and women is significant.</w:t>
      </w:r>
    </w:p>
    <w:p w14:paraId="261AB831" w14:textId="77777777" w:rsidR="00C55AC3" w:rsidRPr="00C55AC3" w:rsidRDefault="00C55AC3" w:rsidP="00C55AC3">
      <w:pPr>
        <w:spacing w:after="200" w:line="240"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A significant contributing factor to gender disparity in Ntcheu’s agricultural intensification practices is that women have a narrow relationship gap with primary assets such as land but with limited decision making while that of men is wide but driving the decision making wheel. Thus differences in gap sizes reflecting the asset ownership by gender nexus compromises the coherence between the two gender lines in terms of asset ownership and control hence complementarity which is fundamental to successful management and utilization of resources is compromised. More so irrespective of gender; individual asset-ownership link is a key in influencing human and physical investment in the intensification process. An occurrence consistent with findings by Carney (1988) that in Gambia where women only provided labour in their plots at the expense of the husbands’ since they had not received appropriate compensation and that led to a near collapse of the scheme. </w:t>
      </w:r>
    </w:p>
    <w:p w14:paraId="6A18EF90"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The observed pattern of tenancy between rainfed and irrigation plot holders does not seem to show any difference by gender such that women who are the majority summer landholders remain the majority irrigation winter tenants as well. Such outstanding consistency in the involvement and benefits of women from land resources within the irrigation and yonder the scheme context implies that women </w:t>
      </w:r>
      <w:r w:rsidRPr="00C55AC3">
        <w:rPr>
          <w:rFonts w:ascii="Times New Roman" w:eastAsia="Calibri" w:hAnsi="Times New Roman" w:cs="Times New Roman"/>
          <w:lang w:val="en-ZA"/>
        </w:rPr>
        <w:lastRenderedPageBreak/>
        <w:t xml:space="preserve">are by disposition legitimate land holders who have access to the land freely in summer, despite their being entitled to payment of the scheme joining fees. The renting of plots by irrigators also creates more financial resources for the women who are the primary land holders. Interestingly though land is pivotal to production nonetheless having land does not determine the degree to which agricultural sustainability is successfully engaged but rather determined by how men and women make use of the resources (land and inputs) and stand out through the systemized institutions. Moreover the contention by Rodgers (2005) that the control of land provides security for credit, a criterion for access to fertilizer and seeds, is not manifested in the Ntcheu. The observed drop in women’s representation in irrigation schemes as compared to rainfed agriculture is also a manifestation of the gradual transfer both land and water which are primarily women’s resources in the area towards men, this can be considered a gender gap closing strategy towards equality. </w:t>
      </w:r>
    </w:p>
    <w:p w14:paraId="59AB5741"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Such inconsistencies are far from the World Bank (2012)’s resource equality hypothesis; women can sustainably increase production much more than men if supporting inputs such as fertilizer and pesticides are given at equal footing with men. Incoherently those who own the means of production (women) do not have decision making power, it is in the hands of the landless (men)--matrilinity is not matriarchy. Ironically the institutional mechanisms for land distribution (Land laws) are controlled by men giving away land to women while in other instances land ownership varies by birth order. However having substantial access to land alone with limited access and control over other forms of income creates an obstacle that hinders women’s ability to raise sufficient financial capital to maintain the agro-based sustainability set up. More so this assertion seems not to accommodate the issue of markets where women’s bargaining power is still compromised. </w:t>
      </w:r>
    </w:p>
    <w:p w14:paraId="1D3F40B1"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Therefore men generally obtain more income from tasks that are detached from agriculture more than women hence women are largely dependent on agricultural produce than their counterparts. This creates another gap between men and women where men will tend to get more income than women. Such substantial diversity on income source by gender at one level increases the gender gap since some tasks are more lucrative than others but at household level diversity can be considered economically enriching. Control over income and expenditure by men and women in Ntcheu district is determined by the level of control of production resources and labour investment thus the degree of investment in the same land by men is more instrumental than an act of responsibility. Thus developmental pointers such as assets will be realized more by men who in the case study are secondary land tenants. </w:t>
      </w:r>
    </w:p>
    <w:p w14:paraId="1EA1853E"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Despite low representation at all levels of scheme management; men as a peculiar but minority group have reflected a distinctive pattern within the scheme organization structure as acknowledged decision makers even when there are strong indications to the fact that women who are in the scheme leadership are as well doing their job well. Such unique patterns of non-unique events within the scheme are a mirror image of the collective consciousness rooted from the community’s organized culture which has meaning to the scheme members and to which in turn responds; in the process promoting male decision makers at the expense of women even when the latter are present in management. Thus community leadership engagement by men and women in Ntcheu District is gradually shifting towards men as embedded in Van der Mole (2001)’s contention that women transfer irrigation responsibilities to their male counterparts culturally perceived as “heads”. In Ntcheu the village head is usually a man--a son to the preceding head but he goes to stay at his wife’s home though making decisions about his home village in absentia (Village heads without land). </w:t>
      </w:r>
    </w:p>
    <w:p w14:paraId="3581652E" w14:textId="77777777" w:rsidR="00C55AC3" w:rsidRPr="00C55AC3" w:rsidRDefault="00C55AC3" w:rsidP="00C55AC3">
      <w:pPr>
        <w:keepNext/>
        <w:keepLines/>
        <w:spacing w:before="480" w:after="0" w:line="276" w:lineRule="auto"/>
        <w:outlineLvl w:val="0"/>
        <w:rPr>
          <w:rFonts w:ascii="Times New Roman" w:eastAsia="Times New Roman" w:hAnsi="Times New Roman" w:cs="Times New Roman"/>
          <w:b/>
          <w:bCs/>
          <w:lang w:val="en-ZA"/>
        </w:rPr>
      </w:pPr>
      <w:bookmarkStart w:id="35" w:name="_Toc403920134"/>
      <w:bookmarkStart w:id="36" w:name="_Toc427137476"/>
      <w:r w:rsidRPr="00C55AC3">
        <w:rPr>
          <w:rFonts w:ascii="Times New Roman" w:eastAsia="Times New Roman" w:hAnsi="Times New Roman" w:cs="Times New Roman"/>
          <w:b/>
          <w:bCs/>
          <w:lang w:val="en-ZA"/>
        </w:rPr>
        <w:lastRenderedPageBreak/>
        <w:t>5.0 Conclusion</w:t>
      </w:r>
      <w:bookmarkEnd w:id="35"/>
      <w:bookmarkEnd w:id="36"/>
    </w:p>
    <w:p w14:paraId="40135E64"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lang w:val="en-ZA"/>
        </w:rPr>
        <w:t xml:space="preserve">This paper concludes that intra-household power dynamics catalyse gender differences that are observed in the fields, markets, management and even in resource ownership and control. Gendered spaces manifested in differentiated crop choices and labour investment in selected tasks by men and women indicates that gender gaps still exist in the agriculture arena particularly in irrigation schemes where cultural checks and balances are compromised. The results indicate that women in Ntcheu are the landholders and have some degree of control on resources such as land and water however they have limited control over markets---an untied loop that derails empowerment. Community leadership is also an area where women are lacking control, as a consequence of patriarchal infiltration. More so the introduction of household oriented irrigation scheme plot allocation mechanism which is perceived as gender-accommodative has loosened clan inclined women’s grip on land resources even in matrilineal societies. This paper therefore recommends that irrigation facilitation be practiced consistently with the existing local cultural tenure systems to protect the existing practices which in matrilineal societies support the interests of women. Such approaches would boost women’s asset base which is fundamental towards constructing a firm ground on which to bargain for resource ownership and control at household and community level. Moreover a holistic approach to scheme development as an all-encompassing mechanism in accommodating differentiated household and community obligations is a necessary stride towards closing the gender gap that has been created between men and women. </w:t>
      </w:r>
    </w:p>
    <w:bookmarkStart w:id="37" w:name="_Toc427137477" w:displacedByCustomXml="next"/>
    <w:sdt>
      <w:sdtPr>
        <w:rPr>
          <w:rFonts w:ascii="Times New Roman" w:eastAsia="Calibri" w:hAnsi="Times New Roman" w:cs="Times New Roman"/>
          <w:lang w:val="en-US" w:eastAsia="ja-JP"/>
        </w:rPr>
        <w:id w:val="-211656184"/>
        <w:docPartObj>
          <w:docPartGallery w:val="Bibliographies"/>
          <w:docPartUnique/>
        </w:docPartObj>
      </w:sdtPr>
      <w:sdtEndPr>
        <w:rPr>
          <w:lang w:val="en-ZA" w:eastAsia="en-US"/>
        </w:rPr>
      </w:sdtEndPr>
      <w:sdtContent>
        <w:p w14:paraId="42190383" w14:textId="77777777" w:rsidR="00C55AC3" w:rsidRPr="00C55AC3" w:rsidRDefault="00C55AC3" w:rsidP="00C55AC3">
          <w:pPr>
            <w:keepNext/>
            <w:keepLines/>
            <w:spacing w:before="480" w:after="0" w:line="276" w:lineRule="auto"/>
            <w:jc w:val="both"/>
            <w:outlineLvl w:val="0"/>
            <w:rPr>
              <w:rFonts w:ascii="Times New Roman" w:eastAsia="Times New Roman" w:hAnsi="Times New Roman" w:cs="Times New Roman"/>
              <w:b/>
              <w:bCs/>
              <w:lang w:val="en-US" w:eastAsia="ja-JP"/>
            </w:rPr>
          </w:pPr>
          <w:r w:rsidRPr="00C55AC3">
            <w:rPr>
              <w:rFonts w:ascii="Times New Roman" w:eastAsia="Times New Roman" w:hAnsi="Times New Roman" w:cs="Times New Roman"/>
              <w:b/>
              <w:bCs/>
              <w:lang w:val="en-US" w:eastAsia="ja-JP"/>
            </w:rPr>
            <w:t>References</w:t>
          </w:r>
          <w:bookmarkEnd w:id="37"/>
        </w:p>
        <w:sdt>
          <w:sdtPr>
            <w:rPr>
              <w:rFonts w:ascii="Times New Roman" w:eastAsia="Calibri" w:hAnsi="Times New Roman" w:cs="Times New Roman"/>
              <w:lang w:val="en-ZA"/>
            </w:rPr>
            <w:id w:val="111145805"/>
            <w:bibliography/>
          </w:sdtPr>
          <w:sdtEndPr/>
          <w:sdtContent>
            <w:p w14:paraId="54A8829E"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lang w:val="en-ZA"/>
                </w:rPr>
                <w:fldChar w:fldCharType="begin"/>
              </w:r>
              <w:r w:rsidRPr="00C55AC3">
                <w:rPr>
                  <w:rFonts w:ascii="Times New Roman" w:eastAsia="Calibri" w:hAnsi="Times New Roman" w:cs="Times New Roman"/>
                  <w:lang w:val="en-ZA"/>
                </w:rPr>
                <w:instrText xml:space="preserve"> BIBLIOGRAPHY </w:instrText>
              </w:r>
              <w:r w:rsidRPr="00C55AC3">
                <w:rPr>
                  <w:rFonts w:ascii="Times New Roman" w:eastAsia="Calibri" w:hAnsi="Times New Roman" w:cs="Times New Roman"/>
                  <w:lang w:val="en-ZA"/>
                </w:rPr>
                <w:fldChar w:fldCharType="separate"/>
              </w:r>
              <w:r w:rsidRPr="00C55AC3">
                <w:rPr>
                  <w:rFonts w:ascii="Times New Roman" w:eastAsia="Calibri" w:hAnsi="Times New Roman" w:cs="Times New Roman"/>
                  <w:noProof/>
                  <w:lang w:val="en-US"/>
                </w:rPr>
                <w:t xml:space="preserve">Abdelali-Martini, M., &amp; Dey de Pryck, J. (2014). Does the Feminization of Agriculture Labour Empower Women? Insights From Female Labour Contractors and Workers in North West Syria. </w:t>
              </w:r>
              <w:r w:rsidRPr="00C55AC3">
                <w:rPr>
                  <w:rFonts w:ascii="Times New Roman" w:eastAsia="Calibri" w:hAnsi="Times New Roman" w:cs="Times New Roman"/>
                  <w:i/>
                  <w:iCs/>
                  <w:noProof/>
                  <w:lang w:val="en-US"/>
                </w:rPr>
                <w:t>Journal of International Development:</w:t>
              </w:r>
              <w:r w:rsidRPr="00C55AC3">
                <w:rPr>
                  <w:rFonts w:ascii="Times New Roman" w:eastAsia="Calibri" w:hAnsi="Times New Roman" w:cs="Times New Roman"/>
                  <w:noProof/>
                  <w:lang w:val="en-US"/>
                </w:rPr>
                <w:t>, Wiley Online Library. DOI: 10.1002/jid.</w:t>
              </w:r>
            </w:p>
            <w:p w14:paraId="5FA7D2EB"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ADB. (2005). </w:t>
              </w:r>
              <w:r w:rsidRPr="00C55AC3">
                <w:rPr>
                  <w:rFonts w:ascii="Times New Roman" w:eastAsia="Calibri" w:hAnsi="Times New Roman" w:cs="Times New Roman"/>
                  <w:i/>
                  <w:iCs/>
                  <w:noProof/>
                  <w:lang w:val="en-US"/>
                </w:rPr>
                <w:t>Asian Development Bank Country Gender Assessment: Uzbekistan.</w:t>
              </w:r>
              <w:r w:rsidRPr="00C55AC3">
                <w:rPr>
                  <w:rFonts w:ascii="Times New Roman" w:eastAsia="Calibri" w:hAnsi="Times New Roman" w:cs="Times New Roman"/>
                  <w:noProof/>
                  <w:lang w:val="en-US"/>
                </w:rPr>
                <w:t xml:space="preserve"> Manila: Asian Development Bank.</w:t>
              </w:r>
            </w:p>
            <w:p w14:paraId="44537450"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Alkire, S., Meinzen-Dick, R., Peterman, A., Quisumbing, A. R., Seymour, G., &amp; Vaz, A. ((2012). The Women Empowerment in Agriculture Index:. </w:t>
              </w:r>
              <w:r w:rsidRPr="00C55AC3">
                <w:rPr>
                  <w:rFonts w:ascii="Times New Roman" w:eastAsia="Calibri" w:hAnsi="Times New Roman" w:cs="Times New Roman"/>
                  <w:i/>
                  <w:iCs/>
                  <w:noProof/>
                  <w:lang w:val="en-US"/>
                </w:rPr>
                <w:t>Poverty, Health and Nutrition Division, Environmental and Production Technical Division:</w:t>
              </w:r>
              <w:r w:rsidRPr="00C55AC3">
                <w:rPr>
                  <w:rFonts w:ascii="Times New Roman" w:eastAsia="Calibri" w:hAnsi="Times New Roman" w:cs="Times New Roman"/>
                  <w:noProof/>
                  <w:lang w:val="en-US"/>
                </w:rPr>
                <w:t>, IFPRI.</w:t>
              </w:r>
            </w:p>
            <w:p w14:paraId="50A1ECF7"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Barth, F. (1969). </w:t>
              </w:r>
              <w:r w:rsidRPr="00C55AC3">
                <w:rPr>
                  <w:rFonts w:ascii="Times New Roman" w:eastAsia="Calibri" w:hAnsi="Times New Roman" w:cs="Times New Roman"/>
                  <w:i/>
                  <w:iCs/>
                  <w:noProof/>
                  <w:lang w:val="en-US"/>
                </w:rPr>
                <w:t>ed. Ethnic Groups and Bounadries- The Social Organization of Culture Difference,.</w:t>
              </w:r>
              <w:r w:rsidRPr="00C55AC3">
                <w:rPr>
                  <w:rFonts w:ascii="Times New Roman" w:eastAsia="Calibri" w:hAnsi="Times New Roman" w:cs="Times New Roman"/>
                  <w:noProof/>
                  <w:lang w:val="en-US"/>
                </w:rPr>
                <w:t xml:space="preserve"> London: George Allen and Unwin.</w:t>
              </w:r>
            </w:p>
            <w:p w14:paraId="6F0C99A4"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Bastidas, E. (1999). </w:t>
              </w:r>
              <w:r w:rsidRPr="00C55AC3">
                <w:rPr>
                  <w:rFonts w:ascii="Times New Roman" w:eastAsia="Calibri" w:hAnsi="Times New Roman" w:cs="Times New Roman"/>
                  <w:i/>
                  <w:iCs/>
                  <w:noProof/>
                  <w:lang w:val="en-US"/>
                </w:rPr>
                <w:t>Gender Issues and Women’s Particpation in Irrigation Agriculture: The Case of Two Private Irrigation Canals in Carchi, Eucador,Research Report 31 .</w:t>
              </w:r>
              <w:r w:rsidRPr="00C55AC3">
                <w:rPr>
                  <w:rFonts w:ascii="Times New Roman" w:eastAsia="Calibri" w:hAnsi="Times New Roman" w:cs="Times New Roman"/>
                  <w:noProof/>
                  <w:lang w:val="en-US"/>
                </w:rPr>
                <w:t xml:space="preserve"> Colombo, Sri lanka:: IWMI.</w:t>
              </w:r>
            </w:p>
            <w:p w14:paraId="516F2795"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Bernal, V. ( 1988 ). </w:t>
              </w:r>
              <w:r w:rsidRPr="00C55AC3">
                <w:rPr>
                  <w:rFonts w:ascii="Times New Roman" w:eastAsia="Calibri" w:hAnsi="Times New Roman" w:cs="Times New Roman"/>
                  <w:i/>
                  <w:iCs/>
                  <w:noProof/>
                  <w:lang w:val="en-US"/>
                </w:rPr>
                <w:t>Losing Ground: Women and Agriculture on Sudan’s Irrigation Schemes: Lessons from a Blue Nile Village, In Agriculture Women and the African Experience,.</w:t>
              </w:r>
              <w:r w:rsidRPr="00C55AC3">
                <w:rPr>
                  <w:rFonts w:ascii="Times New Roman" w:eastAsia="Calibri" w:hAnsi="Times New Roman" w:cs="Times New Roman"/>
                  <w:noProof/>
                  <w:lang w:val="en-US"/>
                </w:rPr>
                <w:t xml:space="preserve"> Colorado: Westview Press.</w:t>
              </w:r>
            </w:p>
            <w:p w14:paraId="304E5479"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Boseup, E. (2002). Technological Society and Its Relation to Global Environmental Change In Munn T., Timmermann P ed . </w:t>
              </w:r>
              <w:r w:rsidRPr="00C55AC3">
                <w:rPr>
                  <w:rFonts w:ascii="Times New Roman" w:eastAsia="Calibri" w:hAnsi="Times New Roman" w:cs="Times New Roman"/>
                  <w:i/>
                  <w:iCs/>
                  <w:noProof/>
                  <w:lang w:val="en-US"/>
                </w:rPr>
                <w:t>Encyclopedia and Global Environmental Change</w:t>
              </w:r>
              <w:r w:rsidRPr="00C55AC3">
                <w:rPr>
                  <w:rFonts w:ascii="Times New Roman" w:eastAsia="Calibri" w:hAnsi="Times New Roman" w:cs="Times New Roman"/>
                  <w:noProof/>
                  <w:lang w:val="en-US"/>
                </w:rPr>
                <w:t>, 86-96.</w:t>
              </w:r>
            </w:p>
            <w:p w14:paraId="480B7B86"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Carney, J. (1988). </w:t>
              </w:r>
              <w:r w:rsidRPr="00C55AC3">
                <w:rPr>
                  <w:rFonts w:ascii="Times New Roman" w:eastAsia="Calibri" w:hAnsi="Times New Roman" w:cs="Times New Roman"/>
                  <w:i/>
                  <w:iCs/>
                  <w:noProof/>
                  <w:lang w:val="en-US"/>
                </w:rPr>
                <w:t>Struggles Over Land and Crops in an Irrigated Rice Scheme: The Gambia, In Agriculture, Women and African Experience,.</w:t>
              </w:r>
              <w:r w:rsidRPr="00C55AC3">
                <w:rPr>
                  <w:rFonts w:ascii="Times New Roman" w:eastAsia="Calibri" w:hAnsi="Times New Roman" w:cs="Times New Roman"/>
                  <w:noProof/>
                  <w:lang w:val="en-US"/>
                </w:rPr>
                <w:t xml:space="preserve"> Colorado: Westview Pres.</w:t>
              </w:r>
            </w:p>
            <w:p w14:paraId="7B8EAE26"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lastRenderedPageBreak/>
                <w:t xml:space="preserve">Carswell, G. ( 1997). Agriculture Intensification and Rural Sustainable Livelihoods: A Think Piece,. </w:t>
              </w:r>
              <w:r w:rsidRPr="00C55AC3">
                <w:rPr>
                  <w:rFonts w:ascii="Times New Roman" w:eastAsia="Calibri" w:hAnsi="Times New Roman" w:cs="Times New Roman"/>
                  <w:i/>
                  <w:iCs/>
                  <w:noProof/>
                  <w:lang w:val="en-US"/>
                </w:rPr>
                <w:t>IDS Working Paper 64,</w:t>
              </w:r>
              <w:r w:rsidRPr="00C55AC3">
                <w:rPr>
                  <w:rFonts w:ascii="Times New Roman" w:eastAsia="Calibri" w:hAnsi="Times New Roman" w:cs="Times New Roman"/>
                  <w:noProof/>
                  <w:lang w:val="en-US"/>
                </w:rPr>
                <w:t>, SLP 4 . Http://www.ids.ac.uk/ids/research/env/index.html (date accessed: 9 October 2014).</w:t>
              </w:r>
            </w:p>
            <w:p w14:paraId="2BBBEC48"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Cleaver, F. (2000). Moral Ecological Rationality, Institutions and the Management of Common Property Resources,. </w:t>
              </w:r>
              <w:r w:rsidRPr="00C55AC3">
                <w:rPr>
                  <w:rFonts w:ascii="Times New Roman" w:eastAsia="Calibri" w:hAnsi="Times New Roman" w:cs="Times New Roman"/>
                  <w:i/>
                  <w:iCs/>
                  <w:noProof/>
                  <w:lang w:val="en-US"/>
                </w:rPr>
                <w:t>Dev. Change</w:t>
              </w:r>
              <w:r w:rsidRPr="00C55AC3">
                <w:rPr>
                  <w:rFonts w:ascii="Times New Roman" w:eastAsia="Calibri" w:hAnsi="Times New Roman" w:cs="Times New Roman"/>
                  <w:noProof/>
                  <w:lang w:val="en-US"/>
                </w:rPr>
                <w:t>, 31: 361-383.</w:t>
              </w:r>
            </w:p>
            <w:p w14:paraId="63643F06"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Diao, E. (2010). Economic Importance of Agriculture for Sustainable Development and Poverty Reduction: The Case Study of Ethiopia. </w:t>
              </w:r>
              <w:r w:rsidRPr="00C55AC3">
                <w:rPr>
                  <w:rFonts w:ascii="Times New Roman" w:eastAsia="Calibri" w:hAnsi="Times New Roman" w:cs="Times New Roman"/>
                  <w:i/>
                  <w:iCs/>
                  <w:noProof/>
                  <w:lang w:val="en-US"/>
                </w:rPr>
                <w:t>Policies for Agriculture, Development, Poverty Reduction and Food Security,</w:t>
              </w:r>
              <w:r w:rsidRPr="00C55AC3">
                <w:rPr>
                  <w:rFonts w:ascii="Times New Roman" w:eastAsia="Calibri" w:hAnsi="Times New Roman" w:cs="Times New Roman"/>
                  <w:noProof/>
                  <w:lang w:val="en-US"/>
                </w:rPr>
                <w:t xml:space="preserve"> (pp. Global Forum on Agriculture 29-30 November 2010). Paris: OECD.</w:t>
              </w:r>
            </w:p>
            <w:p w14:paraId="17D2C437"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Doss, C. R. (2001). Designing Agriculture Technology for African Women Farmers: Lessons From 25 Years’ Experience. </w:t>
              </w:r>
              <w:r w:rsidRPr="00C55AC3">
                <w:rPr>
                  <w:rFonts w:ascii="Times New Roman" w:eastAsia="Calibri" w:hAnsi="Times New Roman" w:cs="Times New Roman"/>
                  <w:i/>
                  <w:iCs/>
                  <w:noProof/>
                  <w:lang w:val="en-US"/>
                </w:rPr>
                <w:t>World Development</w:t>
              </w:r>
              <w:r w:rsidRPr="00C55AC3">
                <w:rPr>
                  <w:rFonts w:ascii="Times New Roman" w:eastAsia="Calibri" w:hAnsi="Times New Roman" w:cs="Times New Roman"/>
                  <w:noProof/>
                  <w:lang w:val="en-US"/>
                </w:rPr>
                <w:t>, 29 (5): 2075-2092.</w:t>
              </w:r>
            </w:p>
            <w:p w14:paraId="0BBE2F33"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Doss, C. R. (2002). Men’s Crops? Women’s Crops? The Gender Pattern of Cropping in Ghana,. </w:t>
              </w:r>
              <w:r w:rsidRPr="00C55AC3">
                <w:rPr>
                  <w:rFonts w:ascii="Times New Roman" w:eastAsia="Calibri" w:hAnsi="Times New Roman" w:cs="Times New Roman"/>
                  <w:i/>
                  <w:iCs/>
                  <w:noProof/>
                  <w:lang w:val="en-US"/>
                </w:rPr>
                <w:t>World Development,</w:t>
              </w:r>
              <w:r w:rsidRPr="00C55AC3">
                <w:rPr>
                  <w:rFonts w:ascii="Times New Roman" w:eastAsia="Calibri" w:hAnsi="Times New Roman" w:cs="Times New Roman"/>
                  <w:noProof/>
                  <w:lang w:val="en-US"/>
                </w:rPr>
                <w:t>, 30:1987-2000.</w:t>
              </w:r>
            </w:p>
            <w:p w14:paraId="1A257A5E"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Doss, C. R. (2011). </w:t>
              </w:r>
              <w:r w:rsidRPr="00C55AC3">
                <w:rPr>
                  <w:rFonts w:ascii="Times New Roman" w:eastAsia="Calibri" w:hAnsi="Times New Roman" w:cs="Times New Roman"/>
                  <w:i/>
                  <w:iCs/>
                  <w:noProof/>
                  <w:lang w:val="en-US"/>
                </w:rPr>
                <w:t>World Development Report 2012, Gender Equality and Development Background Paper: IntraHousehold Bargaining and Resource Allocation in Developing Countries,.</w:t>
              </w:r>
              <w:r w:rsidRPr="00C55AC3">
                <w:rPr>
                  <w:rFonts w:ascii="Times New Roman" w:eastAsia="Calibri" w:hAnsi="Times New Roman" w:cs="Times New Roman"/>
                  <w:noProof/>
                  <w:lang w:val="en-US"/>
                </w:rPr>
                <w:t xml:space="preserve"> Yale University: Jackson Institute for Global Affairs: .</w:t>
              </w:r>
            </w:p>
            <w:p w14:paraId="2AD41C86"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FAO. (2011). </w:t>
              </w:r>
              <w:r w:rsidRPr="00C55AC3">
                <w:rPr>
                  <w:rFonts w:ascii="Times New Roman" w:eastAsia="Calibri" w:hAnsi="Times New Roman" w:cs="Times New Roman"/>
                  <w:i/>
                  <w:iCs/>
                  <w:noProof/>
                  <w:lang w:val="en-US"/>
                </w:rPr>
                <w:t>The State of Food and Agriculture 2010-2011: Women in Agriculture Closing the Gender Gap for Development,.</w:t>
              </w:r>
              <w:r w:rsidRPr="00C55AC3">
                <w:rPr>
                  <w:rFonts w:ascii="Times New Roman" w:eastAsia="Calibri" w:hAnsi="Times New Roman" w:cs="Times New Roman"/>
                  <w:noProof/>
                  <w:lang w:val="en-US"/>
                </w:rPr>
                <w:t xml:space="preserve"> Rome: FAO.</w:t>
              </w:r>
            </w:p>
            <w:p w14:paraId="2657193F"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Gunchinmaa, T., Hamdamova, D., &amp; Van Koppen, B. (2011). Gender in Irrigated Farming: A Case in the Zerafshan River Basin, Uzbekistan, Asian Institute of Technology,. </w:t>
              </w:r>
              <w:r w:rsidRPr="00C55AC3">
                <w:rPr>
                  <w:rFonts w:ascii="Times New Roman" w:eastAsia="Calibri" w:hAnsi="Times New Roman" w:cs="Times New Roman"/>
                  <w:i/>
                  <w:iCs/>
                  <w:noProof/>
                  <w:lang w:val="en-US"/>
                </w:rPr>
                <w:t>Gender Technology and Development</w:t>
              </w:r>
              <w:r w:rsidRPr="00C55AC3">
                <w:rPr>
                  <w:rFonts w:ascii="Times New Roman" w:eastAsia="Calibri" w:hAnsi="Times New Roman" w:cs="Times New Roman"/>
                  <w:noProof/>
                  <w:lang w:val="en-US"/>
                </w:rPr>
                <w:t>, 15 (2) 201-222.</w:t>
              </w:r>
            </w:p>
            <w:p w14:paraId="7670542F"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Hallman, K. (2000). </w:t>
              </w:r>
              <w:r w:rsidRPr="00C55AC3">
                <w:rPr>
                  <w:rFonts w:ascii="Times New Roman" w:eastAsia="Calibri" w:hAnsi="Times New Roman" w:cs="Times New Roman"/>
                  <w:i/>
                  <w:iCs/>
                  <w:noProof/>
                  <w:lang w:val="en-US"/>
                </w:rPr>
                <w:t>Mother-Father Resources, Marriage Payments and Girl-Boy Health in Rural Bangladesh.</w:t>
              </w:r>
              <w:r w:rsidRPr="00C55AC3">
                <w:rPr>
                  <w:rFonts w:ascii="Times New Roman" w:eastAsia="Calibri" w:hAnsi="Times New Roman" w:cs="Times New Roman"/>
                  <w:noProof/>
                  <w:lang w:val="en-US"/>
                </w:rPr>
                <w:t xml:space="preserve"> Mimeo, Washington, DC : International Food policy Research Institute.</w:t>
              </w:r>
            </w:p>
            <w:p w14:paraId="4E5A8828"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Hamid, A. (2004). Social Mobilization and Women’s Participation in Water Resource Management: A Case Study of Additional Settlement of Southern Punjab, Pakistan. </w:t>
              </w:r>
              <w:r w:rsidRPr="00C55AC3">
                <w:rPr>
                  <w:rFonts w:ascii="Times New Roman" w:eastAsia="Calibri" w:hAnsi="Times New Roman" w:cs="Times New Roman"/>
                  <w:i/>
                  <w:iCs/>
                  <w:noProof/>
                  <w:lang w:val="en-US"/>
                </w:rPr>
                <w:t>Journal of Applied Irrigation Science</w:t>
              </w:r>
              <w:r w:rsidRPr="00C55AC3">
                <w:rPr>
                  <w:rFonts w:ascii="Times New Roman" w:eastAsia="Calibri" w:hAnsi="Times New Roman" w:cs="Times New Roman"/>
                  <w:noProof/>
                  <w:lang w:val="en-US"/>
                </w:rPr>
                <w:t>, 39 (91): 23-41.</w:t>
              </w:r>
            </w:p>
            <w:p w14:paraId="022654C1"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Hodgson, D., &amp; McCurdy, S. (1996). Wayward Wives, Misfit Mothers, Disobedient Daughters: Wicked Women and the Reconfiguration of Gender in Africa. </w:t>
              </w:r>
              <w:r w:rsidRPr="00C55AC3">
                <w:rPr>
                  <w:rFonts w:ascii="Times New Roman" w:eastAsia="Calibri" w:hAnsi="Times New Roman" w:cs="Times New Roman"/>
                  <w:i/>
                  <w:iCs/>
                  <w:noProof/>
                  <w:lang w:val="en-US"/>
                </w:rPr>
                <w:t>Canadian Journal of African Studies</w:t>
              </w:r>
              <w:r w:rsidRPr="00C55AC3">
                <w:rPr>
                  <w:rFonts w:ascii="Times New Roman" w:eastAsia="Calibri" w:hAnsi="Times New Roman" w:cs="Times New Roman"/>
                  <w:noProof/>
                  <w:lang w:val="en-US"/>
                </w:rPr>
                <w:t>, 30 (1):1-9.</w:t>
              </w:r>
            </w:p>
            <w:p w14:paraId="138E2B03"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Hopkins, A. (1973). </w:t>
              </w:r>
              <w:r w:rsidRPr="00C55AC3">
                <w:rPr>
                  <w:rFonts w:ascii="Times New Roman" w:eastAsia="Calibri" w:hAnsi="Times New Roman" w:cs="Times New Roman"/>
                  <w:i/>
                  <w:iCs/>
                  <w:noProof/>
                  <w:lang w:val="en-US"/>
                </w:rPr>
                <w:t>An Economic History of West Africa,.</w:t>
              </w:r>
              <w:r w:rsidRPr="00C55AC3">
                <w:rPr>
                  <w:rFonts w:ascii="Times New Roman" w:eastAsia="Calibri" w:hAnsi="Times New Roman" w:cs="Times New Roman"/>
                  <w:noProof/>
                  <w:lang w:val="en-US"/>
                </w:rPr>
                <w:t xml:space="preserve"> London: Longman.</w:t>
              </w:r>
            </w:p>
            <w:p w14:paraId="5014BCBA"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Huffman, T. N. (1998). The Antiquity of Lobola: Presidential Address South Africa,. </w:t>
              </w:r>
              <w:r w:rsidRPr="00C55AC3">
                <w:rPr>
                  <w:rFonts w:ascii="Times New Roman" w:eastAsia="Calibri" w:hAnsi="Times New Roman" w:cs="Times New Roman"/>
                  <w:i/>
                  <w:iCs/>
                  <w:noProof/>
                  <w:lang w:val="en-US"/>
                </w:rPr>
                <w:t>Archeological Bulletin</w:t>
              </w:r>
              <w:r w:rsidRPr="00C55AC3">
                <w:rPr>
                  <w:rFonts w:ascii="Times New Roman" w:eastAsia="Calibri" w:hAnsi="Times New Roman" w:cs="Times New Roman"/>
                  <w:noProof/>
                  <w:lang w:val="en-US"/>
                </w:rPr>
                <w:t>, 53:57-62.</w:t>
              </w:r>
            </w:p>
            <w:p w14:paraId="4699039C"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Jayasekhar, L., Karunakaran, K., &amp; Lowdermilk, M. (1992). Women in Irrigation: Case Study in South India,. </w:t>
              </w:r>
              <w:r w:rsidRPr="00C55AC3">
                <w:rPr>
                  <w:rFonts w:ascii="Times New Roman" w:eastAsia="Calibri" w:hAnsi="Times New Roman" w:cs="Times New Roman"/>
                  <w:i/>
                  <w:iCs/>
                  <w:noProof/>
                  <w:lang w:val="en-US"/>
                </w:rPr>
                <w:t>Journal of Extension Systems, India</w:t>
              </w:r>
              <w:r w:rsidRPr="00C55AC3">
                <w:rPr>
                  <w:rFonts w:ascii="Times New Roman" w:eastAsia="Calibri" w:hAnsi="Times New Roman" w:cs="Times New Roman"/>
                  <w:noProof/>
                  <w:lang w:val="en-US"/>
                </w:rPr>
                <w:t>, l 8 (1&amp;2):114-124.</w:t>
              </w:r>
            </w:p>
            <w:p w14:paraId="772C61EB"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Jones, C. (1983). </w:t>
              </w:r>
              <w:r w:rsidRPr="00C55AC3">
                <w:rPr>
                  <w:rFonts w:ascii="Times New Roman" w:eastAsia="Calibri" w:hAnsi="Times New Roman" w:cs="Times New Roman"/>
                  <w:i/>
                  <w:iCs/>
                  <w:noProof/>
                  <w:lang w:val="en-US"/>
                </w:rPr>
                <w:t>The Impact of the Semry Irrigated Rice Production Project on the Organization of Production and Consumption at the Intra household level,.</w:t>
              </w:r>
              <w:r w:rsidRPr="00C55AC3">
                <w:rPr>
                  <w:rFonts w:ascii="Times New Roman" w:eastAsia="Calibri" w:hAnsi="Times New Roman" w:cs="Times New Roman"/>
                  <w:noProof/>
                  <w:lang w:val="en-US"/>
                </w:rPr>
                <w:t xml:space="preserve"> University of Harvard: Bureau </w:t>
              </w:r>
              <w:r w:rsidRPr="00C55AC3">
                <w:rPr>
                  <w:rFonts w:ascii="Times New Roman" w:eastAsia="Calibri" w:hAnsi="Times New Roman" w:cs="Times New Roman"/>
                  <w:noProof/>
                  <w:lang w:val="en-US"/>
                </w:rPr>
                <w:lastRenderedPageBreak/>
                <w:t>Programm for Land and Policy Coordination, Nutrition and Development Project Paper No. 83-1.</w:t>
              </w:r>
            </w:p>
            <w:p w14:paraId="7CB563F0"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Kevane, M. (2004 ). </w:t>
              </w:r>
              <w:r w:rsidRPr="00C55AC3">
                <w:rPr>
                  <w:rFonts w:ascii="Times New Roman" w:eastAsia="Calibri" w:hAnsi="Times New Roman" w:cs="Times New Roman"/>
                  <w:i/>
                  <w:iCs/>
                  <w:noProof/>
                  <w:lang w:val="en-US"/>
                </w:rPr>
                <w:t>Women and Development in Africa: How Gender Works, Boulder.</w:t>
              </w:r>
              <w:r w:rsidRPr="00C55AC3">
                <w:rPr>
                  <w:rFonts w:ascii="Times New Roman" w:eastAsia="Calibri" w:hAnsi="Times New Roman" w:cs="Times New Roman"/>
                  <w:noProof/>
                  <w:lang w:val="en-US"/>
                </w:rPr>
                <w:t xml:space="preserve"> London:: Lynne Rienner.</w:t>
              </w:r>
            </w:p>
            <w:p w14:paraId="55C7D9DC"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Kishindo, P. (2006). </w:t>
              </w:r>
              <w:r w:rsidRPr="00C55AC3">
                <w:rPr>
                  <w:rFonts w:ascii="Times New Roman" w:eastAsia="Calibri" w:hAnsi="Times New Roman" w:cs="Times New Roman"/>
                  <w:i/>
                  <w:iCs/>
                  <w:noProof/>
                  <w:lang w:val="en-US"/>
                </w:rPr>
                <w:t>The Marital Immigrant, Land and Agriculture: A Malawian Case Study, Zomba, Malawi.</w:t>
              </w:r>
              <w:r w:rsidRPr="00C55AC3">
                <w:rPr>
                  <w:rFonts w:ascii="Times New Roman" w:eastAsia="Calibri" w:hAnsi="Times New Roman" w:cs="Times New Roman"/>
                  <w:noProof/>
                  <w:lang w:val="en-US"/>
                </w:rPr>
                <w:t xml:space="preserve"> University of Malawi: Codesria.</w:t>
              </w:r>
            </w:p>
            <w:p w14:paraId="6EFDA782"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Kishindo, P. (2013). </w:t>
              </w:r>
              <w:r w:rsidRPr="00C55AC3">
                <w:rPr>
                  <w:rFonts w:ascii="Times New Roman" w:eastAsia="Calibri" w:hAnsi="Times New Roman" w:cs="Times New Roman"/>
                  <w:i/>
                  <w:iCs/>
                  <w:noProof/>
                  <w:lang w:val="en-US"/>
                </w:rPr>
                <w:t>Customary Land and Agricultural Development in Malawi.</w:t>
              </w:r>
              <w:r w:rsidRPr="00C55AC3">
                <w:rPr>
                  <w:rFonts w:ascii="Times New Roman" w:eastAsia="Calibri" w:hAnsi="Times New Roman" w:cs="Times New Roman"/>
                  <w:noProof/>
                  <w:lang w:val="en-US"/>
                </w:rPr>
                <w:t xml:space="preserve"> Malawi.</w:t>
              </w:r>
            </w:p>
            <w:p w14:paraId="14101739"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Koopman, J. (1993). </w:t>
              </w:r>
              <w:r w:rsidRPr="00C55AC3">
                <w:rPr>
                  <w:rFonts w:ascii="Times New Roman" w:eastAsia="Calibri" w:hAnsi="Times New Roman" w:cs="Times New Roman"/>
                  <w:i/>
                  <w:iCs/>
                  <w:noProof/>
                  <w:lang w:val="en-US"/>
                </w:rPr>
                <w:t>The Hidden Roots of the African Food Problem: Looking Within the Rural Household. In Women’s work in the World Economy.</w:t>
              </w:r>
              <w:r w:rsidRPr="00C55AC3">
                <w:rPr>
                  <w:rFonts w:ascii="Times New Roman" w:eastAsia="Calibri" w:hAnsi="Times New Roman" w:cs="Times New Roman"/>
                  <w:noProof/>
                  <w:lang w:val="en-US"/>
                </w:rPr>
                <w:t xml:space="preserve"> New York: New York University Press.</w:t>
              </w:r>
            </w:p>
            <w:p w14:paraId="485795E3"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Kusum, A., &amp; Zwarteveen, M. (1994). </w:t>
              </w:r>
              <w:r w:rsidRPr="00C55AC3">
                <w:rPr>
                  <w:rFonts w:ascii="Times New Roman" w:eastAsia="Calibri" w:hAnsi="Times New Roman" w:cs="Times New Roman"/>
                  <w:i/>
                  <w:iCs/>
                  <w:noProof/>
                  <w:lang w:val="en-US"/>
                </w:rPr>
                <w:t>Participatory Management: Who Participates?Annual Progress Report for 1993/1994 Gender Programme International Irrigation Managem.</w:t>
              </w:r>
              <w:r w:rsidRPr="00C55AC3">
                <w:rPr>
                  <w:rFonts w:ascii="Times New Roman" w:eastAsia="Calibri" w:hAnsi="Times New Roman" w:cs="Times New Roman"/>
                  <w:noProof/>
                  <w:lang w:val="en-US"/>
                </w:rPr>
                <w:t xml:space="preserve"> Colombo: IWMI.</w:t>
              </w:r>
            </w:p>
            <w:p w14:paraId="631DF76F"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Lele, U., &amp; Stone, S. W. (1989). Population Pressure, The Environment and Agriculture Intensification: Variations on the Boserup Hypothesis,. </w:t>
              </w:r>
              <w:r w:rsidRPr="00C55AC3">
                <w:rPr>
                  <w:rFonts w:ascii="Times New Roman" w:eastAsia="Calibri" w:hAnsi="Times New Roman" w:cs="Times New Roman"/>
                  <w:i/>
                  <w:iCs/>
                  <w:noProof/>
                  <w:lang w:val="en-US"/>
                </w:rPr>
                <w:t>MADIA Discussion Paper</w:t>
              </w:r>
              <w:r w:rsidRPr="00C55AC3">
                <w:rPr>
                  <w:rFonts w:ascii="Times New Roman" w:eastAsia="Calibri" w:hAnsi="Times New Roman" w:cs="Times New Roman"/>
                  <w:noProof/>
                  <w:lang w:val="en-US"/>
                </w:rPr>
                <w:t>, Report No. 8325, Vol. 1.</w:t>
              </w:r>
            </w:p>
            <w:p w14:paraId="0FAA5297"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Mabane, N. (1997). </w:t>
              </w:r>
              <w:r w:rsidRPr="00C55AC3">
                <w:rPr>
                  <w:rFonts w:ascii="Times New Roman" w:eastAsia="Calibri" w:hAnsi="Times New Roman" w:cs="Times New Roman"/>
                  <w:i/>
                  <w:iCs/>
                  <w:noProof/>
                  <w:lang w:val="en-US"/>
                </w:rPr>
                <w:t>A Gender Sensitive Analysis of a Community-based Wildlife Utilization Initiative in Zimbabwe’s Zambezi Valley, MPhil Thesis .</w:t>
              </w:r>
              <w:r w:rsidRPr="00C55AC3">
                <w:rPr>
                  <w:rFonts w:ascii="Times New Roman" w:eastAsia="Calibri" w:hAnsi="Times New Roman" w:cs="Times New Roman"/>
                  <w:noProof/>
                  <w:lang w:val="en-US"/>
                </w:rPr>
                <w:t xml:space="preserve"> University of Zimbabwe, Harare: Centre for Applied Social Sciences.</w:t>
              </w:r>
            </w:p>
            <w:p w14:paraId="142F2899"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Malapit, H. J., Kathryn, S., Kovarik, C., Meinzen-Dick, R., Quisumbing, A., Ramzan, F., . . . Alkire, S. (2014). </w:t>
              </w:r>
              <w:r w:rsidRPr="00C55AC3">
                <w:rPr>
                  <w:rFonts w:ascii="Times New Roman" w:eastAsia="Calibri" w:hAnsi="Times New Roman" w:cs="Times New Roman"/>
                  <w:i/>
                  <w:iCs/>
                  <w:noProof/>
                  <w:lang w:val="en-US"/>
                </w:rPr>
                <w:t>Measuring Progress Towards Empowerment, Women’s Empowerment in Agriculture Index, Baseline Report, I.</w:t>
              </w:r>
              <w:r w:rsidRPr="00C55AC3">
                <w:rPr>
                  <w:rFonts w:ascii="Times New Roman" w:eastAsia="Calibri" w:hAnsi="Times New Roman" w:cs="Times New Roman"/>
                  <w:noProof/>
                  <w:lang w:val="en-US"/>
                </w:rPr>
                <w:t xml:space="preserve"> Washington DC: IFPRI. www.ifpri.org (date accessed: 8 october 2014).</w:t>
              </w:r>
            </w:p>
            <w:p w14:paraId="703542D5" w14:textId="77777777" w:rsidR="00C55AC3" w:rsidRPr="00C55AC3" w:rsidRDefault="00C55AC3" w:rsidP="00C55AC3">
              <w:pPr>
                <w:spacing w:after="200" w:line="276" w:lineRule="auto"/>
                <w:rPr>
                  <w:rFonts w:ascii="Times New Roman" w:eastAsia="Calibri" w:hAnsi="Times New Roman" w:cs="Times New Roman"/>
                  <w:noProof/>
                  <w:lang w:val="en-US"/>
                </w:rPr>
              </w:pPr>
              <w:r w:rsidRPr="00C55AC3">
                <w:rPr>
                  <w:rFonts w:ascii="Times New Roman" w:eastAsia="Calibri" w:hAnsi="Times New Roman" w:cs="Times New Roman"/>
                  <w:lang w:val="en-US"/>
                </w:rPr>
                <w:t>Malawi National Statistics Report. (2008). Population and Housing Census Preliminary Report: Republic of Malawi.</w:t>
              </w:r>
              <w:r w:rsidRPr="00C55AC3">
                <w:rPr>
                  <w:rFonts w:ascii="Times New Roman" w:eastAsia="Calibri" w:hAnsi="Times New Roman" w:cs="Times New Roman"/>
                  <w:noProof/>
                  <w:lang w:val="en-US"/>
                </w:rPr>
                <w:t xml:space="preserve"> </w:t>
              </w:r>
            </w:p>
            <w:p w14:paraId="4651C9A2"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Mandala, E. C. (1990). </w:t>
              </w:r>
              <w:r w:rsidRPr="00C55AC3">
                <w:rPr>
                  <w:rFonts w:ascii="Times New Roman" w:eastAsia="Calibri" w:hAnsi="Times New Roman" w:cs="Times New Roman"/>
                  <w:i/>
                  <w:iCs/>
                  <w:noProof/>
                  <w:lang w:val="en-US"/>
                </w:rPr>
                <w:t>Work and Control in a Peasant Economy: A History of the Lower Tchiri Valley in Malawi .</w:t>
              </w:r>
              <w:r w:rsidRPr="00C55AC3">
                <w:rPr>
                  <w:rFonts w:ascii="Times New Roman" w:eastAsia="Calibri" w:hAnsi="Times New Roman" w:cs="Times New Roman"/>
                  <w:noProof/>
                  <w:lang w:val="en-US"/>
                </w:rPr>
                <w:t xml:space="preserve"> Madison: University of Wisconsin Press.</w:t>
              </w:r>
            </w:p>
            <w:p w14:paraId="4AB12730"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Mathews, S., &amp; Brand, K. (2004). Alien Invesive Species: Impacts on Forests and Forestry- A Review: forestry Plantations. </w:t>
              </w:r>
              <w:r w:rsidRPr="00C55AC3">
                <w:rPr>
                  <w:rFonts w:ascii="Times New Roman" w:eastAsia="Calibri" w:hAnsi="Times New Roman" w:cs="Times New Roman"/>
                  <w:i/>
                  <w:iCs/>
                  <w:noProof/>
                  <w:lang w:val="en-US"/>
                </w:rPr>
                <w:t>Africa Invaded the Growing Danger of Invesive Alien Species</w:t>
              </w:r>
              <w:r w:rsidRPr="00C55AC3">
                <w:rPr>
                  <w:rFonts w:ascii="Times New Roman" w:eastAsia="Calibri" w:hAnsi="Times New Roman" w:cs="Times New Roman"/>
                  <w:noProof/>
                  <w:lang w:val="en-US"/>
                </w:rPr>
                <w:t>, 79. http://www.gisp.org (date accessed: 17 November 2014).</w:t>
              </w:r>
            </w:p>
            <w:p w14:paraId="09394664"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Meinz-Dick, R., Van Koppen, B., Behrman, J., Karelina, Z., Akamandisa, V., Hope, L., &amp; Wielgosz, B. (2012). </w:t>
              </w:r>
              <w:r w:rsidRPr="00C55AC3">
                <w:rPr>
                  <w:rFonts w:ascii="Times New Roman" w:eastAsia="Calibri" w:hAnsi="Times New Roman" w:cs="Times New Roman"/>
                  <w:i/>
                  <w:iCs/>
                  <w:noProof/>
                  <w:lang w:val="en-US"/>
                </w:rPr>
                <w:t>Putting Gender on the Map, Methods for Mapping Gendered Farm Management Systems in Sub Saharan Africa, IFPRI Discussion Paper 01153 January 2012:.</w:t>
              </w:r>
              <w:r w:rsidRPr="00C55AC3">
                <w:rPr>
                  <w:rFonts w:ascii="Times New Roman" w:eastAsia="Calibri" w:hAnsi="Times New Roman" w:cs="Times New Roman"/>
                  <w:noProof/>
                  <w:lang w:val="en-US"/>
                </w:rPr>
                <w:t xml:space="preserve"> Washington DC: IWMI-IFPRI.</w:t>
              </w:r>
            </w:p>
            <w:p w14:paraId="754E17A8"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Meinzen-Dick, R., Quisumbing, A., Behrman, J., Biermayr-Jenzano, P., Wilde, V., Noordeloos, M., . . . Beintema, N. (2010). </w:t>
              </w:r>
              <w:r w:rsidRPr="00C55AC3">
                <w:rPr>
                  <w:rFonts w:ascii="Times New Roman" w:eastAsia="Calibri" w:hAnsi="Times New Roman" w:cs="Times New Roman"/>
                  <w:i/>
                  <w:iCs/>
                  <w:noProof/>
                  <w:lang w:val="en-US"/>
                </w:rPr>
                <w:t>Engendering Agricultural Research, IFPRI Discussion Paper 973.</w:t>
              </w:r>
              <w:r w:rsidRPr="00C55AC3">
                <w:rPr>
                  <w:rFonts w:ascii="Times New Roman" w:eastAsia="Calibri" w:hAnsi="Times New Roman" w:cs="Times New Roman"/>
                  <w:noProof/>
                  <w:lang w:val="en-US"/>
                </w:rPr>
                <w:t xml:space="preserve"> Washington DC: International Food Policy Research Institute. www.ifpri.org/publication/engendering-agricultural-research (date accessed: 8 October 2014).</w:t>
              </w:r>
            </w:p>
            <w:p w14:paraId="4FEE841D"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lastRenderedPageBreak/>
                <w:t xml:space="preserve">Merrey, D., &amp; Baviskar, S. (1997). Gender Analysis and Reform of Irrigation Management:. </w:t>
              </w:r>
              <w:r w:rsidRPr="00C55AC3">
                <w:rPr>
                  <w:rFonts w:ascii="Times New Roman" w:eastAsia="Calibri" w:hAnsi="Times New Roman" w:cs="Times New Roman"/>
                  <w:i/>
                  <w:iCs/>
                  <w:noProof/>
                  <w:lang w:val="en-US"/>
                </w:rPr>
                <w:t>Concepts, Cases and Gaps in Knowledge, Proceeding of the Workshop on Gender and Water</w:t>
              </w:r>
              <w:r w:rsidRPr="00C55AC3">
                <w:rPr>
                  <w:rFonts w:ascii="Times New Roman" w:eastAsia="Calibri" w:hAnsi="Times New Roman" w:cs="Times New Roman"/>
                  <w:noProof/>
                  <w:lang w:val="en-US"/>
                </w:rPr>
                <w:t xml:space="preserve"> (pp. 15-19 September). Habarana, Sri Langa: IWMI.</w:t>
              </w:r>
            </w:p>
            <w:p w14:paraId="0C4F1E96"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Muchena, O. (1979). The Changing Position of African Women in Rural Zimbabwe. </w:t>
              </w:r>
              <w:r w:rsidRPr="00C55AC3">
                <w:rPr>
                  <w:rFonts w:ascii="Times New Roman" w:eastAsia="Calibri" w:hAnsi="Times New Roman" w:cs="Times New Roman"/>
                  <w:i/>
                  <w:iCs/>
                  <w:noProof/>
                  <w:lang w:val="en-US"/>
                </w:rPr>
                <w:t xml:space="preserve">Zimbabwe Journal of Economics </w:t>
              </w:r>
              <w:r w:rsidRPr="00C55AC3">
                <w:rPr>
                  <w:rFonts w:ascii="Times New Roman" w:eastAsia="Calibri" w:hAnsi="Times New Roman" w:cs="Times New Roman"/>
                  <w:noProof/>
                  <w:lang w:val="en-US"/>
                </w:rPr>
                <w:t>, 1(1): 50-63.</w:t>
              </w:r>
            </w:p>
            <w:p w14:paraId="52550FFF"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Nemarundwe, N. (2003). </w:t>
              </w:r>
              <w:r w:rsidRPr="00C55AC3">
                <w:rPr>
                  <w:rFonts w:ascii="Times New Roman" w:eastAsia="Calibri" w:hAnsi="Times New Roman" w:cs="Times New Roman"/>
                  <w:i/>
                  <w:iCs/>
                  <w:noProof/>
                  <w:lang w:val="en-US"/>
                </w:rPr>
                <w:t>Institutional Arrangements for Woodlands and Water Use in Southern Zimbabwe, Department of Rural Development Studies.</w:t>
              </w:r>
              <w:r w:rsidRPr="00C55AC3">
                <w:rPr>
                  <w:rFonts w:ascii="Times New Roman" w:eastAsia="Calibri" w:hAnsi="Times New Roman" w:cs="Times New Roman"/>
                  <w:noProof/>
                  <w:lang w:val="en-US"/>
                </w:rPr>
                <w:t xml:space="preserve"> Uppsala: Universityt of Agriculral Sciences.</w:t>
              </w:r>
            </w:p>
            <w:p w14:paraId="2453899F"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Ntara, S. J. (1973). </w:t>
              </w:r>
              <w:r w:rsidRPr="00C55AC3">
                <w:rPr>
                  <w:rFonts w:ascii="Times New Roman" w:eastAsia="Calibri" w:hAnsi="Times New Roman" w:cs="Times New Roman"/>
                  <w:i/>
                  <w:iCs/>
                  <w:noProof/>
                  <w:lang w:val="en-US"/>
                </w:rPr>
                <w:t>The History of the Chewa, (Mbiiri ya Chewa).</w:t>
              </w:r>
              <w:r w:rsidRPr="00C55AC3">
                <w:rPr>
                  <w:rFonts w:ascii="Times New Roman" w:eastAsia="Calibri" w:hAnsi="Times New Roman" w:cs="Times New Roman"/>
                  <w:noProof/>
                  <w:lang w:val="en-US"/>
                </w:rPr>
                <w:t xml:space="preserve"> Wiesbaden: Franz Steiner Verlag GMBH.</w:t>
              </w:r>
            </w:p>
            <w:p w14:paraId="33D36663"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Nyamwanza, O., Dzingirai, E., &amp; Mandizadza, E. (2014). Modern Agriculture Technologies and the Human Factor,. </w:t>
              </w:r>
              <w:r w:rsidRPr="00C55AC3">
                <w:rPr>
                  <w:rFonts w:ascii="Times New Roman" w:eastAsia="Calibri" w:hAnsi="Times New Roman" w:cs="Times New Roman"/>
                  <w:i/>
                  <w:iCs/>
                  <w:noProof/>
                  <w:lang w:val="en-US"/>
                </w:rPr>
                <w:t>Modern Agri-Tech and the HF</w:t>
              </w:r>
              <w:r w:rsidRPr="00C55AC3">
                <w:rPr>
                  <w:rFonts w:ascii="Times New Roman" w:eastAsia="Calibri" w:hAnsi="Times New Roman" w:cs="Times New Roman"/>
                  <w:noProof/>
                  <w:lang w:val="en-US"/>
                </w:rPr>
                <w:t>, 20 (1): 131.</w:t>
              </w:r>
            </w:p>
            <w:p w14:paraId="500BC4B2"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Oboler, R. S. (1985). </w:t>
              </w:r>
              <w:r w:rsidRPr="00C55AC3">
                <w:rPr>
                  <w:rFonts w:ascii="Times New Roman" w:eastAsia="Calibri" w:hAnsi="Times New Roman" w:cs="Times New Roman"/>
                  <w:i/>
                  <w:iCs/>
                  <w:noProof/>
                  <w:lang w:val="en-US"/>
                </w:rPr>
                <w:t>Women, Power and Economic Change: The Nandi of Kenya .</w:t>
              </w:r>
              <w:r w:rsidRPr="00C55AC3">
                <w:rPr>
                  <w:rFonts w:ascii="Times New Roman" w:eastAsia="Calibri" w:hAnsi="Times New Roman" w:cs="Times New Roman"/>
                  <w:noProof/>
                  <w:lang w:val="en-US"/>
                </w:rPr>
                <w:t xml:space="preserve"> Stanford: Stanford University Press.</w:t>
              </w:r>
            </w:p>
            <w:p w14:paraId="6E85CD9B"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Peters, P. (1984). Struggles over Water, Struggles Over Meaning. </w:t>
              </w:r>
              <w:r w:rsidRPr="00C55AC3">
                <w:rPr>
                  <w:rFonts w:ascii="Times New Roman" w:eastAsia="Calibri" w:hAnsi="Times New Roman" w:cs="Times New Roman"/>
                  <w:i/>
                  <w:iCs/>
                  <w:noProof/>
                  <w:lang w:val="en-US"/>
                </w:rPr>
                <w:t>Cattle, Water and the State Africa</w:t>
              </w:r>
              <w:r w:rsidRPr="00C55AC3">
                <w:rPr>
                  <w:rFonts w:ascii="Times New Roman" w:eastAsia="Calibri" w:hAnsi="Times New Roman" w:cs="Times New Roman"/>
                  <w:noProof/>
                  <w:lang w:val="en-US"/>
                </w:rPr>
                <w:t>, 54 (3): 29-49.</w:t>
              </w:r>
            </w:p>
            <w:p w14:paraId="1E2DB78F"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Peters, P. (2010). Our Daughters Inherit Our Land, But Our Sons Use Their Wives’ Fields: Matrilineal-Matrilocal Land Tenure and the New Land Policy in Malawi. </w:t>
              </w:r>
              <w:r w:rsidRPr="00C55AC3">
                <w:rPr>
                  <w:rFonts w:ascii="Times New Roman" w:eastAsia="Calibri" w:hAnsi="Times New Roman" w:cs="Times New Roman"/>
                  <w:i/>
                  <w:iCs/>
                  <w:noProof/>
                  <w:lang w:val="en-US"/>
                </w:rPr>
                <w:t>Journal of Eastern African Studies</w:t>
              </w:r>
              <w:r w:rsidRPr="00C55AC3">
                <w:rPr>
                  <w:rFonts w:ascii="Times New Roman" w:eastAsia="Calibri" w:hAnsi="Times New Roman" w:cs="Times New Roman"/>
                  <w:noProof/>
                  <w:lang w:val="en-US"/>
                </w:rPr>
                <w:t>, 4 (1): 179-199.</w:t>
              </w:r>
            </w:p>
            <w:p w14:paraId="5AE7B35A"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Pitcher, A. M. (1996). Conflict and Cooperation: Gendered Roles and Responsibilities Within Cotton Households in Mozambique. </w:t>
              </w:r>
              <w:r w:rsidRPr="00C55AC3">
                <w:rPr>
                  <w:rFonts w:ascii="Times New Roman" w:eastAsia="Calibri" w:hAnsi="Times New Roman" w:cs="Times New Roman"/>
                  <w:i/>
                  <w:iCs/>
                  <w:noProof/>
                  <w:lang w:val="en-US"/>
                </w:rPr>
                <w:t>African Studies Review</w:t>
              </w:r>
              <w:r w:rsidRPr="00C55AC3">
                <w:rPr>
                  <w:rFonts w:ascii="Times New Roman" w:eastAsia="Calibri" w:hAnsi="Times New Roman" w:cs="Times New Roman"/>
                  <w:noProof/>
                  <w:lang w:val="en-US"/>
                </w:rPr>
                <w:t>, 35 (3) 81-112.</w:t>
              </w:r>
            </w:p>
            <w:p w14:paraId="05D86BB3"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Pretty, J. (2002). </w:t>
              </w:r>
              <w:r w:rsidRPr="00C55AC3">
                <w:rPr>
                  <w:rFonts w:ascii="Times New Roman" w:eastAsia="Calibri" w:hAnsi="Times New Roman" w:cs="Times New Roman"/>
                  <w:i/>
                  <w:iCs/>
                  <w:noProof/>
                  <w:lang w:val="en-US"/>
                </w:rPr>
                <w:t>Agri-Culturee, Reconnecting People, Land and Tenure.</w:t>
              </w:r>
              <w:r w:rsidRPr="00C55AC3">
                <w:rPr>
                  <w:rFonts w:ascii="Times New Roman" w:eastAsia="Calibri" w:hAnsi="Times New Roman" w:cs="Times New Roman"/>
                  <w:noProof/>
                  <w:lang w:val="en-US"/>
                </w:rPr>
                <w:t xml:space="preserve"> London: Earthscan.</w:t>
              </w:r>
            </w:p>
            <w:p w14:paraId="5AA869FF"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Project, U. M. (2005). www.unmilleniumproject.org/reports/fullreport.htm (date accessed: 8 October 2014).</w:t>
              </w:r>
            </w:p>
            <w:p w14:paraId="09F74FC7"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Rao, N. (2013). When and Why Do States Respond to Women’s Claims? Understanding Gender Egalitarian Policy Change in Asia. </w:t>
              </w:r>
              <w:r w:rsidRPr="00C55AC3">
                <w:rPr>
                  <w:rFonts w:ascii="Times New Roman" w:eastAsia="Calibri" w:hAnsi="Times New Roman" w:cs="Times New Roman"/>
                  <w:i/>
                  <w:iCs/>
                  <w:noProof/>
                  <w:lang w:val="en-US"/>
                </w:rPr>
                <w:t>Switzerland: UNRISD, Gender and Development Journal</w:t>
              </w:r>
              <w:r w:rsidRPr="00C55AC3">
                <w:rPr>
                  <w:rFonts w:ascii="Times New Roman" w:eastAsia="Calibri" w:hAnsi="Times New Roman" w:cs="Times New Roman"/>
                  <w:noProof/>
                  <w:lang w:val="en-US"/>
                </w:rPr>
                <w:t>, 21 (3). www.unrisd.org (date accessed: 8 October 2014).</w:t>
              </w:r>
            </w:p>
            <w:p w14:paraId="6FBC4D99"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Reardon, T., Barre, C. B., Kelly, V., &amp; Savadogo, K. (1998). Sustainable vs Unsustainable Agriculture intensification in Africa: Focus on Policy Reforms and Market Conditions,. </w:t>
              </w:r>
              <w:r w:rsidRPr="00C55AC3">
                <w:rPr>
                  <w:rFonts w:ascii="Times New Roman" w:eastAsia="Calibri" w:hAnsi="Times New Roman" w:cs="Times New Roman"/>
                  <w:i/>
                  <w:iCs/>
                  <w:noProof/>
                  <w:lang w:val="en-US"/>
                </w:rPr>
                <w:t>Paper Invited for Presentation at the AAEA International Pre Conference on Agriculture Intensification Economic Development and Environment</w:t>
              </w:r>
              <w:r w:rsidRPr="00C55AC3">
                <w:rPr>
                  <w:rFonts w:ascii="Times New Roman" w:eastAsia="Calibri" w:hAnsi="Times New Roman" w:cs="Times New Roman"/>
                  <w:noProof/>
                  <w:lang w:val="en-US"/>
                </w:rPr>
                <w:t xml:space="preserve"> (pp. 31 July-1 August). Salt Lake city:Utah.: Intensification, Economic Development and the Environment, ,.</w:t>
              </w:r>
            </w:p>
            <w:p w14:paraId="25F9CB4A"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Rodgers, B. (2005). </w:t>
              </w:r>
              <w:r w:rsidRPr="00C55AC3">
                <w:rPr>
                  <w:rFonts w:ascii="Times New Roman" w:eastAsia="Calibri" w:hAnsi="Times New Roman" w:cs="Times New Roman"/>
                  <w:i/>
                  <w:iCs/>
                  <w:noProof/>
                  <w:lang w:val="en-US"/>
                </w:rPr>
                <w:t>The Domestication of Women, Discrimination in Developing Societies.</w:t>
              </w:r>
              <w:r w:rsidRPr="00C55AC3">
                <w:rPr>
                  <w:rFonts w:ascii="Times New Roman" w:eastAsia="Calibri" w:hAnsi="Times New Roman" w:cs="Times New Roman"/>
                  <w:noProof/>
                  <w:lang w:val="en-US"/>
                </w:rPr>
                <w:t xml:space="preserve"> Science: Routledge.</w:t>
              </w:r>
            </w:p>
            <w:p w14:paraId="7AF88E27"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Saito, K. (1991). </w:t>
              </w:r>
              <w:r w:rsidRPr="00C55AC3">
                <w:rPr>
                  <w:rFonts w:ascii="Times New Roman" w:eastAsia="Calibri" w:hAnsi="Times New Roman" w:cs="Times New Roman"/>
                  <w:i/>
                  <w:iCs/>
                  <w:noProof/>
                  <w:lang w:val="en-US"/>
                </w:rPr>
                <w:t>The Informal Sector in Zimbabwe: The Role of Women.</w:t>
              </w:r>
              <w:r w:rsidRPr="00C55AC3">
                <w:rPr>
                  <w:rFonts w:ascii="Times New Roman" w:eastAsia="Calibri" w:hAnsi="Times New Roman" w:cs="Times New Roman"/>
                  <w:noProof/>
                  <w:lang w:val="en-US"/>
                </w:rPr>
                <w:t xml:space="preserve"> Washington DC: World Bank Publication.</w:t>
              </w:r>
            </w:p>
            <w:p w14:paraId="2C7257D2"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lastRenderedPageBreak/>
                <w:t xml:space="preserve">Thumba, A. O. (2012). </w:t>
              </w:r>
              <w:r w:rsidRPr="00C55AC3">
                <w:rPr>
                  <w:rFonts w:ascii="Times New Roman" w:eastAsia="Calibri" w:hAnsi="Times New Roman" w:cs="Times New Roman"/>
                  <w:i/>
                  <w:iCs/>
                  <w:noProof/>
                  <w:lang w:val="en-US"/>
                </w:rPr>
                <w:t>Assessment of Gender Equality in Land Aquisistion and the Role of Local Governemnt in Rural Land Reform in Malawi.</w:t>
              </w:r>
              <w:r w:rsidRPr="00C55AC3">
                <w:rPr>
                  <w:rFonts w:ascii="Times New Roman" w:eastAsia="Calibri" w:hAnsi="Times New Roman" w:cs="Times New Roman"/>
                  <w:noProof/>
                  <w:lang w:val="en-US"/>
                </w:rPr>
                <w:t xml:space="preserve"> Netherlands: Geo-Information Science and Earth Observation.</w:t>
              </w:r>
            </w:p>
            <w:p w14:paraId="399FCB43"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Udry, C. (1995). </w:t>
              </w:r>
              <w:r w:rsidRPr="00C55AC3">
                <w:rPr>
                  <w:rFonts w:ascii="Times New Roman" w:eastAsia="Calibri" w:hAnsi="Times New Roman" w:cs="Times New Roman"/>
                  <w:i/>
                  <w:iCs/>
                  <w:noProof/>
                  <w:lang w:val="en-US"/>
                </w:rPr>
                <w:t>Gender and Agriculture Production and the Theory of the Household, Development of Ecosystems.</w:t>
              </w:r>
              <w:r w:rsidRPr="00C55AC3">
                <w:rPr>
                  <w:rFonts w:ascii="Times New Roman" w:eastAsia="Calibri" w:hAnsi="Times New Roman" w:cs="Times New Roman"/>
                  <w:noProof/>
                  <w:lang w:val="en-US"/>
                </w:rPr>
                <w:t xml:space="preserve"> Evanston: Northern University. IL 60208.</w:t>
              </w:r>
            </w:p>
            <w:p w14:paraId="4245971E"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UNDP. (2008). </w:t>
              </w:r>
              <w:r w:rsidRPr="00C55AC3">
                <w:rPr>
                  <w:rFonts w:ascii="Times New Roman" w:eastAsia="Calibri" w:hAnsi="Times New Roman" w:cs="Times New Roman"/>
                  <w:i/>
                  <w:iCs/>
                  <w:noProof/>
                  <w:lang w:val="en-US"/>
                </w:rPr>
                <w:t>Gender Agriculture and Food Security, Gender and Climate Change, Capacity Development Series, Training Module 4.</w:t>
              </w:r>
              <w:r w:rsidRPr="00C55AC3">
                <w:rPr>
                  <w:rFonts w:ascii="Times New Roman" w:eastAsia="Calibri" w:hAnsi="Times New Roman" w:cs="Times New Roman"/>
                  <w:noProof/>
                  <w:lang w:val="en-US"/>
                </w:rPr>
                <w:t xml:space="preserve"> Africa: UNDP.</w:t>
              </w:r>
            </w:p>
            <w:p w14:paraId="02C32235"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Van der Molen, I. (2001). </w:t>
              </w:r>
              <w:r w:rsidRPr="00C55AC3">
                <w:rPr>
                  <w:rFonts w:ascii="Times New Roman" w:eastAsia="Calibri" w:hAnsi="Times New Roman" w:cs="Times New Roman"/>
                  <w:i/>
                  <w:iCs/>
                  <w:noProof/>
                  <w:lang w:val="en-US"/>
                </w:rPr>
                <w:t>Assessment of Female Participation in Minor Irrigation Systems of Sri Lanka:.</w:t>
              </w:r>
              <w:r w:rsidRPr="00C55AC3">
                <w:rPr>
                  <w:rFonts w:ascii="Times New Roman" w:eastAsia="Calibri" w:hAnsi="Times New Roman" w:cs="Times New Roman"/>
                  <w:noProof/>
                  <w:lang w:val="en-US"/>
                </w:rPr>
                <w:t xml:space="preserve"> Sri Lanka: IWMI.</w:t>
              </w:r>
            </w:p>
            <w:p w14:paraId="13040999"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World Bank. (2006). </w:t>
              </w:r>
              <w:r w:rsidRPr="00C55AC3">
                <w:rPr>
                  <w:rFonts w:ascii="Times New Roman" w:eastAsia="Calibri" w:hAnsi="Times New Roman" w:cs="Times New Roman"/>
                  <w:i/>
                  <w:iCs/>
                  <w:noProof/>
                  <w:lang w:val="en-US"/>
                </w:rPr>
                <w:t>Reengaging in Agricultural Water Management: Challenges and Options, Technology and Engineering.</w:t>
              </w:r>
              <w:r w:rsidRPr="00C55AC3">
                <w:rPr>
                  <w:rFonts w:ascii="Times New Roman" w:eastAsia="Calibri" w:hAnsi="Times New Roman" w:cs="Times New Roman"/>
                  <w:noProof/>
                  <w:lang w:val="en-US"/>
                </w:rPr>
                <w:t xml:space="preserve"> World Bank. books.google.co.za/books?isbn=8175962623. (date accessed: 17 November 2014).</w:t>
              </w:r>
            </w:p>
            <w:p w14:paraId="1CF0EADC"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World Bank. (2006). World Bank Project Appraisal Document,. </w:t>
              </w:r>
              <w:r w:rsidRPr="00C55AC3">
                <w:rPr>
                  <w:rFonts w:ascii="Times New Roman" w:eastAsia="Calibri" w:hAnsi="Times New Roman" w:cs="Times New Roman"/>
                  <w:i/>
                  <w:iCs/>
                  <w:noProof/>
                  <w:lang w:val="en-US"/>
                </w:rPr>
                <w:t>Water Management Project</w:t>
              </w:r>
              <w:r w:rsidRPr="00C55AC3">
                <w:rPr>
                  <w:rFonts w:ascii="Times New Roman" w:eastAsia="Calibri" w:hAnsi="Times New Roman" w:cs="Times New Roman"/>
                  <w:noProof/>
                  <w:lang w:val="en-US"/>
                </w:rPr>
                <w:t xml:space="preserve"> (p. March 10). Kyrgyz Republic: World Bank (P088671).</w:t>
              </w:r>
            </w:p>
            <w:p w14:paraId="616EADD8"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WorldBank. (2012). </w:t>
              </w:r>
              <w:r w:rsidRPr="00C55AC3">
                <w:rPr>
                  <w:rFonts w:ascii="Times New Roman" w:eastAsia="Calibri" w:hAnsi="Times New Roman" w:cs="Times New Roman"/>
                  <w:i/>
                  <w:iCs/>
                  <w:noProof/>
                  <w:lang w:val="en-US"/>
                </w:rPr>
                <w:t>World Development Report, Gender Equity and Development.</w:t>
              </w:r>
              <w:r w:rsidRPr="00C55AC3">
                <w:rPr>
                  <w:rFonts w:ascii="Times New Roman" w:eastAsia="Calibri" w:hAnsi="Times New Roman" w:cs="Times New Roman"/>
                  <w:noProof/>
                  <w:lang w:val="en-US"/>
                </w:rPr>
                <w:t xml:space="preserve"> The World Bank.</w:t>
              </w:r>
            </w:p>
            <w:p w14:paraId="6E1032F3"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World Bank and IFPRI. (2010). </w:t>
              </w:r>
              <w:r w:rsidRPr="00C55AC3">
                <w:rPr>
                  <w:rFonts w:ascii="Times New Roman" w:eastAsia="Calibri" w:hAnsi="Times New Roman" w:cs="Times New Roman"/>
                  <w:i/>
                  <w:iCs/>
                  <w:noProof/>
                  <w:lang w:val="en-US"/>
                </w:rPr>
                <w:t>Gender and Governance in Rural Services: Insights from India, Ghana and Ethiopia.</w:t>
              </w:r>
              <w:r w:rsidRPr="00C55AC3">
                <w:rPr>
                  <w:rFonts w:ascii="Times New Roman" w:eastAsia="Calibri" w:hAnsi="Times New Roman" w:cs="Times New Roman"/>
                  <w:noProof/>
                  <w:lang w:val="en-US"/>
                </w:rPr>
                <w:t xml:space="preserve"> Washington, DC: World Bank.</w:t>
              </w:r>
            </w:p>
            <w:p w14:paraId="7E7F7B4D"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Zwarteveen, M. (1997). Water: From Basic Need to Commodity, A Discussion on Gender and Water Rights in the Context of Irrigation. </w:t>
              </w:r>
              <w:r w:rsidRPr="00C55AC3">
                <w:rPr>
                  <w:rFonts w:ascii="Times New Roman" w:eastAsia="Calibri" w:hAnsi="Times New Roman" w:cs="Times New Roman"/>
                  <w:i/>
                  <w:iCs/>
                  <w:noProof/>
                  <w:lang w:val="en-US"/>
                </w:rPr>
                <w:t>Elsevier Ltd</w:t>
              </w:r>
              <w:r w:rsidRPr="00C55AC3">
                <w:rPr>
                  <w:rFonts w:ascii="Times New Roman" w:eastAsia="Calibri" w:hAnsi="Times New Roman" w:cs="Times New Roman"/>
                  <w:noProof/>
                  <w:lang w:val="en-US"/>
                </w:rPr>
                <w:t>, 25 (8): 1335-1349.</w:t>
              </w:r>
            </w:p>
            <w:p w14:paraId="7BAA2FE1"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Zwarteveen, M. (1997a). </w:t>
              </w:r>
              <w:r w:rsidRPr="00C55AC3">
                <w:rPr>
                  <w:rFonts w:ascii="Times New Roman" w:eastAsia="Calibri" w:hAnsi="Times New Roman" w:cs="Times New Roman"/>
                  <w:i/>
                  <w:iCs/>
                  <w:noProof/>
                  <w:lang w:val="en-US"/>
                </w:rPr>
                <w:t>A Plot of One’s Own: Gender Relations and Irrigated Land Allocation Prices in Burkina Faso, Research Report 10.</w:t>
              </w:r>
              <w:r w:rsidRPr="00C55AC3">
                <w:rPr>
                  <w:rFonts w:ascii="Times New Roman" w:eastAsia="Calibri" w:hAnsi="Times New Roman" w:cs="Times New Roman"/>
                  <w:noProof/>
                  <w:lang w:val="en-US"/>
                </w:rPr>
                <w:t xml:space="preserve"> Colombo, Sri Lanka: International Water Management Institute.</w:t>
              </w:r>
            </w:p>
            <w:p w14:paraId="4AFBD521" w14:textId="77777777" w:rsidR="00C55AC3" w:rsidRPr="00C55AC3" w:rsidRDefault="00C55AC3" w:rsidP="00C55AC3">
              <w:pPr>
                <w:spacing w:after="200" w:line="276" w:lineRule="auto"/>
                <w:ind w:left="720" w:hanging="720"/>
                <w:jc w:val="both"/>
                <w:rPr>
                  <w:rFonts w:ascii="Times New Roman" w:eastAsia="Calibri" w:hAnsi="Times New Roman" w:cs="Times New Roman"/>
                  <w:noProof/>
                  <w:lang w:val="en-US"/>
                </w:rPr>
              </w:pPr>
              <w:r w:rsidRPr="00C55AC3">
                <w:rPr>
                  <w:rFonts w:ascii="Times New Roman" w:eastAsia="Calibri" w:hAnsi="Times New Roman" w:cs="Times New Roman"/>
                  <w:noProof/>
                  <w:lang w:val="en-US"/>
                </w:rPr>
                <w:t xml:space="preserve">Zwarteveen, M., &amp; Neupane, N. (1996). </w:t>
              </w:r>
              <w:r w:rsidRPr="00C55AC3">
                <w:rPr>
                  <w:rFonts w:ascii="Times New Roman" w:eastAsia="Calibri" w:hAnsi="Times New Roman" w:cs="Times New Roman"/>
                  <w:i/>
                  <w:iCs/>
                  <w:noProof/>
                  <w:lang w:val="en-US"/>
                </w:rPr>
                <w:t>Free Riders or Victims: Women’s Non Participation in Irrigation Management in Nepal’s Chhattis Mauja Irrigation Scheme, Research Report 7.</w:t>
              </w:r>
              <w:r w:rsidRPr="00C55AC3">
                <w:rPr>
                  <w:rFonts w:ascii="Times New Roman" w:eastAsia="Calibri" w:hAnsi="Times New Roman" w:cs="Times New Roman"/>
                  <w:noProof/>
                  <w:lang w:val="en-US"/>
                </w:rPr>
                <w:t xml:space="preserve"> Colombo: IWMI. ISSN: 1026-0862. http://www.cgiar.org (date accessed: 8 October 2014).</w:t>
              </w:r>
            </w:p>
            <w:p w14:paraId="3A2C3FB6" w14:textId="77777777" w:rsidR="00C55AC3" w:rsidRPr="00C55AC3" w:rsidRDefault="00C55AC3" w:rsidP="00C55AC3">
              <w:pPr>
                <w:spacing w:after="200" w:line="276" w:lineRule="auto"/>
                <w:jc w:val="both"/>
                <w:rPr>
                  <w:rFonts w:ascii="Times New Roman" w:eastAsia="Calibri" w:hAnsi="Times New Roman" w:cs="Times New Roman"/>
                  <w:lang w:val="en-ZA"/>
                </w:rPr>
              </w:pPr>
              <w:r w:rsidRPr="00C55AC3">
                <w:rPr>
                  <w:rFonts w:ascii="Times New Roman" w:eastAsia="Calibri" w:hAnsi="Times New Roman" w:cs="Times New Roman"/>
                  <w:b/>
                  <w:bCs/>
                  <w:noProof/>
                  <w:lang w:val="en-ZA"/>
                </w:rPr>
                <w:fldChar w:fldCharType="end"/>
              </w:r>
            </w:p>
          </w:sdtContent>
        </w:sdt>
      </w:sdtContent>
    </w:sdt>
    <w:p w14:paraId="4E94F219" w14:textId="77777777" w:rsidR="00C55AC3" w:rsidRPr="00C55AC3" w:rsidRDefault="00C55AC3" w:rsidP="00C55AC3">
      <w:pPr>
        <w:spacing w:after="200" w:line="240" w:lineRule="auto"/>
        <w:jc w:val="both"/>
        <w:outlineLvl w:val="0"/>
        <w:rPr>
          <w:rFonts w:ascii="Times New Roman" w:eastAsia="Calibri" w:hAnsi="Times New Roman" w:cs="Times New Roman"/>
          <w:b/>
          <w:bCs/>
          <w:lang w:val="en-ZA"/>
        </w:rPr>
      </w:pPr>
    </w:p>
    <w:p w14:paraId="43187FC6" w14:textId="77777777" w:rsidR="00C55AC3" w:rsidRPr="00C55AC3" w:rsidRDefault="00C55AC3" w:rsidP="00C55AC3">
      <w:pPr>
        <w:spacing w:after="200" w:line="240" w:lineRule="auto"/>
        <w:jc w:val="both"/>
        <w:outlineLvl w:val="0"/>
        <w:rPr>
          <w:rFonts w:ascii="Times New Roman" w:eastAsia="Calibri" w:hAnsi="Times New Roman" w:cs="Times New Roman"/>
          <w:b/>
          <w:bCs/>
          <w:lang w:val="en-ZA"/>
        </w:rPr>
      </w:pPr>
    </w:p>
    <w:p w14:paraId="5919C944" w14:textId="77777777" w:rsidR="00F20CAA" w:rsidRDefault="00F20CAA" w:rsidP="00F20CAA"/>
    <w:p w14:paraId="54573CBF" w14:textId="77777777" w:rsidR="00F20CAA" w:rsidRDefault="00F20CAA" w:rsidP="00F20CAA"/>
    <w:p w14:paraId="3FD35AFE" w14:textId="15438D04" w:rsidR="00357921" w:rsidRDefault="00357921" w:rsidP="00F20CAA"/>
    <w:p w14:paraId="00C8CEBA" w14:textId="0EC21168" w:rsidR="00357921" w:rsidRPr="00357921" w:rsidRDefault="00357921" w:rsidP="00357921">
      <w:pPr>
        <w:tabs>
          <w:tab w:val="left" w:pos="2160"/>
        </w:tabs>
      </w:pPr>
    </w:p>
    <w:p w14:paraId="0FED510F" w14:textId="77777777" w:rsidR="00357921" w:rsidRPr="00357921" w:rsidRDefault="00357921" w:rsidP="00357921"/>
    <w:p w14:paraId="4EB8712B" w14:textId="77777777" w:rsidR="00357921" w:rsidRPr="00357921" w:rsidRDefault="00357921" w:rsidP="00357921"/>
    <w:p w14:paraId="16D57033" w14:textId="77777777" w:rsidR="00357921" w:rsidRPr="00357921" w:rsidRDefault="00357921" w:rsidP="00357921"/>
    <w:p w14:paraId="096F4CE6" w14:textId="77777777" w:rsidR="00357921" w:rsidRPr="00357921" w:rsidRDefault="00357921" w:rsidP="00357921"/>
    <w:p w14:paraId="439589A1" w14:textId="77777777" w:rsidR="00357921" w:rsidRPr="00357921" w:rsidRDefault="00357921" w:rsidP="00357921"/>
    <w:p w14:paraId="2276C816" w14:textId="77777777" w:rsidR="00357921" w:rsidRPr="00357921" w:rsidRDefault="00357921" w:rsidP="00357921"/>
    <w:p w14:paraId="5B85A15A" w14:textId="41E6B734" w:rsidR="00357921" w:rsidRDefault="00357921" w:rsidP="00357921"/>
    <w:p w14:paraId="4AF2E2D2" w14:textId="77777777" w:rsidR="00357921" w:rsidRDefault="00357921" w:rsidP="00357921"/>
    <w:p w14:paraId="50FE97E9" w14:textId="77777777" w:rsidR="00357921" w:rsidRDefault="00357921" w:rsidP="00357921"/>
    <w:p w14:paraId="5216AED8" w14:textId="77777777" w:rsidR="00357921" w:rsidRDefault="00357921" w:rsidP="00357921"/>
    <w:p w14:paraId="4B3E6F35" w14:textId="77777777" w:rsidR="00357921" w:rsidRDefault="00357921" w:rsidP="00357921"/>
    <w:p w14:paraId="353D1CD2" w14:textId="77777777" w:rsidR="00357921" w:rsidRDefault="00357921" w:rsidP="00357921"/>
    <w:p w14:paraId="04877298" w14:textId="77777777" w:rsidR="00357921" w:rsidRDefault="00357921" w:rsidP="00357921"/>
    <w:p w14:paraId="5B43DD93" w14:textId="77777777" w:rsidR="00357921" w:rsidRDefault="00357921" w:rsidP="00357921"/>
    <w:p w14:paraId="55983E9F" w14:textId="77777777" w:rsidR="00357921" w:rsidRDefault="00357921" w:rsidP="00357921"/>
    <w:p w14:paraId="4CA73B05" w14:textId="77777777" w:rsidR="00357921" w:rsidRDefault="00357921" w:rsidP="00357921"/>
    <w:p w14:paraId="468FFFD0" w14:textId="77777777" w:rsidR="00357921" w:rsidRDefault="00357921" w:rsidP="00357921"/>
    <w:p w14:paraId="1D55B5F7" w14:textId="77777777" w:rsidR="00357921" w:rsidRDefault="00357921" w:rsidP="00357921"/>
    <w:p w14:paraId="7C3291AE" w14:textId="77777777" w:rsidR="00357921" w:rsidRDefault="00357921" w:rsidP="00357921"/>
    <w:p w14:paraId="3B0BAEF5" w14:textId="77777777" w:rsidR="00357921" w:rsidRDefault="00357921" w:rsidP="00357921"/>
    <w:p w14:paraId="4A43B276" w14:textId="77777777" w:rsidR="00357921" w:rsidRDefault="00357921" w:rsidP="00357921"/>
    <w:p w14:paraId="22224152" w14:textId="77777777" w:rsidR="00357921" w:rsidRDefault="00357921" w:rsidP="00357921"/>
    <w:p w14:paraId="1730A236" w14:textId="77777777" w:rsidR="00357921" w:rsidRDefault="00357921" w:rsidP="00357921"/>
    <w:p w14:paraId="3FCBA6AB" w14:textId="77777777" w:rsidR="00357921" w:rsidRDefault="00357921" w:rsidP="00C4338C">
      <w:pPr>
        <w:jc w:val="center"/>
      </w:pPr>
    </w:p>
    <w:p w14:paraId="02C5B8AE" w14:textId="77777777" w:rsidR="00357921" w:rsidRDefault="00357921" w:rsidP="00357921"/>
    <w:p w14:paraId="262CC955" w14:textId="77777777" w:rsidR="00357921" w:rsidRDefault="00357921" w:rsidP="00357921"/>
    <w:p w14:paraId="4B0F1D1B" w14:textId="1BC88367" w:rsidR="00357921" w:rsidRDefault="00357921" w:rsidP="00357921">
      <w:pPr>
        <w:tabs>
          <w:tab w:val="left" w:pos="7241"/>
        </w:tabs>
      </w:pPr>
      <w:r>
        <w:tab/>
      </w:r>
    </w:p>
    <w:p w14:paraId="72540173" w14:textId="77777777" w:rsidR="003228FE" w:rsidRPr="00357921" w:rsidRDefault="003228FE" w:rsidP="00357921">
      <w:pPr>
        <w:sectPr w:rsidR="003228FE" w:rsidRPr="00357921" w:rsidSect="00357921">
          <w:headerReference w:type="default" r:id="rId26"/>
          <w:footerReference w:type="default" r:id="rId27"/>
          <w:pgSz w:w="11906" w:h="16838"/>
          <w:pgMar w:top="1440" w:right="1440" w:bottom="1440" w:left="1440" w:header="708" w:footer="708" w:gutter="0"/>
          <w:pgNumType w:start="1"/>
          <w:cols w:space="708"/>
          <w:docGrid w:linePitch="360"/>
        </w:sectPr>
      </w:pPr>
    </w:p>
    <w:p w14:paraId="1A333136" w14:textId="18AC8D9D" w:rsidR="00506476" w:rsidRPr="00F831C1" w:rsidRDefault="00506476" w:rsidP="00F831C1">
      <w:pPr>
        <w:tabs>
          <w:tab w:val="left" w:pos="2685"/>
        </w:tabs>
      </w:pPr>
    </w:p>
    <w:sectPr w:rsidR="00506476" w:rsidRPr="00F831C1">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2C434C" w14:textId="77777777" w:rsidR="00CD65F4" w:rsidRDefault="00CD65F4" w:rsidP="00856669">
      <w:r>
        <w:separator/>
      </w:r>
    </w:p>
  </w:endnote>
  <w:endnote w:type="continuationSeparator" w:id="0">
    <w:p w14:paraId="17930A86" w14:textId="77777777" w:rsidR="00CD65F4" w:rsidRDefault="00CD65F4" w:rsidP="00856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A6916C" w14:textId="020C5D5A" w:rsidR="00324E80" w:rsidRDefault="00AF7CFB">
    <w:pPr>
      <w:pStyle w:val="Footer"/>
    </w:pPr>
    <w:r>
      <w:rPr>
        <w:rFonts w:ascii="Arial" w:hAnsi="Arial" w:cs="Arial"/>
        <w:noProof/>
        <w:color w:val="2B3D45"/>
        <w:sz w:val="21"/>
        <w:szCs w:val="21"/>
        <w:lang w:val="en-ZA" w:eastAsia="en-ZA"/>
      </w:rPr>
      <w:ptab w:relativeTo="margin" w:alignment="right" w:leader="none"/>
    </w:r>
    <w:r w:rsidR="00324E80">
      <w:rPr>
        <w:rFonts w:ascii="Arial" w:hAnsi="Arial" w:cs="Arial"/>
        <w:noProof/>
        <w:color w:val="2B3D45"/>
        <w:sz w:val="21"/>
        <w:szCs w:val="21"/>
        <w:lang w:val="en-ZA" w:eastAsia="en-ZA"/>
      </w:rPr>
      <w:drawing>
        <wp:inline distT="0" distB="0" distL="0" distR="0" wp14:anchorId="79F57E8B" wp14:editId="5A049DFE">
          <wp:extent cx="1028700" cy="723900"/>
          <wp:effectExtent l="0" t="0" r="0" b="0"/>
          <wp:docPr id="9" name="Picture 9" descr="https://intranet.iwmi.org/Data/Sites/1/Documents/Tools_and_Resources_Files/IMAGES/Logos/IWMI/IWMI_logo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ranet.iwmi.org/Data/Sites/1/Documents/Tools_and_Resources_Files/IMAGES/Logos/IWMI/IWMI_logo_smal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72390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0FBF2" w14:textId="77777777" w:rsidR="00C55AC3" w:rsidRDefault="00C55A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7AB405" w14:textId="77777777" w:rsidR="00C55AC3" w:rsidRDefault="00C55AC3">
    <w:pPr>
      <w:pStyle w:val="Footer"/>
      <w:jc w:val="right"/>
    </w:pPr>
    <w:r>
      <w:fldChar w:fldCharType="begin"/>
    </w:r>
    <w:r>
      <w:instrText xml:space="preserve"> PAGE   \* MERGEFORMAT </w:instrText>
    </w:r>
    <w:r>
      <w:fldChar w:fldCharType="separate"/>
    </w:r>
    <w:r w:rsidR="0086676A">
      <w:rPr>
        <w:noProof/>
      </w:rPr>
      <w:t>vii</w:t>
    </w:r>
    <w:r>
      <w:rPr>
        <w:noProof/>
      </w:rPr>
      <w:fldChar w:fldCharType="end"/>
    </w:r>
  </w:p>
  <w:p w14:paraId="2559157C" w14:textId="77777777" w:rsidR="00C55AC3" w:rsidRDefault="00C55AC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D58431" w14:textId="61FDA8B2" w:rsidR="00C55AC3" w:rsidRDefault="00C55AC3" w:rsidP="00C55AC3">
    <w:pPr>
      <w:pStyle w:val="Footer"/>
      <w:ind w:left="7920"/>
    </w:pPr>
    <w:r>
      <w:rPr>
        <w:rFonts w:ascii="Arial" w:hAnsi="Arial" w:cs="Arial"/>
        <w:noProof/>
        <w:color w:val="2B3D45"/>
        <w:sz w:val="21"/>
        <w:szCs w:val="21"/>
        <w:lang w:val="en-ZA" w:eastAsia="en-ZA"/>
      </w:rPr>
      <w:drawing>
        <wp:inline distT="0" distB="0" distL="0" distR="0" wp14:anchorId="5B3DA1FC" wp14:editId="667C1AE9">
          <wp:extent cx="1028700" cy="723900"/>
          <wp:effectExtent l="0" t="0" r="0" b="0"/>
          <wp:docPr id="5" name="Picture 5" descr="https://intranet.iwmi.org/Data/Sites/1/Documents/Tools_and_Resources_Files/IMAGES/Logos/IWMI/IWMI_logo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ranet.iwmi.org/Data/Sites/1/Documents/Tools_and_Resources_Files/IMAGES/Logos/IWMI/IWMI_logo_smal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723900"/>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color w:val="784628"/>
        <w:sz w:val="18"/>
        <w:szCs w:val="18"/>
      </w:rPr>
      <w:id w:val="-1054697108"/>
      <w:docPartObj>
        <w:docPartGallery w:val="Page Numbers (Bottom of Page)"/>
        <w:docPartUnique/>
      </w:docPartObj>
    </w:sdtPr>
    <w:sdtEndPr>
      <w:rPr>
        <w:noProof/>
      </w:rPr>
    </w:sdtEndPr>
    <w:sdtContent>
      <w:p w14:paraId="24ECAEC0" w14:textId="57F6E5AD" w:rsidR="003228FE" w:rsidRPr="00537343" w:rsidRDefault="00357921" w:rsidP="00537343">
        <w:pPr>
          <w:pStyle w:val="Footer"/>
          <w:rPr>
            <w:b/>
            <w:color w:val="784628"/>
            <w:sz w:val="18"/>
            <w:szCs w:val="18"/>
          </w:rPr>
        </w:pPr>
        <w:r w:rsidRPr="00537343">
          <w:rPr>
            <w:bCs/>
            <w:noProof/>
            <w:color w:val="784628"/>
            <w:sz w:val="18"/>
            <w:szCs w:val="18"/>
            <w:lang w:val="en-US"/>
          </w:rPr>
          <w:t>drylandsystems.cgiar.org</w:t>
        </w:r>
        <w:r w:rsidR="00537343">
          <w:rPr>
            <w:bCs/>
            <w:noProof/>
            <w:color w:val="784628"/>
            <w:sz w:val="18"/>
            <w:szCs w:val="18"/>
            <w:lang w:val="en-US"/>
          </w:rPr>
          <w:t xml:space="preserve">                                      </w:t>
        </w:r>
        <w:r w:rsidR="00537343">
          <w:rPr>
            <w:bCs/>
            <w:noProof/>
            <w:color w:val="784628"/>
            <w:sz w:val="18"/>
            <w:szCs w:val="18"/>
            <w:lang w:val="en-US"/>
          </w:rPr>
          <w:tab/>
        </w:r>
        <w:r w:rsidR="00537343">
          <w:rPr>
            <w:bCs/>
            <w:noProof/>
            <w:color w:val="784628"/>
            <w:sz w:val="18"/>
            <w:szCs w:val="18"/>
            <w:lang w:val="en-US"/>
          </w:rPr>
          <w:tab/>
          <w:t xml:space="preserve"> </w:t>
        </w:r>
        <w:r w:rsidR="00AF7CFB">
          <w:rPr>
            <w:rFonts w:ascii="Arial" w:hAnsi="Arial" w:cs="Arial"/>
            <w:noProof/>
            <w:color w:val="2B3D45"/>
            <w:sz w:val="21"/>
            <w:szCs w:val="21"/>
            <w:lang w:val="en-ZA" w:eastAsia="en-ZA"/>
          </w:rPr>
          <w:drawing>
            <wp:inline distT="0" distB="0" distL="0" distR="0" wp14:anchorId="35D5FE5B" wp14:editId="6D8BC119">
              <wp:extent cx="1028700" cy="723900"/>
              <wp:effectExtent l="0" t="0" r="0" b="0"/>
              <wp:docPr id="10" name="Picture 10" descr="https://intranet.iwmi.org/Data/Sites/1/Documents/Tools_and_Resources_Files/IMAGES/Logos/IWMI/IWMI_logo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ranet.iwmi.org/Data/Sites/1/Documents/Tools_and_Resources_Files/IMAGES/Logos/IWMI/IWMI_logo_smal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723900"/>
                      </a:xfrm>
                      <a:prstGeom prst="rect">
                        <a:avLst/>
                      </a:prstGeom>
                      <a:noFill/>
                      <a:ln>
                        <a:noFill/>
                      </a:ln>
                    </pic:spPr>
                  </pic:pic>
                </a:graphicData>
              </a:graphic>
            </wp:inline>
          </w:drawing>
        </w:r>
        <w:r w:rsidR="00537343">
          <w:rPr>
            <w:bCs/>
            <w:noProof/>
            <w:color w:val="784628"/>
            <w:sz w:val="18"/>
            <w:szCs w:val="18"/>
            <w:lang w:val="en-US"/>
          </w:rPr>
          <w:t xml:space="preserve">                        </w:t>
        </w:r>
        <w:r w:rsidR="00537343" w:rsidRPr="00537343">
          <w:rPr>
            <w:noProof/>
            <w:color w:val="CDA62D"/>
            <w:sz w:val="18"/>
            <w:szCs w:val="18"/>
            <w:lang w:val="en-US"/>
          </w:rPr>
          <w:t xml:space="preserve"> </w:t>
        </w:r>
        <w:r w:rsidR="00537343" w:rsidRPr="00537343">
          <w:rPr>
            <w:noProof/>
            <w:color w:val="CDA62D"/>
            <w:sz w:val="18"/>
            <w:szCs w:val="18"/>
            <w:lang w:val="en-ZA" w:eastAsia="en-ZA"/>
          </w:rPr>
          <mc:AlternateContent>
            <mc:Choice Requires="wps">
              <w:drawing>
                <wp:anchor distT="0" distB="0" distL="114300" distR="114300" simplePos="0" relativeHeight="251658240" behindDoc="0" locked="0" layoutInCell="1" allowOverlap="1" wp14:anchorId="34A7A26F" wp14:editId="1E0F514C">
                  <wp:simplePos x="0" y="0"/>
                  <wp:positionH relativeFrom="margin">
                    <wp:align>left</wp:align>
                  </wp:positionH>
                  <wp:positionV relativeFrom="paragraph">
                    <wp:posOffset>-59157</wp:posOffset>
                  </wp:positionV>
                  <wp:extent cx="5830214" cy="0"/>
                  <wp:effectExtent l="0" t="0" r="37465" b="19050"/>
                  <wp:wrapNone/>
                  <wp:docPr id="8"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88E994" id="Straight Connector 11" o:spid="_x0000_s1026" style="position:absolute;flip:y;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65pt" to="459.0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" strokecolor="#c90" strokeweight="1pt">
                  <v:stroke joinstyle="miter"/>
                  <w10:wrap anchorx="margin"/>
                </v:line>
              </w:pict>
            </mc:Fallback>
          </mc:AlternateContent>
        </w:r>
        <w:r w:rsidR="00537343" w:rsidRPr="00537343">
          <w:rPr>
            <w:color w:val="784628"/>
            <w:sz w:val="18"/>
            <w:szCs w:val="18"/>
          </w:rPr>
          <w:fldChar w:fldCharType="begin"/>
        </w:r>
        <w:r w:rsidR="00537343" w:rsidRPr="00537343">
          <w:rPr>
            <w:color w:val="784628"/>
            <w:sz w:val="18"/>
            <w:szCs w:val="18"/>
          </w:rPr>
          <w:instrText xml:space="preserve"> PAGE   \* MERGEFORMAT </w:instrText>
        </w:r>
        <w:r w:rsidR="00537343" w:rsidRPr="00537343">
          <w:rPr>
            <w:color w:val="784628"/>
            <w:sz w:val="18"/>
            <w:szCs w:val="18"/>
          </w:rPr>
          <w:fldChar w:fldCharType="separate"/>
        </w:r>
        <w:r w:rsidR="0086676A">
          <w:rPr>
            <w:noProof/>
            <w:color w:val="784628"/>
            <w:sz w:val="18"/>
            <w:szCs w:val="18"/>
          </w:rPr>
          <w:t>12</w:t>
        </w:r>
        <w:r w:rsidR="00537343" w:rsidRPr="00537343">
          <w:rPr>
            <w:noProof/>
            <w:color w:val="784628"/>
            <w:sz w:val="18"/>
            <w:szCs w:val="18"/>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C3535" w14:textId="4BE674E2" w:rsidR="00F20CAA" w:rsidRPr="00F20CAA" w:rsidRDefault="00F831C1" w:rsidP="00F831C1">
    <w:pPr>
      <w:pStyle w:val="Footer"/>
      <w:tabs>
        <w:tab w:val="clear" w:pos="4513"/>
        <w:tab w:val="clear" w:pos="9026"/>
        <w:tab w:val="left" w:pos="3709"/>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7B605B" w14:textId="77777777" w:rsidR="00CD65F4" w:rsidRDefault="00CD65F4" w:rsidP="00856669">
      <w:r>
        <w:separator/>
      </w:r>
    </w:p>
  </w:footnote>
  <w:footnote w:type="continuationSeparator" w:id="0">
    <w:p w14:paraId="16ECC3A8" w14:textId="77777777" w:rsidR="00CD65F4" w:rsidRDefault="00CD65F4" w:rsidP="00856669">
      <w:r>
        <w:continuationSeparator/>
      </w:r>
    </w:p>
  </w:footnote>
  <w:footnote w:id="1">
    <w:p w14:paraId="5CC75FFF" w14:textId="77777777" w:rsidR="00C55AC3" w:rsidRDefault="00C55AC3" w:rsidP="00C55AC3">
      <w:pPr>
        <w:jc w:val="both"/>
        <w:rPr>
          <w:rFonts w:ascii="Times New Roman" w:hAnsi="Times New Roman" w:cs="Times New Roman"/>
        </w:rPr>
      </w:pPr>
      <w:r>
        <w:rPr>
          <w:rStyle w:val="FootnoteReference"/>
        </w:rPr>
        <w:footnoteRef/>
      </w:r>
      <w:r>
        <w:t xml:space="preserve"> </w:t>
      </w:r>
      <w:r w:rsidRPr="00837A10">
        <w:rPr>
          <w:rFonts w:ascii="Times New Roman" w:hAnsi="Times New Roman" w:cs="Times New Roman"/>
          <w:sz w:val="20"/>
          <w:szCs w:val="20"/>
        </w:rPr>
        <w:t>The irrigation plot is registered in the man’s name in instances where the woman has moved to stay at the man’s home (</w:t>
      </w:r>
      <w:r w:rsidRPr="00837A10">
        <w:rPr>
          <w:rFonts w:ascii="Times New Roman" w:hAnsi="Times New Roman" w:cs="Times New Roman"/>
          <w:i/>
          <w:sz w:val="20"/>
          <w:szCs w:val="20"/>
        </w:rPr>
        <w:t>chitengwa</w:t>
      </w:r>
      <w:r w:rsidRPr="00837A10">
        <w:rPr>
          <w:rFonts w:ascii="Times New Roman" w:hAnsi="Times New Roman" w:cs="Times New Roman"/>
          <w:sz w:val="20"/>
          <w:szCs w:val="20"/>
        </w:rPr>
        <w:t>) hence the man has the upper hand on land and resource access</w:t>
      </w:r>
      <w:r w:rsidRPr="00B91336">
        <w:rPr>
          <w:rFonts w:ascii="Times New Roman" w:hAnsi="Times New Roman" w:cs="Times New Roman"/>
        </w:rPr>
        <w:t xml:space="preserve">. </w:t>
      </w:r>
    </w:p>
    <w:p w14:paraId="67BA9E54" w14:textId="77777777" w:rsidR="00C55AC3" w:rsidRDefault="00C55AC3" w:rsidP="00C55AC3">
      <w:pPr>
        <w:pStyle w:val="FootnoteText"/>
      </w:pPr>
    </w:p>
  </w:footnote>
  <w:footnote w:id="2">
    <w:p w14:paraId="7D58F239" w14:textId="77777777" w:rsidR="00C55AC3" w:rsidRPr="00837A10" w:rsidRDefault="00C55AC3" w:rsidP="00C55AC3">
      <w:pPr>
        <w:pStyle w:val="FootnoteText"/>
        <w:rPr>
          <w:rFonts w:ascii="Times New Roman" w:hAnsi="Times New Roman" w:cs="Times New Roman"/>
        </w:rPr>
      </w:pPr>
      <w:r>
        <w:rPr>
          <w:rStyle w:val="FootnoteReference"/>
        </w:rPr>
        <w:footnoteRef/>
      </w:r>
      <w:r>
        <w:t xml:space="preserve"> </w:t>
      </w:r>
      <w:r w:rsidRPr="00837A10">
        <w:rPr>
          <w:rFonts w:ascii="Times New Roman" w:hAnsi="Times New Roman" w:cs="Times New Roman"/>
        </w:rPr>
        <w:t>Kandeu area is largely matrilineal hence land resources are primarily accessed by women</w:t>
      </w:r>
      <w:r>
        <w:rPr>
          <w:rFonts w:ascii="Times New Roman" w:hAnsi="Times New Roman" w:cs="Times New Roman"/>
        </w:rPr>
        <w:t>.</w:t>
      </w:r>
    </w:p>
    <w:p w14:paraId="5851829F" w14:textId="77777777" w:rsidR="00C55AC3" w:rsidRPr="00837A10" w:rsidRDefault="00C55AC3" w:rsidP="00C55AC3">
      <w:pPr>
        <w:pStyle w:val="FootnoteText"/>
        <w:rPr>
          <w:rFonts w:ascii="Times New Roman" w:hAnsi="Times New Roman" w:cs="Times New Roman"/>
        </w:rPr>
      </w:pPr>
    </w:p>
  </w:footnote>
  <w:footnote w:id="3">
    <w:p w14:paraId="4A0CE8CD" w14:textId="77777777" w:rsidR="00C55AC3" w:rsidRPr="00D8599C" w:rsidRDefault="00C55AC3" w:rsidP="00C55AC3">
      <w:pPr>
        <w:pStyle w:val="FootnoteText"/>
        <w:rPr>
          <w:rFonts w:ascii="Times New Roman" w:hAnsi="Times New Roman" w:cs="Times New Roman"/>
        </w:rPr>
      </w:pPr>
      <w:r w:rsidRPr="00D8599C">
        <w:rPr>
          <w:rStyle w:val="FootnoteReference"/>
          <w:rFonts w:ascii="Times New Roman" w:hAnsi="Times New Roman" w:cs="Times New Roman"/>
        </w:rPr>
        <w:footnoteRef/>
      </w:r>
      <w:r w:rsidRPr="00D8599C">
        <w:rPr>
          <w:rFonts w:ascii="Times New Roman" w:hAnsi="Times New Roman" w:cs="Times New Roman"/>
        </w:rPr>
        <w:t xml:space="preserve"> The Chewa of Ntcheu are a multicultural entity with the Ngoni making the dominant group</w:t>
      </w:r>
    </w:p>
  </w:footnote>
  <w:footnote w:id="4">
    <w:p w14:paraId="6C4BCE8C" w14:textId="77777777" w:rsidR="00C55AC3" w:rsidRDefault="00C55AC3" w:rsidP="00C55AC3">
      <w:pPr>
        <w:pStyle w:val="FootnoteText"/>
      </w:pPr>
      <w:r>
        <w:rPr>
          <w:rStyle w:val="FootnoteReference"/>
        </w:rPr>
        <w:footnoteRef/>
      </w:r>
      <w:r>
        <w:rPr>
          <w:vertAlign w:val="superscript"/>
        </w:rPr>
        <w:t>;5</w:t>
      </w:r>
      <w:r>
        <w:t xml:space="preserve"> Exchange rate used 1 usd: 446 kwacha</w:t>
      </w:r>
    </w:p>
  </w:footnote>
  <w:footnote w:id="5">
    <w:p w14:paraId="333FB50A" w14:textId="77777777" w:rsidR="00C55AC3" w:rsidRDefault="00C55AC3" w:rsidP="00C55AC3">
      <w:pPr>
        <w:pStyle w:val="FootnoteText"/>
      </w:pPr>
    </w:p>
  </w:footnote>
  <w:footnote w:id="6">
    <w:p w14:paraId="2E1114EE" w14:textId="77777777" w:rsidR="00C55AC3" w:rsidRDefault="00C55AC3" w:rsidP="00C55AC3">
      <w:pPr>
        <w:pStyle w:val="FootnoteText"/>
      </w:pPr>
      <w:r>
        <w:rPr>
          <w:rStyle w:val="FootnoteReference"/>
        </w:rPr>
        <w:footnoteRef/>
      </w:r>
      <w:r>
        <w:t xml:space="preserve"> The Ngonis are considered the grass tribe in association with the commonly built beehive grass domes characteristics of the Zulus where the Ngoni descent from hence having a sickle (grass cutting tool) symbolises adherence to their roots.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D5539" w14:textId="67F44B82" w:rsidR="003228FE" w:rsidRDefault="003228FE">
    <w:pPr>
      <w:pStyle w:val="Header"/>
    </w:pPr>
    <w:r w:rsidRPr="003228FE">
      <w:rPr>
        <w:noProof/>
        <w:lang w:val="en-ZA" w:eastAsia="en-ZA"/>
      </w:rPr>
      <w:drawing>
        <wp:anchor distT="0" distB="0" distL="114300" distR="114300" simplePos="0" relativeHeight="251656192" behindDoc="0" locked="0" layoutInCell="1" allowOverlap="1" wp14:anchorId="2201B543" wp14:editId="0616155C">
          <wp:simplePos x="0" y="0"/>
          <wp:positionH relativeFrom="page">
            <wp:align>left</wp:align>
          </wp:positionH>
          <wp:positionV relativeFrom="paragraph">
            <wp:posOffset>-448310</wp:posOffset>
          </wp:positionV>
          <wp:extent cx="7562850" cy="3371850"/>
          <wp:effectExtent l="0" t="0" r="0" b="0"/>
          <wp:wrapSquare wrapText="bothSides"/>
          <wp:docPr id="6" name="Picture 6" descr="C:\Users\User\Desktop\P963_report_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963_report_bann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67214" cy="3373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5CAF33" w14:textId="77777777" w:rsidR="00C55AC3" w:rsidRDefault="00C55A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D18F6" w14:textId="77777777" w:rsidR="00C55AC3" w:rsidRDefault="00C55AC3">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C84702" w14:textId="77777777" w:rsidR="00C55AC3" w:rsidRDefault="00C55AC3">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E6479B" w14:textId="6633F70E" w:rsidR="003228FE" w:rsidRPr="00537343" w:rsidRDefault="00357921">
    <w:pPr>
      <w:pStyle w:val="Header"/>
      <w:rPr>
        <w:color w:val="784628"/>
        <w:sz w:val="18"/>
        <w:szCs w:val="18"/>
      </w:rPr>
    </w:pPr>
    <w:r w:rsidRPr="00537343">
      <w:rPr>
        <w:color w:val="784628"/>
        <w:sz w:val="18"/>
        <w:szCs w:val="18"/>
      </w:rPr>
      <w:t>REPORT TITLE HERE</w:t>
    </w:r>
  </w:p>
  <w:p w14:paraId="22B16D43" w14:textId="31BB8354" w:rsidR="00357921" w:rsidRPr="00357921" w:rsidRDefault="00357921">
    <w:pPr>
      <w:pStyle w:val="Header"/>
      <w:rPr>
        <w:color w:val="784628"/>
        <w:sz w:val="28"/>
      </w:rPr>
    </w:pPr>
    <w:r w:rsidRPr="00DA65DC">
      <w:rPr>
        <w:b/>
        <w:noProof/>
        <w:color w:val="CDA62D"/>
        <w:sz w:val="72"/>
        <w:szCs w:val="72"/>
        <w:lang w:val="en-ZA" w:eastAsia="en-ZA"/>
      </w:rPr>
      <mc:AlternateContent>
        <mc:Choice Requires="wps">
          <w:drawing>
            <wp:anchor distT="0" distB="0" distL="114300" distR="114300" simplePos="0" relativeHeight="251657216" behindDoc="0" locked="0" layoutInCell="1" allowOverlap="1" wp14:anchorId="01A9EDCF" wp14:editId="0F29A02F">
              <wp:simplePos x="0" y="0"/>
              <wp:positionH relativeFrom="margin">
                <wp:align>left</wp:align>
              </wp:positionH>
              <wp:positionV relativeFrom="paragraph">
                <wp:posOffset>29261</wp:posOffset>
              </wp:positionV>
              <wp:extent cx="5830214" cy="0"/>
              <wp:effectExtent l="0" t="0" r="37465" b="19050"/>
              <wp:wrapNone/>
              <wp:docPr id="7"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F21EF7" id="Straight Connector 11" o:spid="_x0000_s1026" style="position:absolute;flip:y;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3pt" to="459.0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" strokecolor="#c90" strokeweight="1pt">
              <v:stroke joinstyle="miter"/>
              <w10:wrap anchorx="margin"/>
            </v:lin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FA5F31" w14:textId="281FF24B" w:rsidR="004442C7" w:rsidRPr="003228FE" w:rsidRDefault="007D6569" w:rsidP="003228FE">
    <w:pPr>
      <w:pStyle w:val="Header"/>
    </w:pPr>
    <w:r>
      <w:rPr>
        <w:noProof/>
        <w:lang w:val="en-ZA" w:eastAsia="en-ZA"/>
      </w:rPr>
      <w:drawing>
        <wp:anchor distT="0" distB="0" distL="114300" distR="114300" simplePos="0" relativeHeight="251659264" behindDoc="1" locked="0" layoutInCell="1" allowOverlap="1" wp14:anchorId="308234F7" wp14:editId="7AB26029">
          <wp:simplePos x="0" y="0"/>
          <wp:positionH relativeFrom="column">
            <wp:posOffset>-905510</wp:posOffset>
          </wp:positionH>
          <wp:positionV relativeFrom="paragraph">
            <wp:posOffset>-440055</wp:posOffset>
          </wp:positionV>
          <wp:extent cx="7547610" cy="10662920"/>
          <wp:effectExtent l="0" t="0" r="0" b="5080"/>
          <wp:wrapNone/>
          <wp:docPr id="1" name="Picture 1" descr="DS_report_back_new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_report_back_new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7610" cy="106629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01597"/>
    <w:multiLevelType w:val="hybridMultilevel"/>
    <w:tmpl w:val="DE003552"/>
    <w:lvl w:ilvl="0" w:tplc="B114F3A6">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FCD5D5A"/>
    <w:multiLevelType w:val="multilevel"/>
    <w:tmpl w:val="FC8C3C1E"/>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77C7989"/>
    <w:multiLevelType w:val="hybridMultilevel"/>
    <w:tmpl w:val="B5F06BD0"/>
    <w:lvl w:ilvl="0" w:tplc="6B366D14">
      <w:start w:val="1"/>
      <w:numFmt w:val="bullet"/>
      <w:lvlText w:val="•"/>
      <w:lvlJc w:val="left"/>
      <w:pPr>
        <w:tabs>
          <w:tab w:val="num" w:pos="720"/>
        </w:tabs>
        <w:ind w:left="720" w:hanging="360"/>
      </w:pPr>
      <w:rPr>
        <w:rFonts w:ascii="Times New Roman" w:hAnsi="Times New Roman" w:hint="default"/>
      </w:rPr>
    </w:lvl>
    <w:lvl w:ilvl="1" w:tplc="09661398" w:tentative="1">
      <w:start w:val="1"/>
      <w:numFmt w:val="bullet"/>
      <w:lvlText w:val="•"/>
      <w:lvlJc w:val="left"/>
      <w:pPr>
        <w:tabs>
          <w:tab w:val="num" w:pos="1440"/>
        </w:tabs>
        <w:ind w:left="1440" w:hanging="360"/>
      </w:pPr>
      <w:rPr>
        <w:rFonts w:ascii="Times New Roman" w:hAnsi="Times New Roman" w:hint="default"/>
      </w:rPr>
    </w:lvl>
    <w:lvl w:ilvl="2" w:tplc="FDA668B6" w:tentative="1">
      <w:start w:val="1"/>
      <w:numFmt w:val="bullet"/>
      <w:lvlText w:val="•"/>
      <w:lvlJc w:val="left"/>
      <w:pPr>
        <w:tabs>
          <w:tab w:val="num" w:pos="2160"/>
        </w:tabs>
        <w:ind w:left="2160" w:hanging="360"/>
      </w:pPr>
      <w:rPr>
        <w:rFonts w:ascii="Times New Roman" w:hAnsi="Times New Roman" w:hint="default"/>
      </w:rPr>
    </w:lvl>
    <w:lvl w:ilvl="3" w:tplc="6622B562" w:tentative="1">
      <w:start w:val="1"/>
      <w:numFmt w:val="bullet"/>
      <w:lvlText w:val="•"/>
      <w:lvlJc w:val="left"/>
      <w:pPr>
        <w:tabs>
          <w:tab w:val="num" w:pos="2880"/>
        </w:tabs>
        <w:ind w:left="2880" w:hanging="360"/>
      </w:pPr>
      <w:rPr>
        <w:rFonts w:ascii="Times New Roman" w:hAnsi="Times New Roman" w:hint="default"/>
      </w:rPr>
    </w:lvl>
    <w:lvl w:ilvl="4" w:tplc="1EE24930" w:tentative="1">
      <w:start w:val="1"/>
      <w:numFmt w:val="bullet"/>
      <w:lvlText w:val="•"/>
      <w:lvlJc w:val="left"/>
      <w:pPr>
        <w:tabs>
          <w:tab w:val="num" w:pos="3600"/>
        </w:tabs>
        <w:ind w:left="3600" w:hanging="360"/>
      </w:pPr>
      <w:rPr>
        <w:rFonts w:ascii="Times New Roman" w:hAnsi="Times New Roman" w:hint="default"/>
      </w:rPr>
    </w:lvl>
    <w:lvl w:ilvl="5" w:tplc="40EE5C26" w:tentative="1">
      <w:start w:val="1"/>
      <w:numFmt w:val="bullet"/>
      <w:lvlText w:val="•"/>
      <w:lvlJc w:val="left"/>
      <w:pPr>
        <w:tabs>
          <w:tab w:val="num" w:pos="4320"/>
        </w:tabs>
        <w:ind w:left="4320" w:hanging="360"/>
      </w:pPr>
      <w:rPr>
        <w:rFonts w:ascii="Times New Roman" w:hAnsi="Times New Roman" w:hint="default"/>
      </w:rPr>
    </w:lvl>
    <w:lvl w:ilvl="6" w:tplc="A61047C4" w:tentative="1">
      <w:start w:val="1"/>
      <w:numFmt w:val="bullet"/>
      <w:lvlText w:val="•"/>
      <w:lvlJc w:val="left"/>
      <w:pPr>
        <w:tabs>
          <w:tab w:val="num" w:pos="5040"/>
        </w:tabs>
        <w:ind w:left="5040" w:hanging="360"/>
      </w:pPr>
      <w:rPr>
        <w:rFonts w:ascii="Times New Roman" w:hAnsi="Times New Roman" w:hint="default"/>
      </w:rPr>
    </w:lvl>
    <w:lvl w:ilvl="7" w:tplc="94D6791C" w:tentative="1">
      <w:start w:val="1"/>
      <w:numFmt w:val="bullet"/>
      <w:lvlText w:val="•"/>
      <w:lvlJc w:val="left"/>
      <w:pPr>
        <w:tabs>
          <w:tab w:val="num" w:pos="5760"/>
        </w:tabs>
        <w:ind w:left="5760" w:hanging="360"/>
      </w:pPr>
      <w:rPr>
        <w:rFonts w:ascii="Times New Roman" w:hAnsi="Times New Roman" w:hint="default"/>
      </w:rPr>
    </w:lvl>
    <w:lvl w:ilvl="8" w:tplc="AEC4224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C0F762E"/>
    <w:multiLevelType w:val="multilevel"/>
    <w:tmpl w:val="141CF87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CFE417D"/>
    <w:multiLevelType w:val="multilevel"/>
    <w:tmpl w:val="1592F918"/>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6CD1A1B"/>
    <w:multiLevelType w:val="multilevel"/>
    <w:tmpl w:val="50007B22"/>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CF129EF"/>
    <w:multiLevelType w:val="hybridMultilevel"/>
    <w:tmpl w:val="48487D92"/>
    <w:lvl w:ilvl="0" w:tplc="FC28550C">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40DD2D78"/>
    <w:multiLevelType w:val="hybridMultilevel"/>
    <w:tmpl w:val="38F6BEDC"/>
    <w:lvl w:ilvl="0" w:tplc="A810F890">
      <w:start w:val="1"/>
      <w:numFmt w:val="bullet"/>
      <w:lvlText w:val="•"/>
      <w:lvlJc w:val="left"/>
      <w:pPr>
        <w:tabs>
          <w:tab w:val="num" w:pos="720"/>
        </w:tabs>
        <w:ind w:left="720" w:hanging="360"/>
      </w:pPr>
      <w:rPr>
        <w:rFonts w:ascii="Times New Roman" w:hAnsi="Times New Roman" w:hint="default"/>
      </w:rPr>
    </w:lvl>
    <w:lvl w:ilvl="1" w:tplc="2F24EF94" w:tentative="1">
      <w:start w:val="1"/>
      <w:numFmt w:val="bullet"/>
      <w:lvlText w:val="•"/>
      <w:lvlJc w:val="left"/>
      <w:pPr>
        <w:tabs>
          <w:tab w:val="num" w:pos="1440"/>
        </w:tabs>
        <w:ind w:left="1440" w:hanging="360"/>
      </w:pPr>
      <w:rPr>
        <w:rFonts w:ascii="Times New Roman" w:hAnsi="Times New Roman" w:hint="default"/>
      </w:rPr>
    </w:lvl>
    <w:lvl w:ilvl="2" w:tplc="A1A6C592" w:tentative="1">
      <w:start w:val="1"/>
      <w:numFmt w:val="bullet"/>
      <w:lvlText w:val="•"/>
      <w:lvlJc w:val="left"/>
      <w:pPr>
        <w:tabs>
          <w:tab w:val="num" w:pos="2160"/>
        </w:tabs>
        <w:ind w:left="2160" w:hanging="360"/>
      </w:pPr>
      <w:rPr>
        <w:rFonts w:ascii="Times New Roman" w:hAnsi="Times New Roman" w:hint="default"/>
      </w:rPr>
    </w:lvl>
    <w:lvl w:ilvl="3" w:tplc="F16C8022" w:tentative="1">
      <w:start w:val="1"/>
      <w:numFmt w:val="bullet"/>
      <w:lvlText w:val="•"/>
      <w:lvlJc w:val="left"/>
      <w:pPr>
        <w:tabs>
          <w:tab w:val="num" w:pos="2880"/>
        </w:tabs>
        <w:ind w:left="2880" w:hanging="360"/>
      </w:pPr>
      <w:rPr>
        <w:rFonts w:ascii="Times New Roman" w:hAnsi="Times New Roman" w:hint="default"/>
      </w:rPr>
    </w:lvl>
    <w:lvl w:ilvl="4" w:tplc="0512F880" w:tentative="1">
      <w:start w:val="1"/>
      <w:numFmt w:val="bullet"/>
      <w:lvlText w:val="•"/>
      <w:lvlJc w:val="left"/>
      <w:pPr>
        <w:tabs>
          <w:tab w:val="num" w:pos="3600"/>
        </w:tabs>
        <w:ind w:left="3600" w:hanging="360"/>
      </w:pPr>
      <w:rPr>
        <w:rFonts w:ascii="Times New Roman" w:hAnsi="Times New Roman" w:hint="default"/>
      </w:rPr>
    </w:lvl>
    <w:lvl w:ilvl="5" w:tplc="F0DCABD4" w:tentative="1">
      <w:start w:val="1"/>
      <w:numFmt w:val="bullet"/>
      <w:lvlText w:val="•"/>
      <w:lvlJc w:val="left"/>
      <w:pPr>
        <w:tabs>
          <w:tab w:val="num" w:pos="4320"/>
        </w:tabs>
        <w:ind w:left="4320" w:hanging="360"/>
      </w:pPr>
      <w:rPr>
        <w:rFonts w:ascii="Times New Roman" w:hAnsi="Times New Roman" w:hint="default"/>
      </w:rPr>
    </w:lvl>
    <w:lvl w:ilvl="6" w:tplc="60668CC8" w:tentative="1">
      <w:start w:val="1"/>
      <w:numFmt w:val="bullet"/>
      <w:lvlText w:val="•"/>
      <w:lvlJc w:val="left"/>
      <w:pPr>
        <w:tabs>
          <w:tab w:val="num" w:pos="5040"/>
        </w:tabs>
        <w:ind w:left="5040" w:hanging="360"/>
      </w:pPr>
      <w:rPr>
        <w:rFonts w:ascii="Times New Roman" w:hAnsi="Times New Roman" w:hint="default"/>
      </w:rPr>
    </w:lvl>
    <w:lvl w:ilvl="7" w:tplc="46CC4F1C" w:tentative="1">
      <w:start w:val="1"/>
      <w:numFmt w:val="bullet"/>
      <w:lvlText w:val="•"/>
      <w:lvlJc w:val="left"/>
      <w:pPr>
        <w:tabs>
          <w:tab w:val="num" w:pos="5760"/>
        </w:tabs>
        <w:ind w:left="5760" w:hanging="360"/>
      </w:pPr>
      <w:rPr>
        <w:rFonts w:ascii="Times New Roman" w:hAnsi="Times New Roman" w:hint="default"/>
      </w:rPr>
    </w:lvl>
    <w:lvl w:ilvl="8" w:tplc="570275D0"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6893C4A"/>
    <w:multiLevelType w:val="hybridMultilevel"/>
    <w:tmpl w:val="7A7C69D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492D7863"/>
    <w:multiLevelType w:val="hybridMultilevel"/>
    <w:tmpl w:val="780833E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5ECA3ABC"/>
    <w:multiLevelType w:val="hybridMultilevel"/>
    <w:tmpl w:val="C7FEE7DE"/>
    <w:lvl w:ilvl="0" w:tplc="DED66936">
      <w:start w:val="1"/>
      <w:numFmt w:val="lowerLetter"/>
      <w:lvlText w:val="(%1)"/>
      <w:lvlJc w:val="left"/>
      <w:pPr>
        <w:ind w:left="36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62A63D38"/>
    <w:multiLevelType w:val="hybridMultilevel"/>
    <w:tmpl w:val="E2406F7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6E2D0F15"/>
    <w:multiLevelType w:val="hybridMultilevel"/>
    <w:tmpl w:val="70EC99D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71B339AA"/>
    <w:multiLevelType w:val="hybridMultilevel"/>
    <w:tmpl w:val="1D303A8E"/>
    <w:lvl w:ilvl="0" w:tplc="7E5E4E4C">
      <w:start w:val="1"/>
      <w:numFmt w:val="lowerLetter"/>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4" w15:restartNumberingAfterBreak="0">
    <w:nsid w:val="74413524"/>
    <w:multiLevelType w:val="hybridMultilevel"/>
    <w:tmpl w:val="CAF0F21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10"/>
  </w:num>
  <w:num w:numId="4">
    <w:abstractNumId w:val="2"/>
  </w:num>
  <w:num w:numId="5">
    <w:abstractNumId w:val="7"/>
  </w:num>
  <w:num w:numId="6">
    <w:abstractNumId w:val="12"/>
  </w:num>
  <w:num w:numId="7">
    <w:abstractNumId w:val="14"/>
  </w:num>
  <w:num w:numId="8">
    <w:abstractNumId w:val="3"/>
  </w:num>
  <w:num w:numId="9">
    <w:abstractNumId w:val="6"/>
  </w:num>
  <w:num w:numId="10">
    <w:abstractNumId w:val="4"/>
  </w:num>
  <w:num w:numId="11">
    <w:abstractNumId w:val="5"/>
  </w:num>
  <w:num w:numId="12">
    <w:abstractNumId w:val="1"/>
  </w:num>
  <w:num w:numId="13">
    <w:abstractNumId w:val="9"/>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7D3"/>
    <w:rsid w:val="00050655"/>
    <w:rsid w:val="001314E4"/>
    <w:rsid w:val="00191AB4"/>
    <w:rsid w:val="001927F8"/>
    <w:rsid w:val="001C6619"/>
    <w:rsid w:val="001D0DBD"/>
    <w:rsid w:val="003228FE"/>
    <w:rsid w:val="00324E80"/>
    <w:rsid w:val="00357921"/>
    <w:rsid w:val="003B3E26"/>
    <w:rsid w:val="003D7BB8"/>
    <w:rsid w:val="003E5185"/>
    <w:rsid w:val="004442C7"/>
    <w:rsid w:val="00506476"/>
    <w:rsid w:val="00537343"/>
    <w:rsid w:val="00634E3C"/>
    <w:rsid w:val="006A5EC3"/>
    <w:rsid w:val="006F5EA0"/>
    <w:rsid w:val="00780CC5"/>
    <w:rsid w:val="007A0AF3"/>
    <w:rsid w:val="007B0751"/>
    <w:rsid w:val="007D6569"/>
    <w:rsid w:val="008207D3"/>
    <w:rsid w:val="00856669"/>
    <w:rsid w:val="0086676A"/>
    <w:rsid w:val="00911E31"/>
    <w:rsid w:val="00956616"/>
    <w:rsid w:val="00AF7CFB"/>
    <w:rsid w:val="00B44026"/>
    <w:rsid w:val="00B96009"/>
    <w:rsid w:val="00C4338C"/>
    <w:rsid w:val="00C55AC3"/>
    <w:rsid w:val="00CD65F4"/>
    <w:rsid w:val="00F20CAA"/>
    <w:rsid w:val="00F831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3DD695"/>
  <w15:docId w15:val="{86052E39-EB7F-4BE2-8BE6-D3F5952EB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4E3C"/>
    <w:rPr>
      <w:rFonts w:ascii="Franklin Gothic Book" w:hAnsi="Franklin Gothic Book"/>
    </w:rPr>
  </w:style>
  <w:style w:type="paragraph" w:styleId="Heading1">
    <w:name w:val="heading 1"/>
    <w:basedOn w:val="Normal"/>
    <w:next w:val="Normal"/>
    <w:link w:val="Heading1Char"/>
    <w:uiPriority w:val="9"/>
    <w:qFormat/>
    <w:rsid w:val="00357921"/>
    <w:pPr>
      <w:tabs>
        <w:tab w:val="left" w:pos="3135"/>
      </w:tabs>
      <w:outlineLvl w:val="0"/>
    </w:pPr>
    <w:rPr>
      <w:b/>
      <w:color w:val="784628"/>
      <w:sz w:val="32"/>
      <w:szCs w:val="32"/>
    </w:rPr>
  </w:style>
  <w:style w:type="paragraph" w:styleId="Heading2">
    <w:name w:val="heading 2"/>
    <w:basedOn w:val="Normal"/>
    <w:next w:val="Normal"/>
    <w:link w:val="Heading2Char"/>
    <w:uiPriority w:val="9"/>
    <w:unhideWhenUsed/>
    <w:qFormat/>
    <w:rsid w:val="00357921"/>
    <w:pPr>
      <w:tabs>
        <w:tab w:val="left" w:pos="3135"/>
      </w:tabs>
      <w:outlineLvl w:val="1"/>
    </w:pPr>
    <w:rPr>
      <w:b/>
      <w:color w:val="A87555"/>
      <w:sz w:val="28"/>
      <w:szCs w:val="48"/>
    </w:rPr>
  </w:style>
  <w:style w:type="paragraph" w:styleId="Heading3">
    <w:name w:val="heading 3"/>
    <w:basedOn w:val="Normal"/>
    <w:next w:val="Normal"/>
    <w:link w:val="Heading3Char"/>
    <w:uiPriority w:val="9"/>
    <w:unhideWhenUsed/>
    <w:qFormat/>
    <w:rsid w:val="00357921"/>
    <w:pPr>
      <w:tabs>
        <w:tab w:val="left" w:pos="3135"/>
      </w:tabs>
      <w:outlineLvl w:val="2"/>
    </w:pPr>
    <w:rPr>
      <w:b/>
      <w:color w:val="CDA62D"/>
      <w:sz w:val="28"/>
      <w:szCs w:val="48"/>
    </w:rPr>
  </w:style>
  <w:style w:type="paragraph" w:styleId="Heading4">
    <w:name w:val="heading 4"/>
    <w:basedOn w:val="Normal"/>
    <w:next w:val="Normal"/>
    <w:link w:val="Heading4Char"/>
    <w:uiPriority w:val="9"/>
    <w:unhideWhenUsed/>
    <w:qFormat/>
    <w:rsid w:val="00357921"/>
    <w:pPr>
      <w:outlineLvl w:val="3"/>
    </w:pPr>
    <w:rPr>
      <w:color w:val="597D3F"/>
      <w:sz w:val="24"/>
      <w:szCs w:val="24"/>
    </w:rPr>
  </w:style>
  <w:style w:type="paragraph" w:styleId="Heading5">
    <w:name w:val="heading 5"/>
    <w:basedOn w:val="Normal"/>
    <w:next w:val="Normal"/>
    <w:link w:val="Heading5Char"/>
    <w:uiPriority w:val="9"/>
    <w:unhideWhenUsed/>
    <w:qFormat/>
    <w:rsid w:val="00357921"/>
    <w:pPr>
      <w:outlineLvl w:val="4"/>
    </w:pPr>
    <w:rPr>
      <w:i/>
      <w:color w:val="81A24C"/>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64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476"/>
  </w:style>
  <w:style w:type="paragraph" w:styleId="Footer">
    <w:name w:val="footer"/>
    <w:basedOn w:val="Normal"/>
    <w:link w:val="FooterChar"/>
    <w:uiPriority w:val="99"/>
    <w:unhideWhenUsed/>
    <w:rsid w:val="005064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476"/>
  </w:style>
  <w:style w:type="character" w:customStyle="1" w:styleId="Heading1Char">
    <w:name w:val="Heading 1 Char"/>
    <w:basedOn w:val="DefaultParagraphFont"/>
    <w:link w:val="Heading1"/>
    <w:uiPriority w:val="9"/>
    <w:rsid w:val="00357921"/>
    <w:rPr>
      <w:rFonts w:ascii="Franklin Gothic Book" w:hAnsi="Franklin Gothic Book"/>
      <w:b/>
      <w:color w:val="784628"/>
      <w:sz w:val="32"/>
      <w:szCs w:val="32"/>
    </w:rPr>
  </w:style>
  <w:style w:type="character" w:customStyle="1" w:styleId="Heading2Char">
    <w:name w:val="Heading 2 Char"/>
    <w:basedOn w:val="DefaultParagraphFont"/>
    <w:link w:val="Heading2"/>
    <w:uiPriority w:val="9"/>
    <w:rsid w:val="00357921"/>
    <w:rPr>
      <w:rFonts w:ascii="Franklin Gothic Book" w:hAnsi="Franklin Gothic Book"/>
      <w:b/>
      <w:color w:val="A87555"/>
      <w:sz w:val="28"/>
      <w:szCs w:val="48"/>
    </w:rPr>
  </w:style>
  <w:style w:type="character" w:customStyle="1" w:styleId="Heading3Char">
    <w:name w:val="Heading 3 Char"/>
    <w:basedOn w:val="DefaultParagraphFont"/>
    <w:link w:val="Heading3"/>
    <w:uiPriority w:val="9"/>
    <w:rsid w:val="00357921"/>
    <w:rPr>
      <w:rFonts w:ascii="Franklin Gothic Book" w:hAnsi="Franklin Gothic Book"/>
      <w:b/>
      <w:color w:val="CDA62D"/>
      <w:sz w:val="28"/>
      <w:szCs w:val="48"/>
    </w:rPr>
  </w:style>
  <w:style w:type="character" w:customStyle="1" w:styleId="Heading4Char">
    <w:name w:val="Heading 4 Char"/>
    <w:basedOn w:val="DefaultParagraphFont"/>
    <w:link w:val="Heading4"/>
    <w:uiPriority w:val="9"/>
    <w:rsid w:val="00357921"/>
    <w:rPr>
      <w:rFonts w:ascii="Franklin Gothic Book" w:hAnsi="Franklin Gothic Book"/>
      <w:color w:val="597D3F"/>
      <w:sz w:val="24"/>
      <w:szCs w:val="24"/>
    </w:rPr>
  </w:style>
  <w:style w:type="character" w:customStyle="1" w:styleId="Heading5Char">
    <w:name w:val="Heading 5 Char"/>
    <w:basedOn w:val="DefaultParagraphFont"/>
    <w:link w:val="Heading5"/>
    <w:uiPriority w:val="9"/>
    <w:rsid w:val="00357921"/>
    <w:rPr>
      <w:rFonts w:ascii="Franklin Gothic Book" w:hAnsi="Franklin Gothic Book"/>
      <w:i/>
      <w:color w:val="81A24C"/>
      <w:sz w:val="24"/>
      <w:szCs w:val="24"/>
    </w:rPr>
  </w:style>
  <w:style w:type="paragraph" w:styleId="Quote">
    <w:name w:val="Quote"/>
    <w:basedOn w:val="Normal"/>
    <w:next w:val="Normal"/>
    <w:link w:val="QuoteChar"/>
    <w:uiPriority w:val="29"/>
    <w:qFormat/>
    <w:rsid w:val="00357921"/>
    <w:rPr>
      <w:i/>
      <w:color w:val="0081B7"/>
    </w:rPr>
  </w:style>
  <w:style w:type="character" w:customStyle="1" w:styleId="QuoteChar">
    <w:name w:val="Quote Char"/>
    <w:basedOn w:val="DefaultParagraphFont"/>
    <w:link w:val="Quote"/>
    <w:uiPriority w:val="29"/>
    <w:rsid w:val="00357921"/>
    <w:rPr>
      <w:rFonts w:ascii="Franklin Gothic Book" w:hAnsi="Franklin Gothic Book"/>
      <w:i/>
      <w:color w:val="0081B7"/>
    </w:rPr>
  </w:style>
  <w:style w:type="paragraph" w:styleId="Title">
    <w:name w:val="Title"/>
    <w:basedOn w:val="Heading1"/>
    <w:next w:val="Normal"/>
    <w:link w:val="TitleChar"/>
    <w:uiPriority w:val="10"/>
    <w:qFormat/>
    <w:rsid w:val="00357921"/>
    <w:rPr>
      <w:sz w:val="44"/>
      <w:szCs w:val="44"/>
    </w:rPr>
  </w:style>
  <w:style w:type="character" w:customStyle="1" w:styleId="TitleChar">
    <w:name w:val="Title Char"/>
    <w:basedOn w:val="DefaultParagraphFont"/>
    <w:link w:val="Title"/>
    <w:uiPriority w:val="10"/>
    <w:rsid w:val="00357921"/>
    <w:rPr>
      <w:rFonts w:ascii="Franklin Gothic Book" w:hAnsi="Franklin Gothic Book"/>
      <w:b/>
      <w:color w:val="784628"/>
      <w:sz w:val="44"/>
      <w:szCs w:val="44"/>
    </w:rPr>
  </w:style>
  <w:style w:type="paragraph" w:styleId="BalloonText">
    <w:name w:val="Balloon Text"/>
    <w:basedOn w:val="Normal"/>
    <w:link w:val="BalloonTextChar"/>
    <w:uiPriority w:val="99"/>
    <w:semiHidden/>
    <w:unhideWhenUsed/>
    <w:rsid w:val="001D0D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DBD"/>
    <w:rPr>
      <w:rFonts w:ascii="Segoe UI" w:hAnsi="Segoe UI" w:cs="Segoe UI"/>
      <w:sz w:val="18"/>
      <w:szCs w:val="18"/>
    </w:rPr>
  </w:style>
  <w:style w:type="numbering" w:customStyle="1" w:styleId="NoList1">
    <w:name w:val="No List1"/>
    <w:next w:val="NoList"/>
    <w:uiPriority w:val="99"/>
    <w:semiHidden/>
    <w:unhideWhenUsed/>
    <w:rsid w:val="00C55AC3"/>
  </w:style>
  <w:style w:type="paragraph" w:styleId="ListParagraph">
    <w:name w:val="List Paragraph"/>
    <w:basedOn w:val="Normal"/>
    <w:uiPriority w:val="34"/>
    <w:qFormat/>
    <w:rsid w:val="00C55AC3"/>
    <w:pPr>
      <w:spacing w:after="200" w:line="276" w:lineRule="auto"/>
      <w:ind w:left="720"/>
      <w:contextualSpacing/>
    </w:pPr>
    <w:rPr>
      <w:rFonts w:ascii="Calibri" w:hAnsi="Calibri"/>
      <w:lang w:val="en-ZA"/>
    </w:rPr>
  </w:style>
  <w:style w:type="table" w:styleId="TableGrid">
    <w:name w:val="Table Grid"/>
    <w:basedOn w:val="TableNormal"/>
    <w:uiPriority w:val="59"/>
    <w:rsid w:val="00C55AC3"/>
    <w:pPr>
      <w:spacing w:after="0" w:line="240" w:lineRule="auto"/>
    </w:pPr>
    <w:rPr>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1">
    <w:name w:val="Caption1"/>
    <w:basedOn w:val="Normal"/>
    <w:next w:val="Normal"/>
    <w:uiPriority w:val="35"/>
    <w:unhideWhenUsed/>
    <w:qFormat/>
    <w:rsid w:val="00C55AC3"/>
    <w:pPr>
      <w:spacing w:after="200" w:line="240" w:lineRule="auto"/>
    </w:pPr>
    <w:rPr>
      <w:rFonts w:ascii="Calibri" w:hAnsi="Calibri"/>
      <w:b/>
      <w:bCs/>
      <w:color w:val="4F81BD"/>
      <w:sz w:val="18"/>
      <w:szCs w:val="18"/>
      <w:lang w:val="en-ZA"/>
    </w:rPr>
  </w:style>
  <w:style w:type="paragraph" w:styleId="NormalWeb">
    <w:name w:val="Normal (Web)"/>
    <w:basedOn w:val="Normal"/>
    <w:uiPriority w:val="99"/>
    <w:unhideWhenUsed/>
    <w:rsid w:val="00C55AC3"/>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styleId="Strong">
    <w:name w:val="Strong"/>
    <w:basedOn w:val="DefaultParagraphFont"/>
    <w:uiPriority w:val="22"/>
    <w:qFormat/>
    <w:rsid w:val="00C55AC3"/>
    <w:rPr>
      <w:b/>
      <w:bCs/>
    </w:rPr>
  </w:style>
  <w:style w:type="paragraph" w:styleId="TOCHeading">
    <w:name w:val="TOC Heading"/>
    <w:basedOn w:val="Heading1"/>
    <w:next w:val="Normal"/>
    <w:uiPriority w:val="39"/>
    <w:semiHidden/>
    <w:unhideWhenUsed/>
    <w:qFormat/>
    <w:rsid w:val="00C55AC3"/>
    <w:pPr>
      <w:keepNext/>
      <w:keepLines/>
      <w:tabs>
        <w:tab w:val="clear" w:pos="3135"/>
      </w:tabs>
      <w:spacing w:before="480" w:after="0" w:line="276" w:lineRule="auto"/>
      <w:outlineLvl w:val="9"/>
    </w:pPr>
    <w:rPr>
      <w:rFonts w:ascii="Cambria" w:eastAsia="Times New Roman" w:hAnsi="Cambria" w:cs="Times New Roman"/>
      <w:bCs/>
      <w:color w:val="365F91"/>
      <w:sz w:val="28"/>
      <w:szCs w:val="28"/>
      <w:lang w:val="en-US" w:eastAsia="ja-JP"/>
    </w:rPr>
  </w:style>
  <w:style w:type="paragraph" w:styleId="TOC1">
    <w:name w:val="toc 1"/>
    <w:basedOn w:val="Normal"/>
    <w:next w:val="Normal"/>
    <w:autoRedefine/>
    <w:uiPriority w:val="39"/>
    <w:unhideWhenUsed/>
    <w:rsid w:val="00C55AC3"/>
    <w:pPr>
      <w:spacing w:after="100" w:line="276" w:lineRule="auto"/>
    </w:pPr>
    <w:rPr>
      <w:rFonts w:ascii="Calibri" w:hAnsi="Calibri"/>
      <w:lang w:val="en-ZA"/>
    </w:rPr>
  </w:style>
  <w:style w:type="character" w:customStyle="1" w:styleId="Hyperlink1">
    <w:name w:val="Hyperlink1"/>
    <w:basedOn w:val="DefaultParagraphFont"/>
    <w:uiPriority w:val="99"/>
    <w:unhideWhenUsed/>
    <w:rsid w:val="00C55AC3"/>
    <w:rPr>
      <w:color w:val="0000FF"/>
      <w:u w:val="single"/>
    </w:rPr>
  </w:style>
  <w:style w:type="paragraph" w:customStyle="1" w:styleId="NoSpacing1">
    <w:name w:val="No Spacing1"/>
    <w:next w:val="NoSpacing"/>
    <w:link w:val="NoSpacingChar"/>
    <w:uiPriority w:val="1"/>
    <w:qFormat/>
    <w:rsid w:val="00C55AC3"/>
    <w:pPr>
      <w:spacing w:after="0" w:line="240" w:lineRule="auto"/>
    </w:pPr>
    <w:rPr>
      <w:rFonts w:eastAsia="Times New Roman"/>
      <w:lang w:val="en-US" w:eastAsia="ja-JP"/>
    </w:rPr>
  </w:style>
  <w:style w:type="character" w:customStyle="1" w:styleId="NoSpacingChar">
    <w:name w:val="No Spacing Char"/>
    <w:basedOn w:val="DefaultParagraphFont"/>
    <w:link w:val="NoSpacing1"/>
    <w:uiPriority w:val="1"/>
    <w:rsid w:val="00C55AC3"/>
    <w:rPr>
      <w:rFonts w:eastAsia="Times New Roman"/>
      <w:lang w:val="en-US" w:eastAsia="ja-JP"/>
    </w:rPr>
  </w:style>
  <w:style w:type="paragraph" w:styleId="FootnoteText">
    <w:name w:val="footnote text"/>
    <w:basedOn w:val="Normal"/>
    <w:link w:val="FootnoteTextChar"/>
    <w:uiPriority w:val="99"/>
    <w:semiHidden/>
    <w:unhideWhenUsed/>
    <w:rsid w:val="00C55AC3"/>
    <w:pPr>
      <w:spacing w:after="0" w:line="240" w:lineRule="auto"/>
    </w:pPr>
    <w:rPr>
      <w:rFonts w:ascii="Calibri" w:hAnsi="Calibri"/>
      <w:sz w:val="20"/>
      <w:szCs w:val="20"/>
      <w:lang w:val="en-ZA"/>
    </w:rPr>
  </w:style>
  <w:style w:type="character" w:customStyle="1" w:styleId="FootnoteTextChar">
    <w:name w:val="Footnote Text Char"/>
    <w:basedOn w:val="DefaultParagraphFont"/>
    <w:link w:val="FootnoteText"/>
    <w:uiPriority w:val="99"/>
    <w:semiHidden/>
    <w:rsid w:val="00C55AC3"/>
    <w:rPr>
      <w:rFonts w:ascii="Calibri" w:hAnsi="Calibri"/>
      <w:sz w:val="20"/>
      <w:szCs w:val="20"/>
      <w:lang w:val="en-ZA"/>
    </w:rPr>
  </w:style>
  <w:style w:type="character" w:styleId="FootnoteReference">
    <w:name w:val="footnote reference"/>
    <w:basedOn w:val="DefaultParagraphFont"/>
    <w:uiPriority w:val="99"/>
    <w:semiHidden/>
    <w:unhideWhenUsed/>
    <w:rsid w:val="00C55AC3"/>
    <w:rPr>
      <w:vertAlign w:val="superscript"/>
    </w:rPr>
  </w:style>
  <w:style w:type="paragraph" w:styleId="TOC2">
    <w:name w:val="toc 2"/>
    <w:basedOn w:val="Normal"/>
    <w:next w:val="Normal"/>
    <w:autoRedefine/>
    <w:uiPriority w:val="39"/>
    <w:unhideWhenUsed/>
    <w:rsid w:val="00C55AC3"/>
    <w:pPr>
      <w:spacing w:after="100" w:line="276" w:lineRule="auto"/>
      <w:ind w:left="220"/>
    </w:pPr>
    <w:rPr>
      <w:rFonts w:ascii="Calibri" w:hAnsi="Calibri"/>
      <w:lang w:val="en-ZA"/>
    </w:rPr>
  </w:style>
  <w:style w:type="paragraph" w:styleId="TOC3">
    <w:name w:val="toc 3"/>
    <w:basedOn w:val="Normal"/>
    <w:next w:val="Normal"/>
    <w:autoRedefine/>
    <w:uiPriority w:val="39"/>
    <w:unhideWhenUsed/>
    <w:rsid w:val="00C55AC3"/>
    <w:pPr>
      <w:spacing w:after="100" w:line="276" w:lineRule="auto"/>
      <w:ind w:left="440"/>
    </w:pPr>
    <w:rPr>
      <w:rFonts w:ascii="Calibri" w:hAnsi="Calibri"/>
      <w:lang w:val="en-ZA"/>
    </w:rPr>
  </w:style>
  <w:style w:type="paragraph" w:styleId="Bibliography">
    <w:name w:val="Bibliography"/>
    <w:basedOn w:val="Normal"/>
    <w:next w:val="Normal"/>
    <w:uiPriority w:val="37"/>
    <w:unhideWhenUsed/>
    <w:rsid w:val="00C55AC3"/>
    <w:pPr>
      <w:spacing w:after="200" w:line="276" w:lineRule="auto"/>
    </w:pPr>
    <w:rPr>
      <w:rFonts w:ascii="Calibri" w:hAnsi="Calibri"/>
      <w:lang w:val="en-ZA"/>
    </w:rPr>
  </w:style>
  <w:style w:type="character" w:styleId="Hyperlink">
    <w:name w:val="Hyperlink"/>
    <w:basedOn w:val="DefaultParagraphFont"/>
    <w:uiPriority w:val="99"/>
    <w:semiHidden/>
    <w:unhideWhenUsed/>
    <w:rsid w:val="00C55AC3"/>
    <w:rPr>
      <w:color w:val="0563C1" w:themeColor="hyperlink"/>
      <w:u w:val="single"/>
    </w:rPr>
  </w:style>
  <w:style w:type="paragraph" w:styleId="NoSpacing">
    <w:name w:val="No Spacing"/>
    <w:uiPriority w:val="1"/>
    <w:rsid w:val="00C55AC3"/>
    <w:pPr>
      <w:spacing w:after="0" w:line="240" w:lineRule="auto"/>
    </w:pPr>
    <w:rPr>
      <w:rFonts w:ascii="Franklin Gothic Book" w:hAnsi="Franklin Gothic Boo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diagramData" Target="diagrams/data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5"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chart" Target="charts/chart1.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diagramColors" Target="diagrams/colors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diagramQuickStyle" Target="diagrams/quickStyle1.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image" Target="media/image3.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diagramLayout" Target="diagrams/layout1.xml"/><Relationship Id="rId27" Type="http://schemas.openxmlformats.org/officeDocument/2006/relationships/footer" Target="footer5.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footer5.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male</c:v>
                </c:pt>
              </c:strCache>
            </c:strRef>
          </c:tx>
          <c:invertIfNegative val="0"/>
          <c:cat>
            <c:strRef>
              <c:f>Sheet1!$A$2:$A$5</c:f>
              <c:strCache>
                <c:ptCount val="2"/>
                <c:pt idx="0">
                  <c:v>Labour led intensification</c:v>
                </c:pt>
                <c:pt idx="1">
                  <c:v>capital led intensification</c:v>
                </c:pt>
              </c:strCache>
            </c:strRef>
          </c:cat>
          <c:val>
            <c:numRef>
              <c:f>Sheet1!$B$2:$B$5</c:f>
              <c:numCache>
                <c:formatCode>General</c:formatCode>
                <c:ptCount val="4"/>
                <c:pt idx="0">
                  <c:v>29</c:v>
                </c:pt>
                <c:pt idx="1">
                  <c:v>64</c:v>
                </c:pt>
              </c:numCache>
            </c:numRef>
          </c:val>
        </c:ser>
        <c:ser>
          <c:idx val="1"/>
          <c:order val="1"/>
          <c:tx>
            <c:strRef>
              <c:f>Sheet1!$C$1</c:f>
              <c:strCache>
                <c:ptCount val="1"/>
                <c:pt idx="0">
                  <c:v>female</c:v>
                </c:pt>
              </c:strCache>
            </c:strRef>
          </c:tx>
          <c:invertIfNegative val="0"/>
          <c:cat>
            <c:strRef>
              <c:f>Sheet1!$A$2:$A$5</c:f>
              <c:strCache>
                <c:ptCount val="2"/>
                <c:pt idx="0">
                  <c:v>Labour led intensification</c:v>
                </c:pt>
                <c:pt idx="1">
                  <c:v>capital led intensification</c:v>
                </c:pt>
              </c:strCache>
            </c:strRef>
          </c:cat>
          <c:val>
            <c:numRef>
              <c:f>Sheet1!$C$2:$C$5</c:f>
              <c:numCache>
                <c:formatCode>General</c:formatCode>
                <c:ptCount val="4"/>
                <c:pt idx="0">
                  <c:v>71</c:v>
                </c:pt>
                <c:pt idx="1">
                  <c:v>36</c:v>
                </c:pt>
              </c:numCache>
            </c:numRef>
          </c:val>
        </c:ser>
        <c:ser>
          <c:idx val="2"/>
          <c:order val="2"/>
          <c:tx>
            <c:strRef>
              <c:f>Sheet1!$D$1</c:f>
              <c:strCache>
                <c:ptCount val="1"/>
                <c:pt idx="0">
                  <c:v>Column1</c:v>
                </c:pt>
              </c:strCache>
            </c:strRef>
          </c:tx>
          <c:invertIfNegative val="0"/>
          <c:cat>
            <c:strRef>
              <c:f>Sheet1!$A$2:$A$5</c:f>
              <c:strCache>
                <c:ptCount val="2"/>
                <c:pt idx="0">
                  <c:v>Labour led intensification</c:v>
                </c:pt>
                <c:pt idx="1">
                  <c:v>capital led intensification</c:v>
                </c:pt>
              </c:strCache>
            </c:strRef>
          </c:cat>
          <c:val>
            <c:numRef>
              <c:f>Sheet1!$D$2:$D$5</c:f>
              <c:numCache>
                <c:formatCode>General</c:formatCode>
                <c:ptCount val="4"/>
              </c:numCache>
            </c:numRef>
          </c:val>
        </c:ser>
        <c:dLbls>
          <c:showLegendKey val="0"/>
          <c:showVal val="0"/>
          <c:showCatName val="0"/>
          <c:showSerName val="0"/>
          <c:showPercent val="0"/>
          <c:showBubbleSize val="0"/>
        </c:dLbls>
        <c:gapWidth val="300"/>
        <c:axId val="299046552"/>
        <c:axId val="299046944"/>
      </c:barChart>
      <c:catAx>
        <c:axId val="299046552"/>
        <c:scaling>
          <c:orientation val="minMax"/>
        </c:scaling>
        <c:delete val="0"/>
        <c:axPos val="b"/>
        <c:title>
          <c:tx>
            <c:rich>
              <a:bodyPr/>
              <a:lstStyle/>
              <a:p>
                <a:pPr>
                  <a:defRPr/>
                </a:pPr>
                <a:r>
                  <a:rPr lang="en-ZA"/>
                  <a:t>Forms</a:t>
                </a:r>
                <a:r>
                  <a:rPr lang="en-ZA" baseline="0"/>
                  <a:t> of agricultural i</a:t>
                </a:r>
                <a:r>
                  <a:rPr lang="en-ZA"/>
                  <a:t>ntensification</a:t>
                </a:r>
                <a:r>
                  <a:rPr lang="en-ZA" baseline="0"/>
                  <a:t> </a:t>
                </a:r>
                <a:endParaRPr lang="en-ZA"/>
              </a:p>
            </c:rich>
          </c:tx>
          <c:overlay val="0"/>
        </c:title>
        <c:numFmt formatCode="General" sourceLinked="0"/>
        <c:majorTickMark val="none"/>
        <c:minorTickMark val="none"/>
        <c:tickLblPos val="nextTo"/>
        <c:crossAx val="299046944"/>
        <c:crosses val="autoZero"/>
        <c:auto val="1"/>
        <c:lblAlgn val="ctr"/>
        <c:lblOffset val="100"/>
        <c:noMultiLvlLbl val="0"/>
      </c:catAx>
      <c:valAx>
        <c:axId val="299046944"/>
        <c:scaling>
          <c:orientation val="minMax"/>
        </c:scaling>
        <c:delete val="0"/>
        <c:axPos val="l"/>
        <c:majorGridlines/>
        <c:minorGridlines/>
        <c:title>
          <c:tx>
            <c:rich>
              <a:bodyPr/>
              <a:lstStyle/>
              <a:p>
                <a:pPr>
                  <a:defRPr/>
                </a:pPr>
                <a:r>
                  <a:rPr lang="en-ZA"/>
                  <a:t>Number of farmers utilizing</a:t>
                </a:r>
                <a:r>
                  <a:rPr lang="en-ZA" baseline="0"/>
                  <a:t> the method</a:t>
                </a:r>
                <a:endParaRPr lang="en-ZA"/>
              </a:p>
            </c:rich>
          </c:tx>
          <c:overlay val="0"/>
        </c:title>
        <c:numFmt formatCode="General" sourceLinked="1"/>
        <c:majorTickMark val="out"/>
        <c:minorTickMark val="none"/>
        <c:tickLblPos val="nextTo"/>
        <c:crossAx val="299046552"/>
        <c:crosses val="autoZero"/>
        <c:crossBetween val="between"/>
      </c:valAx>
    </c:plotArea>
    <c:legend>
      <c:legendPos val="r"/>
      <c:legendEntry>
        <c:idx val="2"/>
        <c:delete val="1"/>
      </c:legendEntry>
      <c:overlay val="0"/>
    </c:legend>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7CD7F5-3459-4F06-98ED-18E91B9E7E66}"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ZA"/>
        </a:p>
      </dgm:t>
    </dgm:pt>
    <dgm:pt modelId="{9F628ED9-7211-4613-8530-49CDC302720F}">
      <dgm:prSet phldrT="[Text]" custT="1"/>
      <dgm:spPr>
        <a:xfrm>
          <a:off x="2273554" y="128588"/>
          <a:ext cx="939291" cy="66660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ZA" sz="900">
              <a:solidFill>
                <a:sysClr val="window" lastClr="FFFFFF"/>
              </a:solidFill>
              <a:latin typeface="Times New Roman" panose="02020603050405020304" pitchFamily="18" charset="0"/>
              <a:ea typeface="+mn-ea"/>
              <a:cs typeface="Times New Roman" panose="02020603050405020304" pitchFamily="18" charset="0"/>
            </a:rPr>
            <a:t>Irrigation Management main Committee </a:t>
          </a:r>
        </a:p>
        <a:p>
          <a:r>
            <a:rPr lang="en-ZA" sz="900">
              <a:solidFill>
                <a:sysClr val="window" lastClr="FFFFFF"/>
              </a:solidFill>
              <a:latin typeface="Times New Roman" panose="02020603050405020304" pitchFamily="18" charset="0"/>
              <a:ea typeface="+mn-ea"/>
              <a:cs typeface="Times New Roman" panose="02020603050405020304" pitchFamily="18" charset="0"/>
            </a:rPr>
            <a:t>4 women: 1 men</a:t>
          </a:r>
          <a:endParaRPr lang="en-ZA" sz="900">
            <a:solidFill>
              <a:sysClr val="window" lastClr="FFFFFF"/>
            </a:solidFill>
            <a:latin typeface="Calibri"/>
            <a:ea typeface="+mn-ea"/>
            <a:cs typeface="+mn-cs"/>
          </a:endParaRPr>
        </a:p>
      </dgm:t>
    </dgm:pt>
    <dgm:pt modelId="{E4E0D4E4-7C35-4B63-89BC-2674C761853E}" type="parTrans" cxnId="{B1F998A6-6669-47CD-990C-D39EAFF8215A}">
      <dgm:prSet/>
      <dgm:spPr/>
      <dgm:t>
        <a:bodyPr/>
        <a:lstStyle/>
        <a:p>
          <a:endParaRPr lang="en-ZA"/>
        </a:p>
      </dgm:t>
    </dgm:pt>
    <dgm:pt modelId="{9FDC0320-DF44-4592-9F0C-1A74E850A38E}" type="sibTrans" cxnId="{B1F998A6-6669-47CD-990C-D39EAFF8215A}">
      <dgm:prSet/>
      <dgm:spPr/>
      <dgm:t>
        <a:bodyPr/>
        <a:lstStyle/>
        <a:p>
          <a:endParaRPr lang="en-ZA"/>
        </a:p>
      </dgm:t>
    </dgm:pt>
    <dgm:pt modelId="{E2F09FB3-EB77-4F2A-9CC6-54E21D8F6FFD}">
      <dgm:prSet phldrT="[Text]" custT="1"/>
      <dgm:spPr>
        <a:xfrm>
          <a:off x="468" y="992440"/>
          <a:ext cx="939291" cy="469645"/>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ZA" sz="900">
              <a:solidFill>
                <a:sysClr val="window" lastClr="FFFFFF"/>
              </a:solidFill>
              <a:latin typeface="Times New Roman" panose="02020603050405020304" pitchFamily="18" charset="0"/>
              <a:ea typeface="+mn-ea"/>
              <a:cs typeface="Times New Roman" panose="02020603050405020304" pitchFamily="18" charset="0"/>
            </a:rPr>
            <a:t>Gobeke club</a:t>
          </a:r>
        </a:p>
        <a:p>
          <a:r>
            <a:rPr lang="en-ZA" sz="900">
              <a:solidFill>
                <a:sysClr val="window" lastClr="FFFFFF"/>
              </a:solidFill>
              <a:latin typeface="Times New Roman" panose="02020603050405020304" pitchFamily="18" charset="0"/>
              <a:ea typeface="+mn-ea"/>
              <a:cs typeface="Times New Roman" panose="02020603050405020304" pitchFamily="18" charset="0"/>
            </a:rPr>
            <a:t>11 women: 4 men</a:t>
          </a:r>
        </a:p>
      </dgm:t>
    </dgm:pt>
    <dgm:pt modelId="{4B88CCB4-11CA-40C3-AE45-5332621B817C}" type="parTrans" cxnId="{15ED13DB-6F4A-41A0-AA68-72DDC02ABC96}">
      <dgm:prSet/>
      <dgm:spPr>
        <a:xfrm>
          <a:off x="470114" y="795189"/>
          <a:ext cx="2273085" cy="197251"/>
        </a:xfrm>
        <a:noFill/>
        <a:ln w="25400" cap="flat" cmpd="sng" algn="ctr">
          <a:solidFill>
            <a:srgbClr val="4F81BD">
              <a:shade val="60000"/>
              <a:hueOff val="0"/>
              <a:satOff val="0"/>
              <a:lumOff val="0"/>
              <a:alphaOff val="0"/>
            </a:srgbClr>
          </a:solidFill>
          <a:prstDash val="solid"/>
        </a:ln>
        <a:effectLst/>
      </dgm:spPr>
      <dgm:t>
        <a:bodyPr/>
        <a:lstStyle/>
        <a:p>
          <a:endParaRPr lang="en-ZA"/>
        </a:p>
      </dgm:t>
    </dgm:pt>
    <dgm:pt modelId="{0C39D076-8116-4EE2-95EB-A61CD6302D49}" type="sibTrans" cxnId="{15ED13DB-6F4A-41A0-AA68-72DDC02ABC96}">
      <dgm:prSet/>
      <dgm:spPr/>
      <dgm:t>
        <a:bodyPr/>
        <a:lstStyle/>
        <a:p>
          <a:endParaRPr lang="en-ZA"/>
        </a:p>
      </dgm:t>
    </dgm:pt>
    <dgm:pt modelId="{6FA62798-32FA-477C-B604-BCC94043FF51}">
      <dgm:prSet phldrT="[Text]" custT="1"/>
      <dgm:spPr>
        <a:xfrm>
          <a:off x="1137011" y="992440"/>
          <a:ext cx="939291" cy="469645"/>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ZA" sz="900">
              <a:solidFill>
                <a:sysClr val="window" lastClr="FFFFFF"/>
              </a:solidFill>
              <a:latin typeface="Times New Roman" panose="02020603050405020304" pitchFamily="18" charset="0"/>
              <a:ea typeface="+mn-ea"/>
              <a:cs typeface="Times New Roman" panose="02020603050405020304" pitchFamily="18" charset="0"/>
            </a:rPr>
            <a:t>Chikomba club</a:t>
          </a:r>
        </a:p>
        <a:p>
          <a:r>
            <a:rPr lang="en-ZA" sz="900">
              <a:solidFill>
                <a:sysClr val="window" lastClr="FFFFFF"/>
              </a:solidFill>
              <a:latin typeface="Times New Roman" panose="02020603050405020304" pitchFamily="18" charset="0"/>
              <a:ea typeface="+mn-ea"/>
              <a:cs typeface="Times New Roman" panose="02020603050405020304" pitchFamily="18" charset="0"/>
            </a:rPr>
            <a:t>10 women: 5 men</a:t>
          </a:r>
        </a:p>
      </dgm:t>
    </dgm:pt>
    <dgm:pt modelId="{2601A146-6B39-4A48-B065-45852ED870CF}" type="parTrans" cxnId="{BEABCAAC-E94C-4DE9-83A9-2EACEA1D2371}">
      <dgm:prSet/>
      <dgm:spPr>
        <a:xfrm>
          <a:off x="1606657" y="795189"/>
          <a:ext cx="1136542" cy="197251"/>
        </a:xfrm>
        <a:noFill/>
        <a:ln w="25400" cap="flat" cmpd="sng" algn="ctr">
          <a:solidFill>
            <a:srgbClr val="4F81BD">
              <a:shade val="60000"/>
              <a:hueOff val="0"/>
              <a:satOff val="0"/>
              <a:lumOff val="0"/>
              <a:alphaOff val="0"/>
            </a:srgbClr>
          </a:solidFill>
          <a:prstDash val="solid"/>
        </a:ln>
        <a:effectLst/>
      </dgm:spPr>
      <dgm:t>
        <a:bodyPr/>
        <a:lstStyle/>
        <a:p>
          <a:endParaRPr lang="en-ZA"/>
        </a:p>
      </dgm:t>
    </dgm:pt>
    <dgm:pt modelId="{ED2A902B-5B2F-4BAA-A997-BAA011DCC668}" type="sibTrans" cxnId="{BEABCAAC-E94C-4DE9-83A9-2EACEA1D2371}">
      <dgm:prSet/>
      <dgm:spPr/>
      <dgm:t>
        <a:bodyPr/>
        <a:lstStyle/>
        <a:p>
          <a:endParaRPr lang="en-ZA"/>
        </a:p>
      </dgm:t>
    </dgm:pt>
    <dgm:pt modelId="{C1F1D56D-C0E6-42C3-AA9F-63DDE36852B0}">
      <dgm:prSet phldrT="[Text]" custT="1"/>
      <dgm:spPr>
        <a:xfrm>
          <a:off x="2273554" y="992440"/>
          <a:ext cx="939291" cy="469645"/>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ZA" sz="900">
              <a:solidFill>
                <a:sysClr val="window" lastClr="FFFFFF"/>
              </a:solidFill>
              <a:latin typeface="Times New Roman" panose="02020603050405020304" pitchFamily="18" charset="0"/>
              <a:ea typeface="+mn-ea"/>
              <a:cs typeface="Times New Roman" panose="02020603050405020304" pitchFamily="18" charset="0"/>
            </a:rPr>
            <a:t>Chimwalira club</a:t>
          </a:r>
        </a:p>
        <a:p>
          <a:r>
            <a:rPr lang="en-ZA" sz="900">
              <a:solidFill>
                <a:sysClr val="window" lastClr="FFFFFF"/>
              </a:solidFill>
              <a:latin typeface="Times New Roman" panose="02020603050405020304" pitchFamily="18" charset="0"/>
              <a:ea typeface="+mn-ea"/>
              <a:cs typeface="Times New Roman" panose="02020603050405020304" pitchFamily="18" charset="0"/>
            </a:rPr>
            <a:t>12 women: 3 men</a:t>
          </a:r>
        </a:p>
      </dgm:t>
    </dgm:pt>
    <dgm:pt modelId="{704E25E8-02C0-4255-ABF7-59C744B5F60E}" type="parTrans" cxnId="{933E4A91-3574-4EB9-A376-91BBE7D27532}">
      <dgm:prSet/>
      <dgm:spPr>
        <a:xfrm>
          <a:off x="2697480" y="795189"/>
          <a:ext cx="91440" cy="197251"/>
        </a:xfrm>
        <a:noFill/>
        <a:ln w="25400" cap="flat" cmpd="sng" algn="ctr">
          <a:solidFill>
            <a:srgbClr val="4F81BD">
              <a:shade val="60000"/>
              <a:hueOff val="0"/>
              <a:satOff val="0"/>
              <a:lumOff val="0"/>
              <a:alphaOff val="0"/>
            </a:srgbClr>
          </a:solidFill>
          <a:prstDash val="solid"/>
        </a:ln>
        <a:effectLst/>
      </dgm:spPr>
      <dgm:t>
        <a:bodyPr/>
        <a:lstStyle/>
        <a:p>
          <a:endParaRPr lang="en-ZA"/>
        </a:p>
      </dgm:t>
    </dgm:pt>
    <dgm:pt modelId="{26CD3E08-EFD9-45E0-BBCF-8516EAF20F9D}" type="sibTrans" cxnId="{933E4A91-3574-4EB9-A376-91BBE7D27532}">
      <dgm:prSet/>
      <dgm:spPr/>
      <dgm:t>
        <a:bodyPr/>
        <a:lstStyle/>
        <a:p>
          <a:endParaRPr lang="en-ZA"/>
        </a:p>
      </dgm:t>
    </dgm:pt>
    <dgm:pt modelId="{B378FD06-F2AD-467E-A757-2B97AC396708}">
      <dgm:prSet custT="1"/>
      <dgm:spPr>
        <a:xfrm>
          <a:off x="3410096" y="992440"/>
          <a:ext cx="939291" cy="469645"/>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ZA" sz="900">
              <a:solidFill>
                <a:sysClr val="window" lastClr="FFFFFF"/>
              </a:solidFill>
              <a:latin typeface="Times New Roman" panose="02020603050405020304" pitchFamily="18" charset="0"/>
              <a:ea typeface="+mn-ea"/>
              <a:cs typeface="Times New Roman" panose="02020603050405020304" pitchFamily="18" charset="0"/>
            </a:rPr>
            <a:t>Namichimba club</a:t>
          </a:r>
        </a:p>
        <a:p>
          <a:r>
            <a:rPr lang="en-ZA" sz="900">
              <a:solidFill>
                <a:sysClr val="window" lastClr="FFFFFF"/>
              </a:solidFill>
              <a:latin typeface="Times New Roman" panose="02020603050405020304" pitchFamily="18" charset="0"/>
              <a:ea typeface="+mn-ea"/>
              <a:cs typeface="Times New Roman" panose="02020603050405020304" pitchFamily="18" charset="0"/>
            </a:rPr>
            <a:t>13 women: 2 men</a:t>
          </a:r>
        </a:p>
      </dgm:t>
    </dgm:pt>
    <dgm:pt modelId="{1455C3CD-7993-4CA9-91D7-6B5AB40EE198}" type="parTrans" cxnId="{4F2C0DD1-797C-46D7-9061-F98419E21980}">
      <dgm:prSet/>
      <dgm:spPr>
        <a:xfrm>
          <a:off x="2743200" y="795189"/>
          <a:ext cx="1136542" cy="197251"/>
        </a:xfrm>
        <a:noFill/>
        <a:ln w="25400" cap="flat" cmpd="sng" algn="ctr">
          <a:solidFill>
            <a:srgbClr val="4F81BD">
              <a:shade val="60000"/>
              <a:hueOff val="0"/>
              <a:satOff val="0"/>
              <a:lumOff val="0"/>
              <a:alphaOff val="0"/>
            </a:srgbClr>
          </a:solidFill>
          <a:prstDash val="solid"/>
        </a:ln>
        <a:effectLst/>
      </dgm:spPr>
      <dgm:t>
        <a:bodyPr/>
        <a:lstStyle/>
        <a:p>
          <a:endParaRPr lang="en-ZA"/>
        </a:p>
      </dgm:t>
    </dgm:pt>
    <dgm:pt modelId="{4E3C199F-DDC5-4B2D-AF4D-EF5730572191}" type="sibTrans" cxnId="{4F2C0DD1-797C-46D7-9061-F98419E21980}">
      <dgm:prSet/>
      <dgm:spPr/>
      <dgm:t>
        <a:bodyPr/>
        <a:lstStyle/>
        <a:p>
          <a:endParaRPr lang="en-ZA"/>
        </a:p>
      </dgm:t>
    </dgm:pt>
    <dgm:pt modelId="{678A4DD3-40CA-456F-B6E4-D93655BE051B}">
      <dgm:prSet custT="1"/>
      <dgm:spPr>
        <a:xfrm>
          <a:off x="4546639" y="992440"/>
          <a:ext cx="939291" cy="469645"/>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ZA" sz="900">
              <a:solidFill>
                <a:sysClr val="window" lastClr="FFFFFF"/>
              </a:solidFill>
              <a:latin typeface="Times New Roman" panose="02020603050405020304" pitchFamily="18" charset="0"/>
              <a:ea typeface="+mn-ea"/>
              <a:cs typeface="Times New Roman" panose="02020603050405020304" pitchFamily="18" charset="0"/>
            </a:rPr>
            <a:t>Lithethe club</a:t>
          </a:r>
        </a:p>
        <a:p>
          <a:r>
            <a:rPr lang="en-ZA" sz="900">
              <a:solidFill>
                <a:sysClr val="window" lastClr="FFFFFF"/>
              </a:solidFill>
              <a:latin typeface="Times New Roman" panose="02020603050405020304" pitchFamily="18" charset="0"/>
              <a:ea typeface="+mn-ea"/>
              <a:cs typeface="Times New Roman" panose="02020603050405020304" pitchFamily="18" charset="0"/>
            </a:rPr>
            <a:t>10 women: 5 men</a:t>
          </a:r>
        </a:p>
      </dgm:t>
    </dgm:pt>
    <dgm:pt modelId="{5E214884-F313-4AA0-A2BF-05D8E1C9609C}" type="parTrans" cxnId="{7E4FFE84-064C-4145-A743-7C9EF35B4232}">
      <dgm:prSet/>
      <dgm:spPr>
        <a:xfrm>
          <a:off x="2743200" y="795189"/>
          <a:ext cx="2273085" cy="197251"/>
        </a:xfrm>
        <a:noFill/>
        <a:ln w="25400" cap="flat" cmpd="sng" algn="ctr">
          <a:solidFill>
            <a:srgbClr val="4F81BD">
              <a:shade val="60000"/>
              <a:hueOff val="0"/>
              <a:satOff val="0"/>
              <a:lumOff val="0"/>
              <a:alphaOff val="0"/>
            </a:srgbClr>
          </a:solidFill>
          <a:prstDash val="solid"/>
        </a:ln>
        <a:effectLst/>
      </dgm:spPr>
      <dgm:t>
        <a:bodyPr/>
        <a:lstStyle/>
        <a:p>
          <a:endParaRPr lang="en-ZA"/>
        </a:p>
      </dgm:t>
    </dgm:pt>
    <dgm:pt modelId="{765BFA9D-9812-46CA-A8E9-458B5D89C0A3}" type="sibTrans" cxnId="{7E4FFE84-064C-4145-A743-7C9EF35B4232}">
      <dgm:prSet/>
      <dgm:spPr/>
      <dgm:t>
        <a:bodyPr/>
        <a:lstStyle/>
        <a:p>
          <a:endParaRPr lang="en-ZA"/>
        </a:p>
      </dgm:t>
    </dgm:pt>
    <dgm:pt modelId="{7D213CAB-5C08-4175-B18F-0D82BAEBD7BD}" type="pres">
      <dgm:prSet presAssocID="{247CD7F5-3459-4F06-98ED-18E91B9E7E66}" presName="hierChild1" presStyleCnt="0">
        <dgm:presLayoutVars>
          <dgm:orgChart val="1"/>
          <dgm:chPref val="1"/>
          <dgm:dir/>
          <dgm:animOne val="branch"/>
          <dgm:animLvl val="lvl"/>
          <dgm:resizeHandles/>
        </dgm:presLayoutVars>
      </dgm:prSet>
      <dgm:spPr/>
      <dgm:t>
        <a:bodyPr/>
        <a:lstStyle/>
        <a:p>
          <a:endParaRPr lang="en-ZA"/>
        </a:p>
      </dgm:t>
    </dgm:pt>
    <dgm:pt modelId="{AE65A0C7-14AE-4567-B432-BFCFB6157DB0}" type="pres">
      <dgm:prSet presAssocID="{9F628ED9-7211-4613-8530-49CDC302720F}" presName="hierRoot1" presStyleCnt="0">
        <dgm:presLayoutVars>
          <dgm:hierBranch val="init"/>
        </dgm:presLayoutVars>
      </dgm:prSet>
      <dgm:spPr/>
    </dgm:pt>
    <dgm:pt modelId="{88A614DC-2004-46F0-B9C1-610E3A2E3302}" type="pres">
      <dgm:prSet presAssocID="{9F628ED9-7211-4613-8530-49CDC302720F}" presName="rootComposite1" presStyleCnt="0"/>
      <dgm:spPr/>
    </dgm:pt>
    <dgm:pt modelId="{AD069CAD-5AA2-4903-8359-A170CDD55344}" type="pres">
      <dgm:prSet presAssocID="{9F628ED9-7211-4613-8530-49CDC302720F}" presName="rootText1" presStyleLbl="node0" presStyleIdx="0" presStyleCnt="1" custScaleY="141937">
        <dgm:presLayoutVars>
          <dgm:chPref val="3"/>
        </dgm:presLayoutVars>
      </dgm:prSet>
      <dgm:spPr>
        <a:prstGeom prst="rect">
          <a:avLst/>
        </a:prstGeom>
      </dgm:spPr>
      <dgm:t>
        <a:bodyPr/>
        <a:lstStyle/>
        <a:p>
          <a:endParaRPr lang="en-ZA"/>
        </a:p>
      </dgm:t>
    </dgm:pt>
    <dgm:pt modelId="{927E68A8-4D8A-4D84-BC27-4EC6438C5C8F}" type="pres">
      <dgm:prSet presAssocID="{9F628ED9-7211-4613-8530-49CDC302720F}" presName="rootConnector1" presStyleLbl="node1" presStyleIdx="0" presStyleCnt="0"/>
      <dgm:spPr/>
      <dgm:t>
        <a:bodyPr/>
        <a:lstStyle/>
        <a:p>
          <a:endParaRPr lang="en-ZA"/>
        </a:p>
      </dgm:t>
    </dgm:pt>
    <dgm:pt modelId="{D519A51D-2BE9-49B8-BE77-F3F35EA5EC62}" type="pres">
      <dgm:prSet presAssocID="{9F628ED9-7211-4613-8530-49CDC302720F}" presName="hierChild2" presStyleCnt="0"/>
      <dgm:spPr/>
    </dgm:pt>
    <dgm:pt modelId="{1BF61B9C-1342-4B43-9E16-1D15DB707BEB}" type="pres">
      <dgm:prSet presAssocID="{4B88CCB4-11CA-40C3-AE45-5332621B817C}" presName="Name37" presStyleLbl="parChTrans1D2" presStyleIdx="0" presStyleCnt="5"/>
      <dgm:spPr>
        <a:custGeom>
          <a:avLst/>
          <a:gdLst/>
          <a:ahLst/>
          <a:cxnLst/>
          <a:rect l="0" t="0" r="0" b="0"/>
          <a:pathLst>
            <a:path>
              <a:moveTo>
                <a:pt x="2273085" y="0"/>
              </a:moveTo>
              <a:lnTo>
                <a:pt x="2273085" y="98625"/>
              </a:lnTo>
              <a:lnTo>
                <a:pt x="0" y="98625"/>
              </a:lnTo>
              <a:lnTo>
                <a:pt x="0" y="197251"/>
              </a:lnTo>
            </a:path>
          </a:pathLst>
        </a:custGeom>
      </dgm:spPr>
      <dgm:t>
        <a:bodyPr/>
        <a:lstStyle/>
        <a:p>
          <a:endParaRPr lang="en-ZA"/>
        </a:p>
      </dgm:t>
    </dgm:pt>
    <dgm:pt modelId="{A2EE7477-2290-4620-8377-102C8B2FBEAA}" type="pres">
      <dgm:prSet presAssocID="{E2F09FB3-EB77-4F2A-9CC6-54E21D8F6FFD}" presName="hierRoot2" presStyleCnt="0">
        <dgm:presLayoutVars>
          <dgm:hierBranch val="init"/>
        </dgm:presLayoutVars>
      </dgm:prSet>
      <dgm:spPr/>
    </dgm:pt>
    <dgm:pt modelId="{7E10B767-E75C-4E52-AC0B-163D01639723}" type="pres">
      <dgm:prSet presAssocID="{E2F09FB3-EB77-4F2A-9CC6-54E21D8F6FFD}" presName="rootComposite" presStyleCnt="0"/>
      <dgm:spPr/>
    </dgm:pt>
    <dgm:pt modelId="{E356C4E9-7DF5-4EB5-84A5-69C9F2F5ADA5}" type="pres">
      <dgm:prSet presAssocID="{E2F09FB3-EB77-4F2A-9CC6-54E21D8F6FFD}" presName="rootText" presStyleLbl="node2" presStyleIdx="0" presStyleCnt="5">
        <dgm:presLayoutVars>
          <dgm:chPref val="3"/>
        </dgm:presLayoutVars>
      </dgm:prSet>
      <dgm:spPr>
        <a:prstGeom prst="rect">
          <a:avLst/>
        </a:prstGeom>
      </dgm:spPr>
      <dgm:t>
        <a:bodyPr/>
        <a:lstStyle/>
        <a:p>
          <a:endParaRPr lang="en-ZA"/>
        </a:p>
      </dgm:t>
    </dgm:pt>
    <dgm:pt modelId="{066DCB9A-067A-4F57-B13A-4AF34360F494}" type="pres">
      <dgm:prSet presAssocID="{E2F09FB3-EB77-4F2A-9CC6-54E21D8F6FFD}" presName="rootConnector" presStyleLbl="node2" presStyleIdx="0" presStyleCnt="5"/>
      <dgm:spPr/>
      <dgm:t>
        <a:bodyPr/>
        <a:lstStyle/>
        <a:p>
          <a:endParaRPr lang="en-ZA"/>
        </a:p>
      </dgm:t>
    </dgm:pt>
    <dgm:pt modelId="{A9AE1B16-E782-42C8-86D7-0CFF6157539C}" type="pres">
      <dgm:prSet presAssocID="{E2F09FB3-EB77-4F2A-9CC6-54E21D8F6FFD}" presName="hierChild4" presStyleCnt="0"/>
      <dgm:spPr/>
    </dgm:pt>
    <dgm:pt modelId="{60B147A6-9C72-4774-89EF-3199FA63571E}" type="pres">
      <dgm:prSet presAssocID="{E2F09FB3-EB77-4F2A-9CC6-54E21D8F6FFD}" presName="hierChild5" presStyleCnt="0"/>
      <dgm:spPr/>
    </dgm:pt>
    <dgm:pt modelId="{FF24C17D-DC3D-4E50-AC3C-F9F29A57EEE1}" type="pres">
      <dgm:prSet presAssocID="{2601A146-6B39-4A48-B065-45852ED870CF}" presName="Name37" presStyleLbl="parChTrans1D2" presStyleIdx="1" presStyleCnt="5"/>
      <dgm:spPr>
        <a:custGeom>
          <a:avLst/>
          <a:gdLst/>
          <a:ahLst/>
          <a:cxnLst/>
          <a:rect l="0" t="0" r="0" b="0"/>
          <a:pathLst>
            <a:path>
              <a:moveTo>
                <a:pt x="1136542" y="0"/>
              </a:moveTo>
              <a:lnTo>
                <a:pt x="1136542" y="98625"/>
              </a:lnTo>
              <a:lnTo>
                <a:pt x="0" y="98625"/>
              </a:lnTo>
              <a:lnTo>
                <a:pt x="0" y="197251"/>
              </a:lnTo>
            </a:path>
          </a:pathLst>
        </a:custGeom>
      </dgm:spPr>
      <dgm:t>
        <a:bodyPr/>
        <a:lstStyle/>
        <a:p>
          <a:endParaRPr lang="en-ZA"/>
        </a:p>
      </dgm:t>
    </dgm:pt>
    <dgm:pt modelId="{5932A205-35EC-40B5-A38D-C07FE58C1BFA}" type="pres">
      <dgm:prSet presAssocID="{6FA62798-32FA-477C-B604-BCC94043FF51}" presName="hierRoot2" presStyleCnt="0">
        <dgm:presLayoutVars>
          <dgm:hierBranch val="init"/>
        </dgm:presLayoutVars>
      </dgm:prSet>
      <dgm:spPr/>
    </dgm:pt>
    <dgm:pt modelId="{2016CC41-FFD6-46AE-84AF-50ED19EA6155}" type="pres">
      <dgm:prSet presAssocID="{6FA62798-32FA-477C-B604-BCC94043FF51}" presName="rootComposite" presStyleCnt="0"/>
      <dgm:spPr/>
    </dgm:pt>
    <dgm:pt modelId="{43E47761-3880-4599-91E0-9DFF7253960C}" type="pres">
      <dgm:prSet presAssocID="{6FA62798-32FA-477C-B604-BCC94043FF51}" presName="rootText" presStyleLbl="node2" presStyleIdx="1" presStyleCnt="5">
        <dgm:presLayoutVars>
          <dgm:chPref val="3"/>
        </dgm:presLayoutVars>
      </dgm:prSet>
      <dgm:spPr>
        <a:prstGeom prst="rect">
          <a:avLst/>
        </a:prstGeom>
      </dgm:spPr>
      <dgm:t>
        <a:bodyPr/>
        <a:lstStyle/>
        <a:p>
          <a:endParaRPr lang="en-ZA"/>
        </a:p>
      </dgm:t>
    </dgm:pt>
    <dgm:pt modelId="{B428765B-EB05-4C4E-BA22-37C430C1C35D}" type="pres">
      <dgm:prSet presAssocID="{6FA62798-32FA-477C-B604-BCC94043FF51}" presName="rootConnector" presStyleLbl="node2" presStyleIdx="1" presStyleCnt="5"/>
      <dgm:spPr/>
      <dgm:t>
        <a:bodyPr/>
        <a:lstStyle/>
        <a:p>
          <a:endParaRPr lang="en-ZA"/>
        </a:p>
      </dgm:t>
    </dgm:pt>
    <dgm:pt modelId="{2DF83ABE-7354-408D-9180-E2C5E0C89BB8}" type="pres">
      <dgm:prSet presAssocID="{6FA62798-32FA-477C-B604-BCC94043FF51}" presName="hierChild4" presStyleCnt="0"/>
      <dgm:spPr/>
    </dgm:pt>
    <dgm:pt modelId="{C92D4E40-5EE0-4C44-BCA4-3960E3D72A9D}" type="pres">
      <dgm:prSet presAssocID="{6FA62798-32FA-477C-B604-BCC94043FF51}" presName="hierChild5" presStyleCnt="0"/>
      <dgm:spPr/>
    </dgm:pt>
    <dgm:pt modelId="{0C1E412F-D282-444D-956A-CAA3723D3A73}" type="pres">
      <dgm:prSet presAssocID="{704E25E8-02C0-4255-ABF7-59C744B5F60E}" presName="Name37" presStyleLbl="parChTrans1D2" presStyleIdx="2" presStyleCnt="5"/>
      <dgm:spPr>
        <a:custGeom>
          <a:avLst/>
          <a:gdLst/>
          <a:ahLst/>
          <a:cxnLst/>
          <a:rect l="0" t="0" r="0" b="0"/>
          <a:pathLst>
            <a:path>
              <a:moveTo>
                <a:pt x="45720" y="0"/>
              </a:moveTo>
              <a:lnTo>
                <a:pt x="45720" y="197251"/>
              </a:lnTo>
            </a:path>
          </a:pathLst>
        </a:custGeom>
      </dgm:spPr>
      <dgm:t>
        <a:bodyPr/>
        <a:lstStyle/>
        <a:p>
          <a:endParaRPr lang="en-ZA"/>
        </a:p>
      </dgm:t>
    </dgm:pt>
    <dgm:pt modelId="{E80E9847-B33F-407C-A9ED-62AD5F68FC6E}" type="pres">
      <dgm:prSet presAssocID="{C1F1D56D-C0E6-42C3-AA9F-63DDE36852B0}" presName="hierRoot2" presStyleCnt="0">
        <dgm:presLayoutVars>
          <dgm:hierBranch val="init"/>
        </dgm:presLayoutVars>
      </dgm:prSet>
      <dgm:spPr/>
    </dgm:pt>
    <dgm:pt modelId="{72699D50-08F0-4D4D-A79E-A99E26278D90}" type="pres">
      <dgm:prSet presAssocID="{C1F1D56D-C0E6-42C3-AA9F-63DDE36852B0}" presName="rootComposite" presStyleCnt="0"/>
      <dgm:spPr/>
    </dgm:pt>
    <dgm:pt modelId="{6776C396-8250-463D-905A-9A9991C790B8}" type="pres">
      <dgm:prSet presAssocID="{C1F1D56D-C0E6-42C3-AA9F-63DDE36852B0}" presName="rootText" presStyleLbl="node2" presStyleIdx="2" presStyleCnt="5">
        <dgm:presLayoutVars>
          <dgm:chPref val="3"/>
        </dgm:presLayoutVars>
      </dgm:prSet>
      <dgm:spPr>
        <a:prstGeom prst="rect">
          <a:avLst/>
        </a:prstGeom>
      </dgm:spPr>
      <dgm:t>
        <a:bodyPr/>
        <a:lstStyle/>
        <a:p>
          <a:endParaRPr lang="en-ZA"/>
        </a:p>
      </dgm:t>
    </dgm:pt>
    <dgm:pt modelId="{5538D78B-D79C-4298-BFCF-735D3B4DD09B}" type="pres">
      <dgm:prSet presAssocID="{C1F1D56D-C0E6-42C3-AA9F-63DDE36852B0}" presName="rootConnector" presStyleLbl="node2" presStyleIdx="2" presStyleCnt="5"/>
      <dgm:spPr/>
      <dgm:t>
        <a:bodyPr/>
        <a:lstStyle/>
        <a:p>
          <a:endParaRPr lang="en-ZA"/>
        </a:p>
      </dgm:t>
    </dgm:pt>
    <dgm:pt modelId="{58528DFA-D936-47DA-AE7E-F845C546187D}" type="pres">
      <dgm:prSet presAssocID="{C1F1D56D-C0E6-42C3-AA9F-63DDE36852B0}" presName="hierChild4" presStyleCnt="0"/>
      <dgm:spPr/>
    </dgm:pt>
    <dgm:pt modelId="{D6C8E675-00BF-4DF8-AE61-5F194E081DE7}" type="pres">
      <dgm:prSet presAssocID="{C1F1D56D-C0E6-42C3-AA9F-63DDE36852B0}" presName="hierChild5" presStyleCnt="0"/>
      <dgm:spPr/>
    </dgm:pt>
    <dgm:pt modelId="{0A31A15D-7F2D-40CE-98D2-0BE650DCDD13}" type="pres">
      <dgm:prSet presAssocID="{1455C3CD-7993-4CA9-91D7-6B5AB40EE198}" presName="Name37" presStyleLbl="parChTrans1D2" presStyleIdx="3" presStyleCnt="5"/>
      <dgm:spPr>
        <a:custGeom>
          <a:avLst/>
          <a:gdLst/>
          <a:ahLst/>
          <a:cxnLst/>
          <a:rect l="0" t="0" r="0" b="0"/>
          <a:pathLst>
            <a:path>
              <a:moveTo>
                <a:pt x="0" y="0"/>
              </a:moveTo>
              <a:lnTo>
                <a:pt x="0" y="98625"/>
              </a:lnTo>
              <a:lnTo>
                <a:pt x="1136542" y="98625"/>
              </a:lnTo>
              <a:lnTo>
                <a:pt x="1136542" y="197251"/>
              </a:lnTo>
            </a:path>
          </a:pathLst>
        </a:custGeom>
      </dgm:spPr>
      <dgm:t>
        <a:bodyPr/>
        <a:lstStyle/>
        <a:p>
          <a:endParaRPr lang="en-ZA"/>
        </a:p>
      </dgm:t>
    </dgm:pt>
    <dgm:pt modelId="{E57BD04F-9A8D-468B-8ECA-04FF0DCDDE9A}" type="pres">
      <dgm:prSet presAssocID="{B378FD06-F2AD-467E-A757-2B97AC396708}" presName="hierRoot2" presStyleCnt="0">
        <dgm:presLayoutVars>
          <dgm:hierBranch val="init"/>
        </dgm:presLayoutVars>
      </dgm:prSet>
      <dgm:spPr/>
    </dgm:pt>
    <dgm:pt modelId="{062570E7-C156-45FA-AE66-456C56861210}" type="pres">
      <dgm:prSet presAssocID="{B378FD06-F2AD-467E-A757-2B97AC396708}" presName="rootComposite" presStyleCnt="0"/>
      <dgm:spPr/>
    </dgm:pt>
    <dgm:pt modelId="{BA4FD554-4759-4C55-B36A-A39ED3B63945}" type="pres">
      <dgm:prSet presAssocID="{B378FD06-F2AD-467E-A757-2B97AC396708}" presName="rootText" presStyleLbl="node2" presStyleIdx="3" presStyleCnt="5">
        <dgm:presLayoutVars>
          <dgm:chPref val="3"/>
        </dgm:presLayoutVars>
      </dgm:prSet>
      <dgm:spPr>
        <a:prstGeom prst="rect">
          <a:avLst/>
        </a:prstGeom>
      </dgm:spPr>
      <dgm:t>
        <a:bodyPr/>
        <a:lstStyle/>
        <a:p>
          <a:endParaRPr lang="en-ZA"/>
        </a:p>
      </dgm:t>
    </dgm:pt>
    <dgm:pt modelId="{855C61C2-F074-45BF-A82B-CE9EA804F491}" type="pres">
      <dgm:prSet presAssocID="{B378FD06-F2AD-467E-A757-2B97AC396708}" presName="rootConnector" presStyleLbl="node2" presStyleIdx="3" presStyleCnt="5"/>
      <dgm:spPr/>
      <dgm:t>
        <a:bodyPr/>
        <a:lstStyle/>
        <a:p>
          <a:endParaRPr lang="en-ZA"/>
        </a:p>
      </dgm:t>
    </dgm:pt>
    <dgm:pt modelId="{37815DA9-89AD-4E75-831F-26CBA1A9F3C3}" type="pres">
      <dgm:prSet presAssocID="{B378FD06-F2AD-467E-A757-2B97AC396708}" presName="hierChild4" presStyleCnt="0"/>
      <dgm:spPr/>
    </dgm:pt>
    <dgm:pt modelId="{4129C186-C350-4523-9112-186D0D9EBA4D}" type="pres">
      <dgm:prSet presAssocID="{B378FD06-F2AD-467E-A757-2B97AC396708}" presName="hierChild5" presStyleCnt="0"/>
      <dgm:spPr/>
    </dgm:pt>
    <dgm:pt modelId="{41BBBD75-AE33-4503-80A2-5A73756E1882}" type="pres">
      <dgm:prSet presAssocID="{5E214884-F313-4AA0-A2BF-05D8E1C9609C}" presName="Name37" presStyleLbl="parChTrans1D2" presStyleIdx="4" presStyleCnt="5"/>
      <dgm:spPr>
        <a:custGeom>
          <a:avLst/>
          <a:gdLst/>
          <a:ahLst/>
          <a:cxnLst/>
          <a:rect l="0" t="0" r="0" b="0"/>
          <a:pathLst>
            <a:path>
              <a:moveTo>
                <a:pt x="0" y="0"/>
              </a:moveTo>
              <a:lnTo>
                <a:pt x="0" y="98625"/>
              </a:lnTo>
              <a:lnTo>
                <a:pt x="2273085" y="98625"/>
              </a:lnTo>
              <a:lnTo>
                <a:pt x="2273085" y="197251"/>
              </a:lnTo>
            </a:path>
          </a:pathLst>
        </a:custGeom>
      </dgm:spPr>
      <dgm:t>
        <a:bodyPr/>
        <a:lstStyle/>
        <a:p>
          <a:endParaRPr lang="en-ZA"/>
        </a:p>
      </dgm:t>
    </dgm:pt>
    <dgm:pt modelId="{A88671AC-E7FE-4DAC-B994-F5712C50D5F2}" type="pres">
      <dgm:prSet presAssocID="{678A4DD3-40CA-456F-B6E4-D93655BE051B}" presName="hierRoot2" presStyleCnt="0">
        <dgm:presLayoutVars>
          <dgm:hierBranch val="init"/>
        </dgm:presLayoutVars>
      </dgm:prSet>
      <dgm:spPr/>
    </dgm:pt>
    <dgm:pt modelId="{CEB6557D-2A92-474A-AA3F-EBDD58ACDF05}" type="pres">
      <dgm:prSet presAssocID="{678A4DD3-40CA-456F-B6E4-D93655BE051B}" presName="rootComposite" presStyleCnt="0"/>
      <dgm:spPr/>
    </dgm:pt>
    <dgm:pt modelId="{1FCFEEC0-F88C-4DC6-8F67-8119E7895768}" type="pres">
      <dgm:prSet presAssocID="{678A4DD3-40CA-456F-B6E4-D93655BE051B}" presName="rootText" presStyleLbl="node2" presStyleIdx="4" presStyleCnt="5">
        <dgm:presLayoutVars>
          <dgm:chPref val="3"/>
        </dgm:presLayoutVars>
      </dgm:prSet>
      <dgm:spPr>
        <a:prstGeom prst="rect">
          <a:avLst/>
        </a:prstGeom>
      </dgm:spPr>
      <dgm:t>
        <a:bodyPr/>
        <a:lstStyle/>
        <a:p>
          <a:endParaRPr lang="en-ZA"/>
        </a:p>
      </dgm:t>
    </dgm:pt>
    <dgm:pt modelId="{5AC83D5D-4CC6-4100-AEEB-D6437E323A40}" type="pres">
      <dgm:prSet presAssocID="{678A4DD3-40CA-456F-B6E4-D93655BE051B}" presName="rootConnector" presStyleLbl="node2" presStyleIdx="4" presStyleCnt="5"/>
      <dgm:spPr/>
      <dgm:t>
        <a:bodyPr/>
        <a:lstStyle/>
        <a:p>
          <a:endParaRPr lang="en-ZA"/>
        </a:p>
      </dgm:t>
    </dgm:pt>
    <dgm:pt modelId="{DB73D874-1295-40C7-85F1-ADDE4106216B}" type="pres">
      <dgm:prSet presAssocID="{678A4DD3-40CA-456F-B6E4-D93655BE051B}" presName="hierChild4" presStyleCnt="0"/>
      <dgm:spPr/>
    </dgm:pt>
    <dgm:pt modelId="{5541EB12-F708-4CE5-8145-BD3697AEBB80}" type="pres">
      <dgm:prSet presAssocID="{678A4DD3-40CA-456F-B6E4-D93655BE051B}" presName="hierChild5" presStyleCnt="0"/>
      <dgm:spPr/>
    </dgm:pt>
    <dgm:pt modelId="{4D2FF924-317A-442E-8DF4-E686D18F73B6}" type="pres">
      <dgm:prSet presAssocID="{9F628ED9-7211-4613-8530-49CDC302720F}" presName="hierChild3" presStyleCnt="0"/>
      <dgm:spPr/>
    </dgm:pt>
  </dgm:ptLst>
  <dgm:cxnLst>
    <dgm:cxn modelId="{D18F118A-00AF-4B1A-B962-747B3F09421A}" type="presOf" srcId="{B378FD06-F2AD-467E-A757-2B97AC396708}" destId="{BA4FD554-4759-4C55-B36A-A39ED3B63945}" srcOrd="0" destOrd="0" presId="urn:microsoft.com/office/officeart/2005/8/layout/orgChart1"/>
    <dgm:cxn modelId="{4CE59DE4-FD0D-4886-AE42-9E48039293AE}" type="presOf" srcId="{C1F1D56D-C0E6-42C3-AA9F-63DDE36852B0}" destId="{6776C396-8250-463D-905A-9A9991C790B8}" srcOrd="0" destOrd="0" presId="urn:microsoft.com/office/officeart/2005/8/layout/orgChart1"/>
    <dgm:cxn modelId="{95F0635B-868B-4B81-A9D8-686CF0568E31}" type="presOf" srcId="{B378FD06-F2AD-467E-A757-2B97AC396708}" destId="{855C61C2-F074-45BF-A82B-CE9EA804F491}" srcOrd="1" destOrd="0" presId="urn:microsoft.com/office/officeart/2005/8/layout/orgChart1"/>
    <dgm:cxn modelId="{7E4AE3B8-8396-4CB3-B992-83632FF0F108}" type="presOf" srcId="{2601A146-6B39-4A48-B065-45852ED870CF}" destId="{FF24C17D-DC3D-4E50-AC3C-F9F29A57EEE1}" srcOrd="0" destOrd="0" presId="urn:microsoft.com/office/officeart/2005/8/layout/orgChart1"/>
    <dgm:cxn modelId="{E68EC39D-385E-4915-9C02-3DF1D8E68B3B}" type="presOf" srcId="{6FA62798-32FA-477C-B604-BCC94043FF51}" destId="{B428765B-EB05-4C4E-BA22-37C430C1C35D}" srcOrd="1" destOrd="0" presId="urn:microsoft.com/office/officeart/2005/8/layout/orgChart1"/>
    <dgm:cxn modelId="{BEABCAAC-E94C-4DE9-83A9-2EACEA1D2371}" srcId="{9F628ED9-7211-4613-8530-49CDC302720F}" destId="{6FA62798-32FA-477C-B604-BCC94043FF51}" srcOrd="1" destOrd="0" parTransId="{2601A146-6B39-4A48-B065-45852ED870CF}" sibTransId="{ED2A902B-5B2F-4BAA-A997-BAA011DCC668}"/>
    <dgm:cxn modelId="{4F2C0DD1-797C-46D7-9061-F98419E21980}" srcId="{9F628ED9-7211-4613-8530-49CDC302720F}" destId="{B378FD06-F2AD-467E-A757-2B97AC396708}" srcOrd="3" destOrd="0" parTransId="{1455C3CD-7993-4CA9-91D7-6B5AB40EE198}" sibTransId="{4E3C199F-DDC5-4B2D-AF4D-EF5730572191}"/>
    <dgm:cxn modelId="{DB7DE061-439B-4073-A9E0-93109EF88690}" type="presOf" srcId="{678A4DD3-40CA-456F-B6E4-D93655BE051B}" destId="{1FCFEEC0-F88C-4DC6-8F67-8119E7895768}" srcOrd="0" destOrd="0" presId="urn:microsoft.com/office/officeart/2005/8/layout/orgChart1"/>
    <dgm:cxn modelId="{F27CC80C-7295-4831-B9EC-88922627AA38}" type="presOf" srcId="{1455C3CD-7993-4CA9-91D7-6B5AB40EE198}" destId="{0A31A15D-7F2D-40CE-98D2-0BE650DCDD13}" srcOrd="0" destOrd="0" presId="urn:microsoft.com/office/officeart/2005/8/layout/orgChart1"/>
    <dgm:cxn modelId="{4AE8F21E-DDDF-4209-B41E-535D124CAF6C}" type="presOf" srcId="{704E25E8-02C0-4255-ABF7-59C744B5F60E}" destId="{0C1E412F-D282-444D-956A-CAA3723D3A73}" srcOrd="0" destOrd="0" presId="urn:microsoft.com/office/officeart/2005/8/layout/orgChart1"/>
    <dgm:cxn modelId="{E6050E31-00F6-4B5A-A6EA-FC3BC78F22D0}" type="presOf" srcId="{678A4DD3-40CA-456F-B6E4-D93655BE051B}" destId="{5AC83D5D-4CC6-4100-AEEB-D6437E323A40}" srcOrd="1" destOrd="0" presId="urn:microsoft.com/office/officeart/2005/8/layout/orgChart1"/>
    <dgm:cxn modelId="{C94E5795-6832-401C-8AF4-97EE7BBC034C}" type="presOf" srcId="{C1F1D56D-C0E6-42C3-AA9F-63DDE36852B0}" destId="{5538D78B-D79C-4298-BFCF-735D3B4DD09B}" srcOrd="1" destOrd="0" presId="urn:microsoft.com/office/officeart/2005/8/layout/orgChart1"/>
    <dgm:cxn modelId="{4A6A246E-4839-472C-8218-D7D117C237EC}" type="presOf" srcId="{5E214884-F313-4AA0-A2BF-05D8E1C9609C}" destId="{41BBBD75-AE33-4503-80A2-5A73756E1882}" srcOrd="0" destOrd="0" presId="urn:microsoft.com/office/officeart/2005/8/layout/orgChart1"/>
    <dgm:cxn modelId="{18A5780A-C4D8-4AF3-8AD4-A57808634A4E}" type="presOf" srcId="{9F628ED9-7211-4613-8530-49CDC302720F}" destId="{AD069CAD-5AA2-4903-8359-A170CDD55344}" srcOrd="0" destOrd="0" presId="urn:microsoft.com/office/officeart/2005/8/layout/orgChart1"/>
    <dgm:cxn modelId="{B1F998A6-6669-47CD-990C-D39EAFF8215A}" srcId="{247CD7F5-3459-4F06-98ED-18E91B9E7E66}" destId="{9F628ED9-7211-4613-8530-49CDC302720F}" srcOrd="0" destOrd="0" parTransId="{E4E0D4E4-7C35-4B63-89BC-2674C761853E}" sibTransId="{9FDC0320-DF44-4592-9F0C-1A74E850A38E}"/>
    <dgm:cxn modelId="{96A77BF6-AF5B-405F-9BC5-41A6BB86BD20}" type="presOf" srcId="{E2F09FB3-EB77-4F2A-9CC6-54E21D8F6FFD}" destId="{066DCB9A-067A-4F57-B13A-4AF34360F494}" srcOrd="1" destOrd="0" presId="urn:microsoft.com/office/officeart/2005/8/layout/orgChart1"/>
    <dgm:cxn modelId="{933E4A91-3574-4EB9-A376-91BBE7D27532}" srcId="{9F628ED9-7211-4613-8530-49CDC302720F}" destId="{C1F1D56D-C0E6-42C3-AA9F-63DDE36852B0}" srcOrd="2" destOrd="0" parTransId="{704E25E8-02C0-4255-ABF7-59C744B5F60E}" sibTransId="{26CD3E08-EFD9-45E0-BBCF-8516EAF20F9D}"/>
    <dgm:cxn modelId="{392FA62E-39CE-4778-BCEF-DD86803618DF}" type="presOf" srcId="{E2F09FB3-EB77-4F2A-9CC6-54E21D8F6FFD}" destId="{E356C4E9-7DF5-4EB5-84A5-69C9F2F5ADA5}" srcOrd="0" destOrd="0" presId="urn:microsoft.com/office/officeart/2005/8/layout/orgChart1"/>
    <dgm:cxn modelId="{15ED13DB-6F4A-41A0-AA68-72DDC02ABC96}" srcId="{9F628ED9-7211-4613-8530-49CDC302720F}" destId="{E2F09FB3-EB77-4F2A-9CC6-54E21D8F6FFD}" srcOrd="0" destOrd="0" parTransId="{4B88CCB4-11CA-40C3-AE45-5332621B817C}" sibTransId="{0C39D076-8116-4EE2-95EB-A61CD6302D49}"/>
    <dgm:cxn modelId="{086D4276-8413-4213-8ECF-E2E1E7A103C7}" type="presOf" srcId="{4B88CCB4-11CA-40C3-AE45-5332621B817C}" destId="{1BF61B9C-1342-4B43-9E16-1D15DB707BEB}" srcOrd="0" destOrd="0" presId="urn:microsoft.com/office/officeart/2005/8/layout/orgChart1"/>
    <dgm:cxn modelId="{C0A00B2B-28A5-43AB-9112-3E958C09A7D7}" type="presOf" srcId="{247CD7F5-3459-4F06-98ED-18E91B9E7E66}" destId="{7D213CAB-5C08-4175-B18F-0D82BAEBD7BD}" srcOrd="0" destOrd="0" presId="urn:microsoft.com/office/officeart/2005/8/layout/orgChart1"/>
    <dgm:cxn modelId="{AEF93BB1-C853-428D-8A0D-BBC8927D3D23}" type="presOf" srcId="{6FA62798-32FA-477C-B604-BCC94043FF51}" destId="{43E47761-3880-4599-91E0-9DFF7253960C}" srcOrd="0" destOrd="0" presId="urn:microsoft.com/office/officeart/2005/8/layout/orgChart1"/>
    <dgm:cxn modelId="{7E4FFE84-064C-4145-A743-7C9EF35B4232}" srcId="{9F628ED9-7211-4613-8530-49CDC302720F}" destId="{678A4DD3-40CA-456F-B6E4-D93655BE051B}" srcOrd="4" destOrd="0" parTransId="{5E214884-F313-4AA0-A2BF-05D8E1C9609C}" sibTransId="{765BFA9D-9812-46CA-A8E9-458B5D89C0A3}"/>
    <dgm:cxn modelId="{EFD8231E-0395-4678-A4B2-A50AA4A9D865}" type="presOf" srcId="{9F628ED9-7211-4613-8530-49CDC302720F}" destId="{927E68A8-4D8A-4D84-BC27-4EC6438C5C8F}" srcOrd="1" destOrd="0" presId="urn:microsoft.com/office/officeart/2005/8/layout/orgChart1"/>
    <dgm:cxn modelId="{B53298D6-7A35-4B14-A3EB-5DE8A5A44142}" type="presParOf" srcId="{7D213CAB-5C08-4175-B18F-0D82BAEBD7BD}" destId="{AE65A0C7-14AE-4567-B432-BFCFB6157DB0}" srcOrd="0" destOrd="0" presId="urn:microsoft.com/office/officeart/2005/8/layout/orgChart1"/>
    <dgm:cxn modelId="{8B6C6433-B4BE-47BA-BEE6-2C2089A0CB68}" type="presParOf" srcId="{AE65A0C7-14AE-4567-B432-BFCFB6157DB0}" destId="{88A614DC-2004-46F0-B9C1-610E3A2E3302}" srcOrd="0" destOrd="0" presId="urn:microsoft.com/office/officeart/2005/8/layout/orgChart1"/>
    <dgm:cxn modelId="{37E58D1D-4C19-4B5C-970C-05BE6035E3D2}" type="presParOf" srcId="{88A614DC-2004-46F0-B9C1-610E3A2E3302}" destId="{AD069CAD-5AA2-4903-8359-A170CDD55344}" srcOrd="0" destOrd="0" presId="urn:microsoft.com/office/officeart/2005/8/layout/orgChart1"/>
    <dgm:cxn modelId="{034EF2E7-7655-4D68-849E-FA218E6D5B39}" type="presParOf" srcId="{88A614DC-2004-46F0-B9C1-610E3A2E3302}" destId="{927E68A8-4D8A-4D84-BC27-4EC6438C5C8F}" srcOrd="1" destOrd="0" presId="urn:microsoft.com/office/officeart/2005/8/layout/orgChart1"/>
    <dgm:cxn modelId="{3B83736D-49C6-4EE3-8D78-AD974094724A}" type="presParOf" srcId="{AE65A0C7-14AE-4567-B432-BFCFB6157DB0}" destId="{D519A51D-2BE9-49B8-BE77-F3F35EA5EC62}" srcOrd="1" destOrd="0" presId="urn:microsoft.com/office/officeart/2005/8/layout/orgChart1"/>
    <dgm:cxn modelId="{422B5431-E926-431E-8D7A-29E136DCA6B0}" type="presParOf" srcId="{D519A51D-2BE9-49B8-BE77-F3F35EA5EC62}" destId="{1BF61B9C-1342-4B43-9E16-1D15DB707BEB}" srcOrd="0" destOrd="0" presId="urn:microsoft.com/office/officeart/2005/8/layout/orgChart1"/>
    <dgm:cxn modelId="{DD60D81F-6104-45CB-88BF-E8701011AEAC}" type="presParOf" srcId="{D519A51D-2BE9-49B8-BE77-F3F35EA5EC62}" destId="{A2EE7477-2290-4620-8377-102C8B2FBEAA}" srcOrd="1" destOrd="0" presId="urn:microsoft.com/office/officeart/2005/8/layout/orgChart1"/>
    <dgm:cxn modelId="{1093BE92-DC28-4C89-8D01-92581049E48F}" type="presParOf" srcId="{A2EE7477-2290-4620-8377-102C8B2FBEAA}" destId="{7E10B767-E75C-4E52-AC0B-163D01639723}" srcOrd="0" destOrd="0" presId="urn:microsoft.com/office/officeart/2005/8/layout/orgChart1"/>
    <dgm:cxn modelId="{AC07594A-3101-4EDC-ACB7-7DC143F74FC1}" type="presParOf" srcId="{7E10B767-E75C-4E52-AC0B-163D01639723}" destId="{E356C4E9-7DF5-4EB5-84A5-69C9F2F5ADA5}" srcOrd="0" destOrd="0" presId="urn:microsoft.com/office/officeart/2005/8/layout/orgChart1"/>
    <dgm:cxn modelId="{908B4955-127F-486E-8203-288FEF06C5AE}" type="presParOf" srcId="{7E10B767-E75C-4E52-AC0B-163D01639723}" destId="{066DCB9A-067A-4F57-B13A-4AF34360F494}" srcOrd="1" destOrd="0" presId="urn:microsoft.com/office/officeart/2005/8/layout/orgChart1"/>
    <dgm:cxn modelId="{57FB4790-FF15-4DD4-B912-8F4CABA5D3B7}" type="presParOf" srcId="{A2EE7477-2290-4620-8377-102C8B2FBEAA}" destId="{A9AE1B16-E782-42C8-86D7-0CFF6157539C}" srcOrd="1" destOrd="0" presId="urn:microsoft.com/office/officeart/2005/8/layout/orgChart1"/>
    <dgm:cxn modelId="{1CBEB59A-F499-4577-888A-F0AB72F0205D}" type="presParOf" srcId="{A2EE7477-2290-4620-8377-102C8B2FBEAA}" destId="{60B147A6-9C72-4774-89EF-3199FA63571E}" srcOrd="2" destOrd="0" presId="urn:microsoft.com/office/officeart/2005/8/layout/orgChart1"/>
    <dgm:cxn modelId="{6F672013-DB6F-4A51-805B-22D174CF70AF}" type="presParOf" srcId="{D519A51D-2BE9-49B8-BE77-F3F35EA5EC62}" destId="{FF24C17D-DC3D-4E50-AC3C-F9F29A57EEE1}" srcOrd="2" destOrd="0" presId="urn:microsoft.com/office/officeart/2005/8/layout/orgChart1"/>
    <dgm:cxn modelId="{F6F2433E-2548-4F79-BFAF-EEF8D39F40E1}" type="presParOf" srcId="{D519A51D-2BE9-49B8-BE77-F3F35EA5EC62}" destId="{5932A205-35EC-40B5-A38D-C07FE58C1BFA}" srcOrd="3" destOrd="0" presId="urn:microsoft.com/office/officeart/2005/8/layout/orgChart1"/>
    <dgm:cxn modelId="{9D6C412C-9CF1-40FD-918C-F2136424F89A}" type="presParOf" srcId="{5932A205-35EC-40B5-A38D-C07FE58C1BFA}" destId="{2016CC41-FFD6-46AE-84AF-50ED19EA6155}" srcOrd="0" destOrd="0" presId="urn:microsoft.com/office/officeart/2005/8/layout/orgChart1"/>
    <dgm:cxn modelId="{277280A9-9D29-445E-9A65-D8BA7363F6B1}" type="presParOf" srcId="{2016CC41-FFD6-46AE-84AF-50ED19EA6155}" destId="{43E47761-3880-4599-91E0-9DFF7253960C}" srcOrd="0" destOrd="0" presId="urn:microsoft.com/office/officeart/2005/8/layout/orgChart1"/>
    <dgm:cxn modelId="{BE3C4203-A8A2-4D2D-8669-C28C68310CBF}" type="presParOf" srcId="{2016CC41-FFD6-46AE-84AF-50ED19EA6155}" destId="{B428765B-EB05-4C4E-BA22-37C430C1C35D}" srcOrd="1" destOrd="0" presId="urn:microsoft.com/office/officeart/2005/8/layout/orgChart1"/>
    <dgm:cxn modelId="{1B998ADB-B88A-4DE0-90AB-4B3B74671EB2}" type="presParOf" srcId="{5932A205-35EC-40B5-A38D-C07FE58C1BFA}" destId="{2DF83ABE-7354-408D-9180-E2C5E0C89BB8}" srcOrd="1" destOrd="0" presId="urn:microsoft.com/office/officeart/2005/8/layout/orgChart1"/>
    <dgm:cxn modelId="{9E4A30F3-577F-4922-A5CD-CA054AEF80C3}" type="presParOf" srcId="{5932A205-35EC-40B5-A38D-C07FE58C1BFA}" destId="{C92D4E40-5EE0-4C44-BCA4-3960E3D72A9D}" srcOrd="2" destOrd="0" presId="urn:microsoft.com/office/officeart/2005/8/layout/orgChart1"/>
    <dgm:cxn modelId="{783DD703-5D15-47DD-80FC-9977BF5377C7}" type="presParOf" srcId="{D519A51D-2BE9-49B8-BE77-F3F35EA5EC62}" destId="{0C1E412F-D282-444D-956A-CAA3723D3A73}" srcOrd="4" destOrd="0" presId="urn:microsoft.com/office/officeart/2005/8/layout/orgChart1"/>
    <dgm:cxn modelId="{1322558D-9960-4E84-9E67-0FA874198D7C}" type="presParOf" srcId="{D519A51D-2BE9-49B8-BE77-F3F35EA5EC62}" destId="{E80E9847-B33F-407C-A9ED-62AD5F68FC6E}" srcOrd="5" destOrd="0" presId="urn:microsoft.com/office/officeart/2005/8/layout/orgChart1"/>
    <dgm:cxn modelId="{B56F99D7-2437-4A8C-9D9C-F79995A169C0}" type="presParOf" srcId="{E80E9847-B33F-407C-A9ED-62AD5F68FC6E}" destId="{72699D50-08F0-4D4D-A79E-A99E26278D90}" srcOrd="0" destOrd="0" presId="urn:microsoft.com/office/officeart/2005/8/layout/orgChart1"/>
    <dgm:cxn modelId="{951080FE-D43E-4C94-BFAC-C02315D8741E}" type="presParOf" srcId="{72699D50-08F0-4D4D-A79E-A99E26278D90}" destId="{6776C396-8250-463D-905A-9A9991C790B8}" srcOrd="0" destOrd="0" presId="urn:microsoft.com/office/officeart/2005/8/layout/orgChart1"/>
    <dgm:cxn modelId="{F3A20471-90F3-42A2-BEB9-302DC30DF928}" type="presParOf" srcId="{72699D50-08F0-4D4D-A79E-A99E26278D90}" destId="{5538D78B-D79C-4298-BFCF-735D3B4DD09B}" srcOrd="1" destOrd="0" presId="urn:microsoft.com/office/officeart/2005/8/layout/orgChart1"/>
    <dgm:cxn modelId="{67BDC408-2F6C-4948-9C36-4DA3537F70B2}" type="presParOf" srcId="{E80E9847-B33F-407C-A9ED-62AD5F68FC6E}" destId="{58528DFA-D936-47DA-AE7E-F845C546187D}" srcOrd="1" destOrd="0" presId="urn:microsoft.com/office/officeart/2005/8/layout/orgChart1"/>
    <dgm:cxn modelId="{D0C5058F-A948-4E85-9447-ABBADD72DE8D}" type="presParOf" srcId="{E80E9847-B33F-407C-A9ED-62AD5F68FC6E}" destId="{D6C8E675-00BF-4DF8-AE61-5F194E081DE7}" srcOrd="2" destOrd="0" presId="urn:microsoft.com/office/officeart/2005/8/layout/orgChart1"/>
    <dgm:cxn modelId="{4DDD5B47-3851-4585-9227-903822066725}" type="presParOf" srcId="{D519A51D-2BE9-49B8-BE77-F3F35EA5EC62}" destId="{0A31A15D-7F2D-40CE-98D2-0BE650DCDD13}" srcOrd="6" destOrd="0" presId="urn:microsoft.com/office/officeart/2005/8/layout/orgChart1"/>
    <dgm:cxn modelId="{F3E4DB13-AE01-41FB-8799-4BC2873D44C0}" type="presParOf" srcId="{D519A51D-2BE9-49B8-BE77-F3F35EA5EC62}" destId="{E57BD04F-9A8D-468B-8ECA-04FF0DCDDE9A}" srcOrd="7" destOrd="0" presId="urn:microsoft.com/office/officeart/2005/8/layout/orgChart1"/>
    <dgm:cxn modelId="{C583A3B6-88BE-4664-A25A-C15938134952}" type="presParOf" srcId="{E57BD04F-9A8D-468B-8ECA-04FF0DCDDE9A}" destId="{062570E7-C156-45FA-AE66-456C56861210}" srcOrd="0" destOrd="0" presId="urn:microsoft.com/office/officeart/2005/8/layout/orgChart1"/>
    <dgm:cxn modelId="{F8E4B2C4-89B8-4068-84C6-64E125EF3CA9}" type="presParOf" srcId="{062570E7-C156-45FA-AE66-456C56861210}" destId="{BA4FD554-4759-4C55-B36A-A39ED3B63945}" srcOrd="0" destOrd="0" presId="urn:microsoft.com/office/officeart/2005/8/layout/orgChart1"/>
    <dgm:cxn modelId="{FC3AB6D8-D7E0-4634-81E9-AEF86C6F6086}" type="presParOf" srcId="{062570E7-C156-45FA-AE66-456C56861210}" destId="{855C61C2-F074-45BF-A82B-CE9EA804F491}" srcOrd="1" destOrd="0" presId="urn:microsoft.com/office/officeart/2005/8/layout/orgChart1"/>
    <dgm:cxn modelId="{3DAE55E7-0F3A-4250-8E63-B7F3246EAC0F}" type="presParOf" srcId="{E57BD04F-9A8D-468B-8ECA-04FF0DCDDE9A}" destId="{37815DA9-89AD-4E75-831F-26CBA1A9F3C3}" srcOrd="1" destOrd="0" presId="urn:microsoft.com/office/officeart/2005/8/layout/orgChart1"/>
    <dgm:cxn modelId="{DE87B824-71BA-402C-A5D8-5C24F7D076BE}" type="presParOf" srcId="{E57BD04F-9A8D-468B-8ECA-04FF0DCDDE9A}" destId="{4129C186-C350-4523-9112-186D0D9EBA4D}" srcOrd="2" destOrd="0" presId="urn:microsoft.com/office/officeart/2005/8/layout/orgChart1"/>
    <dgm:cxn modelId="{BFAF1E77-093B-4D61-9915-0515113373B6}" type="presParOf" srcId="{D519A51D-2BE9-49B8-BE77-F3F35EA5EC62}" destId="{41BBBD75-AE33-4503-80A2-5A73756E1882}" srcOrd="8" destOrd="0" presId="urn:microsoft.com/office/officeart/2005/8/layout/orgChart1"/>
    <dgm:cxn modelId="{3D12BF55-8119-4551-A671-48FB146DC0AC}" type="presParOf" srcId="{D519A51D-2BE9-49B8-BE77-F3F35EA5EC62}" destId="{A88671AC-E7FE-4DAC-B994-F5712C50D5F2}" srcOrd="9" destOrd="0" presId="urn:microsoft.com/office/officeart/2005/8/layout/orgChart1"/>
    <dgm:cxn modelId="{656E961C-CA29-4099-94C4-E5920F1DFE88}" type="presParOf" srcId="{A88671AC-E7FE-4DAC-B994-F5712C50D5F2}" destId="{CEB6557D-2A92-474A-AA3F-EBDD58ACDF05}" srcOrd="0" destOrd="0" presId="urn:microsoft.com/office/officeart/2005/8/layout/orgChart1"/>
    <dgm:cxn modelId="{71A2C7B1-B550-4D8D-BF7D-82DAD479AF63}" type="presParOf" srcId="{CEB6557D-2A92-474A-AA3F-EBDD58ACDF05}" destId="{1FCFEEC0-F88C-4DC6-8F67-8119E7895768}" srcOrd="0" destOrd="0" presId="urn:microsoft.com/office/officeart/2005/8/layout/orgChart1"/>
    <dgm:cxn modelId="{B00D7FFA-47E5-4522-BC6C-E3F3B557A90D}" type="presParOf" srcId="{CEB6557D-2A92-474A-AA3F-EBDD58ACDF05}" destId="{5AC83D5D-4CC6-4100-AEEB-D6437E323A40}" srcOrd="1" destOrd="0" presId="urn:microsoft.com/office/officeart/2005/8/layout/orgChart1"/>
    <dgm:cxn modelId="{BEDD5C44-349E-4A2F-9C69-27655A657600}" type="presParOf" srcId="{A88671AC-E7FE-4DAC-B994-F5712C50D5F2}" destId="{DB73D874-1295-40C7-85F1-ADDE4106216B}" srcOrd="1" destOrd="0" presId="urn:microsoft.com/office/officeart/2005/8/layout/orgChart1"/>
    <dgm:cxn modelId="{9F2A06C7-D0B0-411E-9DD8-652066F1A8D0}" type="presParOf" srcId="{A88671AC-E7FE-4DAC-B994-F5712C50D5F2}" destId="{5541EB12-F708-4CE5-8145-BD3697AEBB80}" srcOrd="2" destOrd="0" presId="urn:microsoft.com/office/officeart/2005/8/layout/orgChart1"/>
    <dgm:cxn modelId="{4C3E6277-2C14-4F84-B9FE-8231BA70BBEC}" type="presParOf" srcId="{AE65A0C7-14AE-4567-B432-BFCFB6157DB0}" destId="{4D2FF924-317A-442E-8DF4-E686D18F73B6}"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BBBD75-AE33-4503-80A2-5A73756E1882}">
      <dsp:nvSpPr>
        <dsp:cNvPr id="0" name=""/>
        <dsp:cNvSpPr/>
      </dsp:nvSpPr>
      <dsp:spPr>
        <a:xfrm>
          <a:off x="2743200" y="795189"/>
          <a:ext cx="2273085" cy="197251"/>
        </a:xfrm>
        <a:custGeom>
          <a:avLst/>
          <a:gdLst/>
          <a:ahLst/>
          <a:cxnLst/>
          <a:rect l="0" t="0" r="0" b="0"/>
          <a:pathLst>
            <a:path>
              <a:moveTo>
                <a:pt x="0" y="0"/>
              </a:moveTo>
              <a:lnTo>
                <a:pt x="0" y="98625"/>
              </a:lnTo>
              <a:lnTo>
                <a:pt x="2273085" y="98625"/>
              </a:lnTo>
              <a:lnTo>
                <a:pt x="2273085" y="197251"/>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A31A15D-7F2D-40CE-98D2-0BE650DCDD13}">
      <dsp:nvSpPr>
        <dsp:cNvPr id="0" name=""/>
        <dsp:cNvSpPr/>
      </dsp:nvSpPr>
      <dsp:spPr>
        <a:xfrm>
          <a:off x="2743200" y="795189"/>
          <a:ext cx="1136542" cy="197251"/>
        </a:xfrm>
        <a:custGeom>
          <a:avLst/>
          <a:gdLst/>
          <a:ahLst/>
          <a:cxnLst/>
          <a:rect l="0" t="0" r="0" b="0"/>
          <a:pathLst>
            <a:path>
              <a:moveTo>
                <a:pt x="0" y="0"/>
              </a:moveTo>
              <a:lnTo>
                <a:pt x="0" y="98625"/>
              </a:lnTo>
              <a:lnTo>
                <a:pt x="1136542" y="98625"/>
              </a:lnTo>
              <a:lnTo>
                <a:pt x="1136542" y="197251"/>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C1E412F-D282-444D-956A-CAA3723D3A73}">
      <dsp:nvSpPr>
        <dsp:cNvPr id="0" name=""/>
        <dsp:cNvSpPr/>
      </dsp:nvSpPr>
      <dsp:spPr>
        <a:xfrm>
          <a:off x="2697480" y="795189"/>
          <a:ext cx="91440" cy="197251"/>
        </a:xfrm>
        <a:custGeom>
          <a:avLst/>
          <a:gdLst/>
          <a:ahLst/>
          <a:cxnLst/>
          <a:rect l="0" t="0" r="0" b="0"/>
          <a:pathLst>
            <a:path>
              <a:moveTo>
                <a:pt x="45720" y="0"/>
              </a:moveTo>
              <a:lnTo>
                <a:pt x="45720" y="197251"/>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F24C17D-DC3D-4E50-AC3C-F9F29A57EEE1}">
      <dsp:nvSpPr>
        <dsp:cNvPr id="0" name=""/>
        <dsp:cNvSpPr/>
      </dsp:nvSpPr>
      <dsp:spPr>
        <a:xfrm>
          <a:off x="1606657" y="795189"/>
          <a:ext cx="1136542" cy="197251"/>
        </a:xfrm>
        <a:custGeom>
          <a:avLst/>
          <a:gdLst/>
          <a:ahLst/>
          <a:cxnLst/>
          <a:rect l="0" t="0" r="0" b="0"/>
          <a:pathLst>
            <a:path>
              <a:moveTo>
                <a:pt x="1136542" y="0"/>
              </a:moveTo>
              <a:lnTo>
                <a:pt x="1136542" y="98625"/>
              </a:lnTo>
              <a:lnTo>
                <a:pt x="0" y="98625"/>
              </a:lnTo>
              <a:lnTo>
                <a:pt x="0" y="197251"/>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BF61B9C-1342-4B43-9E16-1D15DB707BEB}">
      <dsp:nvSpPr>
        <dsp:cNvPr id="0" name=""/>
        <dsp:cNvSpPr/>
      </dsp:nvSpPr>
      <dsp:spPr>
        <a:xfrm>
          <a:off x="470114" y="795189"/>
          <a:ext cx="2273085" cy="197251"/>
        </a:xfrm>
        <a:custGeom>
          <a:avLst/>
          <a:gdLst/>
          <a:ahLst/>
          <a:cxnLst/>
          <a:rect l="0" t="0" r="0" b="0"/>
          <a:pathLst>
            <a:path>
              <a:moveTo>
                <a:pt x="2273085" y="0"/>
              </a:moveTo>
              <a:lnTo>
                <a:pt x="2273085" y="98625"/>
              </a:lnTo>
              <a:lnTo>
                <a:pt x="0" y="98625"/>
              </a:lnTo>
              <a:lnTo>
                <a:pt x="0" y="197251"/>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D069CAD-5AA2-4903-8359-A170CDD55344}">
      <dsp:nvSpPr>
        <dsp:cNvPr id="0" name=""/>
        <dsp:cNvSpPr/>
      </dsp:nvSpPr>
      <dsp:spPr>
        <a:xfrm>
          <a:off x="2273554" y="128588"/>
          <a:ext cx="939291" cy="66660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ZA" sz="900" kern="1200">
              <a:solidFill>
                <a:sysClr val="window" lastClr="FFFFFF"/>
              </a:solidFill>
              <a:latin typeface="Times New Roman" panose="02020603050405020304" pitchFamily="18" charset="0"/>
              <a:ea typeface="+mn-ea"/>
              <a:cs typeface="Times New Roman" panose="02020603050405020304" pitchFamily="18" charset="0"/>
            </a:rPr>
            <a:t>Irrigation Management main Committee </a:t>
          </a:r>
        </a:p>
        <a:p>
          <a:pPr lvl="0" algn="ctr" defTabSz="400050">
            <a:lnSpc>
              <a:spcPct val="90000"/>
            </a:lnSpc>
            <a:spcBef>
              <a:spcPct val="0"/>
            </a:spcBef>
            <a:spcAft>
              <a:spcPct val="35000"/>
            </a:spcAft>
          </a:pPr>
          <a:r>
            <a:rPr lang="en-ZA" sz="900" kern="1200">
              <a:solidFill>
                <a:sysClr val="window" lastClr="FFFFFF"/>
              </a:solidFill>
              <a:latin typeface="Times New Roman" panose="02020603050405020304" pitchFamily="18" charset="0"/>
              <a:ea typeface="+mn-ea"/>
              <a:cs typeface="Times New Roman" panose="02020603050405020304" pitchFamily="18" charset="0"/>
            </a:rPr>
            <a:t>4 women: 1 men</a:t>
          </a:r>
          <a:endParaRPr lang="en-ZA" sz="900" kern="1200">
            <a:solidFill>
              <a:sysClr val="window" lastClr="FFFFFF"/>
            </a:solidFill>
            <a:latin typeface="Calibri"/>
            <a:ea typeface="+mn-ea"/>
            <a:cs typeface="+mn-cs"/>
          </a:endParaRPr>
        </a:p>
      </dsp:txBody>
      <dsp:txXfrm>
        <a:off x="2273554" y="128588"/>
        <a:ext cx="939291" cy="666601"/>
      </dsp:txXfrm>
    </dsp:sp>
    <dsp:sp modelId="{E356C4E9-7DF5-4EB5-84A5-69C9F2F5ADA5}">
      <dsp:nvSpPr>
        <dsp:cNvPr id="0" name=""/>
        <dsp:cNvSpPr/>
      </dsp:nvSpPr>
      <dsp:spPr>
        <a:xfrm>
          <a:off x="468" y="992440"/>
          <a:ext cx="939291" cy="469645"/>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ZA" sz="900" kern="1200">
              <a:solidFill>
                <a:sysClr val="window" lastClr="FFFFFF"/>
              </a:solidFill>
              <a:latin typeface="Times New Roman" panose="02020603050405020304" pitchFamily="18" charset="0"/>
              <a:ea typeface="+mn-ea"/>
              <a:cs typeface="Times New Roman" panose="02020603050405020304" pitchFamily="18" charset="0"/>
            </a:rPr>
            <a:t>Gobeke club</a:t>
          </a:r>
        </a:p>
        <a:p>
          <a:pPr lvl="0" algn="ctr" defTabSz="400050">
            <a:lnSpc>
              <a:spcPct val="90000"/>
            </a:lnSpc>
            <a:spcBef>
              <a:spcPct val="0"/>
            </a:spcBef>
            <a:spcAft>
              <a:spcPct val="35000"/>
            </a:spcAft>
          </a:pPr>
          <a:r>
            <a:rPr lang="en-ZA" sz="900" kern="1200">
              <a:solidFill>
                <a:sysClr val="window" lastClr="FFFFFF"/>
              </a:solidFill>
              <a:latin typeface="Times New Roman" panose="02020603050405020304" pitchFamily="18" charset="0"/>
              <a:ea typeface="+mn-ea"/>
              <a:cs typeface="Times New Roman" panose="02020603050405020304" pitchFamily="18" charset="0"/>
            </a:rPr>
            <a:t>11 women: 4 men</a:t>
          </a:r>
        </a:p>
      </dsp:txBody>
      <dsp:txXfrm>
        <a:off x="468" y="992440"/>
        <a:ext cx="939291" cy="469645"/>
      </dsp:txXfrm>
    </dsp:sp>
    <dsp:sp modelId="{43E47761-3880-4599-91E0-9DFF7253960C}">
      <dsp:nvSpPr>
        <dsp:cNvPr id="0" name=""/>
        <dsp:cNvSpPr/>
      </dsp:nvSpPr>
      <dsp:spPr>
        <a:xfrm>
          <a:off x="1137011" y="992440"/>
          <a:ext cx="939291" cy="469645"/>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ZA" sz="900" kern="1200">
              <a:solidFill>
                <a:sysClr val="window" lastClr="FFFFFF"/>
              </a:solidFill>
              <a:latin typeface="Times New Roman" panose="02020603050405020304" pitchFamily="18" charset="0"/>
              <a:ea typeface="+mn-ea"/>
              <a:cs typeface="Times New Roman" panose="02020603050405020304" pitchFamily="18" charset="0"/>
            </a:rPr>
            <a:t>Chikomba club</a:t>
          </a:r>
        </a:p>
        <a:p>
          <a:pPr lvl="0" algn="ctr" defTabSz="400050">
            <a:lnSpc>
              <a:spcPct val="90000"/>
            </a:lnSpc>
            <a:spcBef>
              <a:spcPct val="0"/>
            </a:spcBef>
            <a:spcAft>
              <a:spcPct val="35000"/>
            </a:spcAft>
          </a:pPr>
          <a:r>
            <a:rPr lang="en-ZA" sz="900" kern="1200">
              <a:solidFill>
                <a:sysClr val="window" lastClr="FFFFFF"/>
              </a:solidFill>
              <a:latin typeface="Times New Roman" panose="02020603050405020304" pitchFamily="18" charset="0"/>
              <a:ea typeface="+mn-ea"/>
              <a:cs typeface="Times New Roman" panose="02020603050405020304" pitchFamily="18" charset="0"/>
            </a:rPr>
            <a:t>10 women: 5 men</a:t>
          </a:r>
        </a:p>
      </dsp:txBody>
      <dsp:txXfrm>
        <a:off x="1137011" y="992440"/>
        <a:ext cx="939291" cy="469645"/>
      </dsp:txXfrm>
    </dsp:sp>
    <dsp:sp modelId="{6776C396-8250-463D-905A-9A9991C790B8}">
      <dsp:nvSpPr>
        <dsp:cNvPr id="0" name=""/>
        <dsp:cNvSpPr/>
      </dsp:nvSpPr>
      <dsp:spPr>
        <a:xfrm>
          <a:off x="2273554" y="992440"/>
          <a:ext cx="939291" cy="469645"/>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ZA" sz="900" kern="1200">
              <a:solidFill>
                <a:sysClr val="window" lastClr="FFFFFF"/>
              </a:solidFill>
              <a:latin typeface="Times New Roman" panose="02020603050405020304" pitchFamily="18" charset="0"/>
              <a:ea typeface="+mn-ea"/>
              <a:cs typeface="Times New Roman" panose="02020603050405020304" pitchFamily="18" charset="0"/>
            </a:rPr>
            <a:t>Chimwalira club</a:t>
          </a:r>
        </a:p>
        <a:p>
          <a:pPr lvl="0" algn="ctr" defTabSz="400050">
            <a:lnSpc>
              <a:spcPct val="90000"/>
            </a:lnSpc>
            <a:spcBef>
              <a:spcPct val="0"/>
            </a:spcBef>
            <a:spcAft>
              <a:spcPct val="35000"/>
            </a:spcAft>
          </a:pPr>
          <a:r>
            <a:rPr lang="en-ZA" sz="900" kern="1200">
              <a:solidFill>
                <a:sysClr val="window" lastClr="FFFFFF"/>
              </a:solidFill>
              <a:latin typeface="Times New Roman" panose="02020603050405020304" pitchFamily="18" charset="0"/>
              <a:ea typeface="+mn-ea"/>
              <a:cs typeface="Times New Roman" panose="02020603050405020304" pitchFamily="18" charset="0"/>
            </a:rPr>
            <a:t>12 women: 3 men</a:t>
          </a:r>
        </a:p>
      </dsp:txBody>
      <dsp:txXfrm>
        <a:off x="2273554" y="992440"/>
        <a:ext cx="939291" cy="469645"/>
      </dsp:txXfrm>
    </dsp:sp>
    <dsp:sp modelId="{BA4FD554-4759-4C55-B36A-A39ED3B63945}">
      <dsp:nvSpPr>
        <dsp:cNvPr id="0" name=""/>
        <dsp:cNvSpPr/>
      </dsp:nvSpPr>
      <dsp:spPr>
        <a:xfrm>
          <a:off x="3410096" y="992440"/>
          <a:ext cx="939291" cy="469645"/>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ZA" sz="900" kern="1200">
              <a:solidFill>
                <a:sysClr val="window" lastClr="FFFFFF"/>
              </a:solidFill>
              <a:latin typeface="Times New Roman" panose="02020603050405020304" pitchFamily="18" charset="0"/>
              <a:ea typeface="+mn-ea"/>
              <a:cs typeface="Times New Roman" panose="02020603050405020304" pitchFamily="18" charset="0"/>
            </a:rPr>
            <a:t>Namichimba club</a:t>
          </a:r>
        </a:p>
        <a:p>
          <a:pPr lvl="0" algn="ctr" defTabSz="400050">
            <a:lnSpc>
              <a:spcPct val="90000"/>
            </a:lnSpc>
            <a:spcBef>
              <a:spcPct val="0"/>
            </a:spcBef>
            <a:spcAft>
              <a:spcPct val="35000"/>
            </a:spcAft>
          </a:pPr>
          <a:r>
            <a:rPr lang="en-ZA" sz="900" kern="1200">
              <a:solidFill>
                <a:sysClr val="window" lastClr="FFFFFF"/>
              </a:solidFill>
              <a:latin typeface="Times New Roman" panose="02020603050405020304" pitchFamily="18" charset="0"/>
              <a:ea typeface="+mn-ea"/>
              <a:cs typeface="Times New Roman" panose="02020603050405020304" pitchFamily="18" charset="0"/>
            </a:rPr>
            <a:t>13 women: 2 men</a:t>
          </a:r>
        </a:p>
      </dsp:txBody>
      <dsp:txXfrm>
        <a:off x="3410096" y="992440"/>
        <a:ext cx="939291" cy="469645"/>
      </dsp:txXfrm>
    </dsp:sp>
    <dsp:sp modelId="{1FCFEEC0-F88C-4DC6-8F67-8119E7895768}">
      <dsp:nvSpPr>
        <dsp:cNvPr id="0" name=""/>
        <dsp:cNvSpPr/>
      </dsp:nvSpPr>
      <dsp:spPr>
        <a:xfrm>
          <a:off x="4546639" y="992440"/>
          <a:ext cx="939291" cy="469645"/>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ZA" sz="900" kern="1200">
              <a:solidFill>
                <a:sysClr val="window" lastClr="FFFFFF"/>
              </a:solidFill>
              <a:latin typeface="Times New Roman" panose="02020603050405020304" pitchFamily="18" charset="0"/>
              <a:ea typeface="+mn-ea"/>
              <a:cs typeface="Times New Roman" panose="02020603050405020304" pitchFamily="18" charset="0"/>
            </a:rPr>
            <a:t>Lithethe club</a:t>
          </a:r>
        </a:p>
        <a:p>
          <a:pPr lvl="0" algn="ctr" defTabSz="400050">
            <a:lnSpc>
              <a:spcPct val="90000"/>
            </a:lnSpc>
            <a:spcBef>
              <a:spcPct val="0"/>
            </a:spcBef>
            <a:spcAft>
              <a:spcPct val="35000"/>
            </a:spcAft>
          </a:pPr>
          <a:r>
            <a:rPr lang="en-ZA" sz="900" kern="1200">
              <a:solidFill>
                <a:sysClr val="window" lastClr="FFFFFF"/>
              </a:solidFill>
              <a:latin typeface="Times New Roman" panose="02020603050405020304" pitchFamily="18" charset="0"/>
              <a:ea typeface="+mn-ea"/>
              <a:cs typeface="Times New Roman" panose="02020603050405020304" pitchFamily="18" charset="0"/>
            </a:rPr>
            <a:t>10 women: 5 men</a:t>
          </a:r>
        </a:p>
      </dsp:txBody>
      <dsp:txXfrm>
        <a:off x="4546639" y="992440"/>
        <a:ext cx="939291" cy="46964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75D81B0623B14EA022E74D6FBD39D1" ma:contentTypeVersion="2" ma:contentTypeDescription="Create a new document." ma:contentTypeScope="" ma:versionID="6322a19e40f159f3cac548a2bc4e475a">
  <xsd:schema xmlns:xsd="http://www.w3.org/2001/XMLSchema" xmlns:xs="http://www.w3.org/2001/XMLSchema" xmlns:p="http://schemas.microsoft.com/office/2006/metadata/properties" xmlns:ns2="d9f95b96-4c08-46ad-b67a-6a4dae54c1c3" targetNamespace="http://schemas.microsoft.com/office/2006/metadata/properties" ma:root="true" ma:fieldsID="9c56f5d3caa1bb0c61851076fc36de6c" ns2:_="">
    <xsd:import namespace="d9f95b96-4c08-46ad-b67a-6a4dae54c1c3"/>
    <xsd:element name="properties">
      <xsd:complexType>
        <xsd:sequence>
          <xsd:element name="documentManagement">
            <xsd:complexType>
              <xsd:all>
                <xsd:element ref="ns2:SharedWithUsers" minOccurs="0"/>
                <xsd:element ref="ns2: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f95b96-4c08-46ad-b67a-6a4dae54c1c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ADB05</b:Tag>
    <b:SourceType>Book</b:SourceType>
    <b:Guid>{56C0D6AF-0AE6-4CB7-B5A0-38B5D8F38024}</b:Guid>
    <b:Author>
      <b:Author>
        <b:NameList>
          <b:Person>
            <b:Last>ADB</b:Last>
          </b:Person>
        </b:NameList>
      </b:Author>
    </b:Author>
    <b:Title>Asian Development Bank  Country Gender Assessment: Uzbekistan</b:Title>
    <b:Year>2005</b:Year>
    <b:City> Manila</b:City>
    <b:Publisher>Asian Development Bank</b:Publisher>
    <b:RefOrder>1</b:RefOrder>
  </b:Source>
  <b:Source>
    <b:Tag>Bas99</b:Tag>
    <b:SourceType>Report</b:SourceType>
    <b:Guid>{D5E92DDD-0D59-4D78-9922-D73D76EA0DC1}</b:Guid>
    <b:Author>
      <b:Author>
        <b:NameList>
          <b:Person>
            <b:Last>Bastidas</b:Last>
            <b:First>E</b:First>
          </b:Person>
        </b:NameList>
      </b:Author>
    </b:Author>
    <b:Title>Gender Issues and Women’s Particpation in Irrigation Agriculture: The Case of Two Private Irrigation Canals in Carchi, Eucador,Research Report 31 </b:Title>
    <b:Year>1999</b:Year>
    <b:Publisher>IWMI.</b:Publisher>
    <b:City>Colombo, Sri lanka:</b:City>
    <b:RefOrder>2</b:RefOrder>
  </b:Source>
  <b:Source>
    <b:Tag>Ber93</b:Tag>
    <b:SourceType>Book</b:SourceType>
    <b:Guid>{06B04112-DB20-4B81-94BF-D0AD751C4C38}</b:Guid>
    <b:Title>No Condotion is Permanent: The Social Dynamics of Agrarian Change in Sub Saharan Africa:</b:Title>
    <b:Year> 1993  </b:Year>
    <b:Publisher>University of Wisconsin Press.</b:Publisher>
    <b:City>Africa</b:City>
    <b:Author>
      <b:Author>
        <b:NameList>
          <b:Person>
            <b:Last>Berry</b:Last>
            <b:First>S</b:First>
          </b:Person>
        </b:NameList>
      </b:Author>
    </b:Author>
    <b:RefOrder>3</b:RefOrder>
  </b:Source>
  <b:Source>
    <b:Tag>Ber88</b:Tag>
    <b:SourceType>Book</b:SourceType>
    <b:Guid>{B6AE0BC4-A594-4460-9895-8BE7EB882AAE}</b:Guid>
    <b:Author>
      <b:Author>
        <b:NameList>
          <b:Person>
            <b:Last>Bernal</b:Last>
            <b:First>V</b:First>
          </b:Person>
        </b:NameList>
      </b:Author>
    </b:Author>
    <b:Title>Losing Ground: Women and Agriculture on Sudan’s Irrigation Schemes: Lessons from a Blue Nile Village, In Agriculture Women and the African Experience,</b:Title>
    <b:Year> 1988 </b:Year>
    <b:City> Colorado</b:City>
    <b:Publisher> Westview Press</b:Publisher>
    <b:RefOrder>4</b:RefOrder>
  </b:Source>
  <b:Source>
    <b:Tag>Bos70</b:Tag>
    <b:SourceType>Book</b:SourceType>
    <b:Guid>{98D56017-15F6-41FE-A523-80918512EAA9}</b:Guid>
    <b:Author>
      <b:Author>
        <b:NameList>
          <b:Person>
            <b:Last>Boserup</b:Last>
            <b:First>E</b:First>
          </b:Person>
        </b:NameList>
      </b:Author>
    </b:Author>
    <b:Title>Women’s Role in Economic Development, </b:Title>
    <b:Year>1970</b:Year>
    <b:City>London</b:City>
    <b:Publisher> Earthscan</b:Publisher>
    <b:RefOrder>5</b:RefOrder>
  </b:Source>
  <b:Source>
    <b:Tag>Car97</b:Tag>
    <b:SourceType>JournalArticle</b:SourceType>
    <b:Guid>{28D212BD-DD4A-4AE1-B125-372BE47EF095}</b:Guid>
    <b:Author>
      <b:Author>
        <b:NameList>
          <b:Person>
            <b:Last>Carswell</b:Last>
            <b:First>G</b:First>
          </b:Person>
        </b:NameList>
      </b:Author>
    </b:Author>
    <b:Title> Agriculture Intensification and Rural Sustainable Livelihoods: A Think Piece,</b:Title>
    <b:Year> 1997</b:Year>
    <b:JournalName>IDS Working Paper 64,</b:JournalName>
    <b:Pages>SLP 4 . Http://www.ids.ac.uk/ids/research/env/index.html (date accessed: 9 October 2014)</b:Pages>
    <b:RefOrder>6</b:RefOrder>
  </b:Source>
  <b:Source>
    <b:Tag>Cle00</b:Tag>
    <b:SourceType>JournalArticle</b:SourceType>
    <b:Guid>{0E31CE29-68F4-42CD-97F2-C94830CFEFE3}</b:Guid>
    <b:Author>
      <b:Author>
        <b:NameList>
          <b:Person>
            <b:Last>Cleaver</b:Last>
            <b:First>F</b:First>
          </b:Person>
        </b:NameList>
      </b:Author>
    </b:Author>
    <b:Title>Moral Ecological Rationality, Institutions and the Management of Common Property Resources,</b:Title>
    <b:JournalName> Dev. Change</b:JournalName>
    <b:Year>2000</b:Year>
    <b:Pages>31: 361-383.</b:Pages>
    <b:RefOrder>7</b:RefOrder>
  </b:Source>
  <b:Source>
    <b:Tag>Dos1a</b:Tag>
    <b:SourceType>JournalArticle</b:SourceType>
    <b:Guid>{AA5EDBC3-14FB-462B-857A-BD8ABF45F1EE}</b:Guid>
    <b:Author>
      <b:Author>
        <b:NameList>
          <b:Person>
            <b:Last>Doss</b:Last>
            <b:First>C.</b:First>
            <b:Middle>R</b:Middle>
          </b:Person>
        </b:NameList>
      </b:Author>
    </b:Author>
    <b:Title>Designing Agriculture Technology for African Women Farmers: Lessons From 25 Years’ Experience</b:Title>
    <b:Pages>  29 (5): 2075-2092</b:Pages>
    <b:Year>2001a</b:Year>
    <b:JournalName>World Development</b:JournalName>
    <b:RefOrder>8</b:RefOrder>
  </b:Source>
  <b:Source>
    <b:Tag>Dos02</b:Tag>
    <b:SourceType>JournalArticle</b:SourceType>
    <b:Guid>{4D519D03-F753-4B03-B77F-FC96CEFE71A2}</b:Guid>
    <b:Author>
      <b:Author>
        <b:NameList>
          <b:Person>
            <b:Last>Doss</b:Last>
            <b:First>C.</b:First>
            <b:Middle>R</b:Middle>
          </b:Person>
        </b:NameList>
      </b:Author>
    </b:Author>
    <b:Title>Men’s Crops? Women’s Crops? The Gender Pattern of Cropping in Ghana,</b:Title>
    <b:JournalName>World Development,</b:JournalName>
    <b:Year>2002</b:Year>
    <b:Pages>30:1987-2000.</b:Pages>
    <b:RefOrder>9</b:RefOrder>
  </b:Source>
  <b:Source>
    <b:Tag>Dos11</b:Tag>
    <b:SourceType>Report</b:SourceType>
    <b:Guid>{E1A93223-7CAF-4F42-858E-EEBFD04AC80F}</b:Guid>
    <b:Author>
      <b:Author>
        <b:NameList>
          <b:Person>
            <b:Last>Doss</b:Last>
            <b:First>C.</b:First>
            <b:Middle>R</b:Middle>
          </b:Person>
        </b:NameList>
      </b:Author>
    </b:Author>
    <b:Title>World Development Report 2012, Gender Equality and Development Background Paper: IntraHousehold Bargaining and Resource Allocation in Developing Countries,</b:Title>
    <b:Year>2011</b:Year>
    <b:Publisher>Jackson Institute for Global Affairs: </b:Publisher>
    <b:City>Yale University</b:City>
    <b:RefOrder>10</b:RefOrder>
  </b:Source>
  <b:Source>
    <b:Tag>FAO11</b:Tag>
    <b:SourceType>Book</b:SourceType>
    <b:Guid>{51C45198-F60B-425F-949F-FF0A56F567B8}</b:Guid>
    <b:Author>
      <b:Author>
        <b:NameList>
          <b:Person>
            <b:Last>FAO</b:Last>
          </b:Person>
        </b:NameList>
      </b:Author>
    </b:Author>
    <b:Title>The State of Food and Agriculture 2010-2011: Women in Agriculture Closing the Gender Gap for Development,</b:Title>
    <b:Year>2011</b:Year>
    <b:City>Rome</b:City>
    <b:Publisher>FAO</b:Publisher>
    <b:RefOrder>11</b:RefOrder>
  </b:Source>
  <b:Source>
    <b:Tag>Hal00</b:Tag>
    <b:SourceType>Book</b:SourceType>
    <b:Guid>{DCC9B6D2-AEF5-497A-80C2-A36ACA4EDF48}</b:Guid>
    <b:Author>
      <b:Author>
        <b:NameList>
          <b:Person>
            <b:Last>Hallman</b:Last>
            <b:First>K</b:First>
          </b:Person>
        </b:NameList>
      </b:Author>
    </b:Author>
    <b:Title>Mother-Father Resources, Marriage Payments and Girl-Boy Health in Rural Bangladesh</b:Title>
    <b:Year>2000</b:Year>
    <b:City>Mimeo, Washington, DC </b:City>
    <b:Publisher>International Food policy Research Institute</b:Publisher>
    <b:RefOrder>12</b:RefOrder>
  </b:Source>
  <b:Source>
    <b:Tag>Ham04</b:Tag>
    <b:SourceType>JournalArticle</b:SourceType>
    <b:Guid>{20658FC7-59C0-43AC-B40A-713B7357921B}</b:Guid>
    <b:Author>
      <b:Author>
        <b:NameList>
          <b:Person>
            <b:Last>Hamid</b:Last>
            <b:First>A</b:First>
          </b:Person>
        </b:NameList>
      </b:Author>
    </b:Author>
    <b:Title>Social Mobilization and Women’s Participation in Water Resource Management: A Case Study of Additional Settlement of Southern Punjab, Pakistan</b:Title>
    <b:Year>2004</b:Year>
    <b:JournalName>Journal of Applied Irrigation Science</b:JournalName>
    <b:Pages>39 (91): 23-41</b:Pages>
    <b:RefOrder>13</b:RefOrder>
  </b:Source>
  <b:Source>
    <b:Tag>Hop73</b:Tag>
    <b:SourceType>Book</b:SourceType>
    <b:Guid>{DA21BE25-DD20-4802-A238-9C6E206A69CA}</b:Guid>
    <b:Author>
      <b:Author>
        <b:NameList>
          <b:Person>
            <b:Last>Hopkins</b:Last>
            <b:First>A</b:First>
          </b:Person>
        </b:NameList>
      </b:Author>
    </b:Author>
    <b:Title>An Economic History of West Africa,</b:Title>
    <b:Year>1973</b:Year>
    <b:City> London</b:City>
    <b:Publisher> Longman</b:Publisher>
    <b:RefOrder>14</b:RefOrder>
  </b:Source>
  <b:Source>
    <b:Tag>Huf98</b:Tag>
    <b:SourceType>JournalArticle</b:SourceType>
    <b:Guid>{6499FC38-3E01-47AD-AEAC-319D5A4605B5}</b:Guid>
    <b:Author>
      <b:Author>
        <b:NameList>
          <b:Person>
            <b:Last>Huffman</b:Last>
            <b:First>T.</b:First>
            <b:Middle>N</b:Middle>
          </b:Person>
        </b:NameList>
      </b:Author>
    </b:Author>
    <b:Title>The Antiquity of Lobola: Presidential Address South Africa,</b:Title>
    <b:Year>1998</b:Year>
    <b:JournalName> Archeological Bulletin</b:JournalName>
    <b:Pages>53:57-62.</b:Pages>
    <b:RefOrder>15</b:RefOrder>
  </b:Source>
  <b:Source>
    <b:Tag>Jon83</b:Tag>
    <b:SourceType>Report</b:SourceType>
    <b:Guid>{E929B70A-43ED-4509-AB93-2939B423F98C}</b:Guid>
    <b:Author>
      <b:Author>
        <b:NameList>
          <b:Person>
            <b:Last>Jones</b:Last>
            <b:First>C</b:First>
          </b:Person>
        </b:NameList>
      </b:Author>
    </b:Author>
    <b:Title>The Impact of the Semry Irrigated Rice Production Project on the Organization of Production and Consumption at the Intra household level,</b:Title>
    <b:JournalName>Agency for Internation Development Bureau Programm for Land and Policy Coordination, Nutrition and De</b:JournalName>
    <b:Year>1983</b:Year>
    <b:Publisher>Bureau Programm for Land and Policy Coordination, Nutrition and Development Project Paper No. 83-1</b:Publisher>
    <b:City>University of Harvard</b:City>
    <b:RefOrder>16</b:RefOrder>
  </b:Source>
  <b:Source>
    <b:Tag>Kev04</b:Tag>
    <b:SourceType>Report</b:SourceType>
    <b:Guid>{33F9E7C3-EE25-4A75-A35A-235A0EC7B2B9}</b:Guid>
    <b:Author>
      <b:Author>
        <b:NameList>
          <b:Person>
            <b:Last>Kevane</b:Last>
            <b:First>M</b:First>
          </b:Person>
        </b:NameList>
      </b:Author>
    </b:Author>
    <b:Title>Women and Development in Africa: How Gender Works, Boulder</b:Title>
    <b:Year>2004 </b:Year>
    <b:Publisher>Lynne Rienner.</b:Publisher>
    <b:City>London:</b:City>
    <b:RefOrder>17</b:RefOrder>
  </b:Source>
  <b:Source>
    <b:Tag>Kis06</b:Tag>
    <b:SourceType>Report</b:SourceType>
    <b:Guid>{18353885-B74F-4866-B56B-9813085BFEC7}</b:Guid>
    <b:Author>
      <b:Author>
        <b:NameList>
          <b:Person>
            <b:Last>Kishindo</b:Last>
            <b:First>P</b:First>
          </b:Person>
        </b:NameList>
      </b:Author>
    </b:Author>
    <b:Title>The Marital Immigrant, Land and Agriculture: A Malawian Case Study, Zomba, Malawi</b:Title>
    <b:Year>2006</b:Year>
    <b:Publisher>Codesria</b:Publisher>
    <b:City> University of Malawi</b:City>
    <b:RefOrder>18</b:RefOrder>
  </b:Source>
  <b:Source>
    <b:Tag>Koo93</b:Tag>
    <b:SourceType>Book</b:SourceType>
    <b:Guid>{738B5113-0113-474C-844F-B5852C372E2A}</b:Guid>
    <b:Author>
      <b:Author>
        <b:NameList>
          <b:Person>
            <b:Last>Koopman</b:Last>
            <b:First>J</b:First>
          </b:Person>
        </b:NameList>
      </b:Author>
    </b:Author>
    <b:Title>The Hidden Roots of the African Food Problem: Looking Within the Rural Household. In Women’s work in the World Economy</b:Title>
    <b:Year>1993</b:Year>
    <b:Publisher> New York University Press</b:Publisher>
    <b:City>New York</b:City>
    <b:RefOrder>19</b:RefOrder>
  </b:Source>
  <b:Source>
    <b:Tag>Mab97</b:Tag>
    <b:SourceType>Book</b:SourceType>
    <b:Guid>{00D42882-B690-49AB-A039-0573D045C442}</b:Guid>
    <b:Author>
      <b:Author>
        <b:NameList>
          <b:Person>
            <b:Last>Mabane</b:Last>
            <b:First>N</b:First>
          </b:Person>
        </b:NameList>
      </b:Author>
    </b:Author>
    <b:Title> A Gender Sensitive Analysis of a Community-based Wildlife Utilization Initiative in Zimbabwe’s Zambezi Valley, MPhil Thesis </b:Title>
    <b:Year>1997</b:Year>
    <b:City>University of Zimbabwe, Harare</b:City>
    <b:Publisher>Centre for Applied Social Sciences</b:Publisher>
    <b:RefOrder>20</b:RefOrder>
  </b:Source>
  <b:Source>
    <b:Tag>Man90</b:Tag>
    <b:SourceType>Book</b:SourceType>
    <b:Guid>{8812CBA9-D6FB-4FF9-90AE-F9498EE1458F}</b:Guid>
    <b:Author>
      <b:Author>
        <b:NameList>
          <b:Person>
            <b:Last>Mandala</b:Last>
            <b:First>E.</b:First>
            <b:Middle>C</b:Middle>
          </b:Person>
        </b:NameList>
      </b:Author>
    </b:Author>
    <b:Title> Work and Control in a Peasant Economy: A History of the Lower Tchiri Valley in Malawi </b:Title>
    <b:Year>1990</b:Year>
    <b:City>Madison</b:City>
    <b:Publisher> University of Wisconsin Press</b:Publisher>
    <b:RefOrder>21</b:RefOrder>
  </b:Source>
  <b:Source>
    <b:Tag>Muc79</b:Tag>
    <b:SourceType>JournalArticle</b:SourceType>
    <b:Guid>{5891136A-EE7F-43F0-97AD-FB103190C731}</b:Guid>
    <b:Author>
      <b:Author>
        <b:NameList>
          <b:Person>
            <b:Last>Muchena</b:Last>
            <b:First>O</b:First>
          </b:Person>
        </b:NameList>
      </b:Author>
    </b:Author>
    <b:Title>The Changing Position of African Women in Rural Zimbabwe</b:Title>
    <b:Year>1979</b:Year>
    <b:JournalName>Zimbabwe Journal of Economics </b:JournalName>
    <b:Pages>1(1): 50-63</b:Pages>
    <b:RefOrder>22</b:RefOrder>
  </b:Source>
  <b:Source>
    <b:Tag>Nem03</b:Tag>
    <b:SourceType>Book</b:SourceType>
    <b:Guid>{4E0DF252-7B12-42D1-819D-22B3E5768EEA}</b:Guid>
    <b:Author>
      <b:Author>
        <b:NameList>
          <b:Person>
            <b:Last>Nemarundwe</b:Last>
            <b:First>N</b:First>
          </b:Person>
        </b:NameList>
      </b:Author>
    </b:Author>
    <b:Title>Institutional Arrangements for Woodlands and Water Use in Southern Zimbabwe, Department of Rural Development Studies</b:Title>
    <b:Year>2003</b:Year>
    <b:City>Uppsala</b:City>
    <b:Publisher>Universityt of Agriculral Sciences</b:Publisher>
    <b:RefOrder>23</b:RefOrder>
  </b:Source>
  <b:Source>
    <b:Tag>Nta73</b:Tag>
    <b:SourceType>Book</b:SourceType>
    <b:Guid>{319230DD-B71B-4009-A0E8-959B006ECDFF}</b:Guid>
    <b:Author>
      <b:Author>
        <b:NameList>
          <b:Person>
            <b:Last>Ntara</b:Last>
            <b:First>S.</b:First>
            <b:Middle>J</b:Middle>
          </b:Person>
        </b:NameList>
      </b:Author>
    </b:Author>
    <b:Title>The History of the Chewa, (Mbiiri ya Chewa)</b:Title>
    <b:Year>1973</b:Year>
    <b:City>Wiesbaden</b:City>
    <b:Publisher>Franz Steiner Verlag GMBH</b:Publisher>
    <b:RefOrder>24</b:RefOrder>
  </b:Source>
  <b:Source>
    <b:Tag>Pet10</b:Tag>
    <b:SourceType>JournalArticle</b:SourceType>
    <b:Guid>{B924D521-6674-4E60-BB60-4AADC64EEE38}</b:Guid>
    <b:Author>
      <b:Author>
        <b:NameList>
          <b:Person>
            <b:Last>Peters</b:Last>
            <b:First>P</b:First>
          </b:Person>
        </b:NameList>
      </b:Author>
    </b:Author>
    <b:Title>Our Daughters Inherit Our Land, But Our Sons Use Their Wives’ Fields: Matrilineal-Matrilocal Land Tenure and the New Land Policy in Malawi</b:Title>
    <b:JournalName>Journal of Eastern African Studies</b:JournalName>
    <b:Year>2010</b:Year>
    <b:Pages>4 (1): 179-199</b:Pages>
    <b:RefOrder>25</b:RefOrder>
  </b:Source>
  <b:Source>
    <b:Tag>Pre02</b:Tag>
    <b:SourceType>Book</b:SourceType>
    <b:Guid>{C7ADB1E2-2863-414F-A1D3-38232E3B92AC}</b:Guid>
    <b:Author>
      <b:Author>
        <b:NameList>
          <b:Person>
            <b:Last>Pretty</b:Last>
            <b:First>J</b:First>
          </b:Person>
        </b:NameList>
      </b:Author>
    </b:Author>
    <b:Title>Agri-Culturee, Reconnecting People, Land and Tenure</b:Title>
    <b:Year>2002</b:Year>
    <b:City> London</b:City>
    <b:Publisher>Earthscan</b:Publisher>
    <b:RefOrder>26</b:RefOrder>
  </b:Source>
  <b:Source>
    <b:Tag>Obo85</b:Tag>
    <b:SourceType>Book</b:SourceType>
    <b:Guid>{753E67FC-64FA-4F23-9D4F-4F416E88F664}</b:Guid>
    <b:Author>
      <b:Author>
        <b:NameList>
          <b:Person>
            <b:Last>Oboler</b:Last>
            <b:First>R.</b:First>
            <b:Middle>S</b:Middle>
          </b:Person>
        </b:NameList>
      </b:Author>
    </b:Author>
    <b:Title>Women, Power and Economic Change: The Nandi of Kenya </b:Title>
    <b:Year>1985</b:Year>
    <b:City>Stanford</b:City>
    <b:Publisher>Stanford University Press</b:Publisher>
    <b:RefOrder>27</b:RefOrder>
  </b:Source>
  <b:Source>
    <b:Tag>Rao13</b:Tag>
    <b:SourceType>JournalArticle</b:SourceType>
    <b:Guid>{3A64AE29-70B7-41E3-9E6D-20C79DD762CF}</b:Guid>
    <b:Author>
      <b:Author>
        <b:NameList>
          <b:Person>
            <b:Last>Rao</b:Last>
            <b:First>N</b:First>
          </b:Person>
        </b:NameList>
      </b:Author>
    </b:Author>
    <b:Title>When and Why Do States Respond to Women’s Claims? Understanding Gender Egalitarian Policy Change in Asia</b:Title>
    <b:Year>2013</b:Year>
    <b:JournalName>Switzerland: UNRISD, Gender and Development Journal</b:JournalName>
    <b:Pages>21 (3). www.unrisd.org (date accessed: 8 October 2014)</b:Pages>
    <b:RefOrder>28</b:RefOrder>
  </b:Source>
  <b:Source>
    <b:Tag>Ray07</b:Tag>
    <b:SourceType>JournalArticle</b:SourceType>
    <b:Guid>{ED1F956D-3A0A-4A07-B4AD-9968BE826EDA}</b:Guid>
    <b:Author>
      <b:Author>
        <b:NameList>
          <b:Person>
            <b:Last>Ray</b:Last>
            <b:First>I</b:First>
          </b:Person>
        </b:NameList>
      </b:Author>
    </b:Author>
    <b:Title>Women, Water and Development, Annual Reviews: Annu.Rev</b:Title>
    <b:JournalName>Environ.Resour</b:JournalName>
    <b:Year>2007</b:Year>
    <b:Pages>2007,32:421-49. Doi:101146/annurev.energy.32.041806.143704. http://environ.annualreviews.org (date accessed 13 September, 2014)</b:Pages>
    <b:RefOrder>29</b:RefOrder>
  </b:Source>
  <b:Source>
    <b:Tag>Sai91</b:Tag>
    <b:SourceType>Book</b:SourceType>
    <b:Guid>{3F29A6C7-0CA7-4E12-A5B6-F9495B1F262B}</b:Guid>
    <b:Author>
      <b:Author>
        <b:NameList>
          <b:Person>
            <b:Last>Saito</b:Last>
            <b:First>K</b:First>
          </b:Person>
        </b:NameList>
      </b:Author>
    </b:Author>
    <b:Title>The Informal Sector in Zimbabwe: The Role of Women</b:Title>
    <b:Year>1991</b:Year>
    <b:City>Washington DC</b:City>
    <b:Publisher>World Bank Publication.</b:Publisher>
    <b:RefOrder>30</b:RefOrder>
  </b:Source>
  <b:Source>
    <b:Tag>Udr95</b:Tag>
    <b:SourceType>Report</b:SourceType>
    <b:Guid>{F6575BFD-D56D-43A2-BFA1-C1C470587898}</b:Guid>
    <b:Title> Gender and Agriculture Production and the Theory of the Household, Development of Ecosystems</b:Title>
    <b:Year>1995</b:Year>
    <b:City> Evanston</b:City>
    <b:Publisher>Northern University. IL 60208</b:Publisher>
    <b:Author>
      <b:Author>
        <b:NameList>
          <b:Person>
            <b:Last>Udry</b:Last>
            <b:First>C</b:First>
          </b:Person>
        </b:NameList>
      </b:Author>
    </b:Author>
    <b:RefOrder>31</b:RefOrder>
  </b:Source>
  <b:Source>
    <b:Tag>UND08</b:Tag>
    <b:SourceType>Report</b:SourceType>
    <b:Guid>{FCBA14D6-4859-4F1F-B416-7376C5276CC5}</b:Guid>
    <b:Author>
      <b:Author>
        <b:NameList>
          <b:Person>
            <b:Last>UNDP</b:Last>
          </b:Person>
        </b:NameList>
      </b:Author>
    </b:Author>
    <b:Title> Gender Agriculture and Food Security, Gender and Climate Change, Capacity Development Series, Training Module 4</b:Title>
    <b:Year>2008</b:Year>
    <b:Publisher>UNDP</b:Publisher>
    <b:City> Africa</b:City>
    <b:RefOrder>32</b:RefOrder>
  </b:Source>
  <b:Source>
    <b:Tag>UNM05</b:Tag>
    <b:SourceType>JournalArticle</b:SourceType>
    <b:Guid>{864C11EC-4216-41F6-BCAF-B3BA272DCC51}</b:Guid>
    <b:Year>2005</b:Year>
    <b:Author>
      <b:Author>
        <b:NameList>
          <b:Person>
            <b:Last>Project</b:Last>
            <b:First>UN</b:First>
            <b:Middle>Millenium</b:Middle>
          </b:Person>
        </b:NameList>
      </b:Author>
    </b:Author>
    <b:Pages> www.unmilleniumproject.org/reports/fullreport.htm (date accessed: 8 October 2014)</b:Pages>
    <b:RefOrder>33</b:RefOrder>
  </b:Source>
  <b:Source>
    <b:Tag>Van01</b:Tag>
    <b:SourceType>Book</b:SourceType>
    <b:Guid>{D2B2DF4E-CC4F-4B4A-8722-5B4D869E3485}</b:Guid>
    <b:Author>
      <b:Author>
        <b:NameList>
          <b:Person>
            <b:Last>Van der Molen</b:Last>
            <b:First>I</b:First>
          </b:Person>
        </b:NameList>
      </b:Author>
    </b:Author>
    <b:Title>Assessment of Female Participation in Minor Irrigation Systems of Sri Lanka:</b:Title>
    <b:Year>2001</b:Year>
    <b:City>Sri Lanka</b:City>
    <b:Publisher>IWMI</b:Publisher>
    <b:RefOrder>34</b:RefOrder>
  </b:Source>
  <b:Source>
    <b:Tag>Zwa7a</b:Tag>
    <b:SourceType>Report</b:SourceType>
    <b:Guid>{6DA72FB6-2D04-4B8C-940A-E505EC8C6975}</b:Guid>
    <b:Author>
      <b:Author>
        <b:NameList>
          <b:Person>
            <b:Last>Zwarteveen</b:Last>
            <b:First>M</b:First>
          </b:Person>
        </b:NameList>
      </b:Author>
    </b:Author>
    <b:Title>A Plot of One’s Own: Gender Relations and Irrigated Land Allocation Prices in Burkina Faso, Research Report 10</b:Title>
    <b:Year>1997a</b:Year>
    <b:City>Colombo, Sri Lanka</b:City>
    <b:Publisher>International Water Management Institute</b:Publisher>
    <b:RefOrder>35</b:RefOrder>
  </b:Source>
  <b:Source>
    <b:Tag>Zwa97</b:Tag>
    <b:SourceType>JournalArticle</b:SourceType>
    <b:Guid>{80A050E9-19A2-4D16-8AF6-E27EE682B56E}</b:Guid>
    <b:Author>
      <b:Author>
        <b:NameList>
          <b:Person>
            <b:Last>Zwarteveen</b:Last>
            <b:First>M</b:First>
          </b:Person>
        </b:NameList>
      </b:Author>
    </b:Author>
    <b:Title>Water: From Basic Need to Commodity, A Discussion on Gender and Water Rights in the Context of Irrigation</b:Title>
    <b:Year>1997</b:Year>
    <b:JournalName>Elsevier Ltd</b:JournalName>
    <b:Pages> 25 (8): 1335-1349</b:Pages>
    <b:RefOrder>36</b:RefOrder>
  </b:Source>
  <b:Source>
    <b:Tag>Ahm87</b:Tag>
    <b:SourceType>JournalArticle</b:SourceType>
    <b:Guid>{05108C27-6539-4D4F-83B7-E57F6E547189}</b:Guid>
    <b:Author>
      <b:Author>
        <b:NameList>
          <b:Person>
            <b:Last>Ahmed</b:Last>
            <b:First>I</b:First>
          </b:Person>
        </b:NameList>
      </b:Author>
    </b:Author>
    <b:Title>Technology Production, Linkages and women's employment in South Asia</b:Title>
    <b:Year>1987</b:Year>
    <b:JournalName>International Labour Review</b:JournalName>
    <b:Pages>126 (1)</b:Pages>
    <b:RefOrder>37</b:RefOrder>
  </b:Source>
  <b:Source>
    <b:Tag>Bos02</b:Tag>
    <b:SourceType>JournalArticle</b:SourceType>
    <b:Guid>{1FA2E2D5-40B6-45DD-BA28-39B9218FDEBD}</b:Guid>
    <b:Author>
      <b:Author>
        <b:NameList>
          <b:Person>
            <b:Last>Boseup</b:Last>
            <b:First>E</b:First>
          </b:Person>
        </b:NameList>
      </b:Author>
    </b:Author>
    <b:Title>Technological Society and Its Relation to Global Environmental Change In Munn T., Timmermann P ed </b:Title>
    <b:JournalName>Encyclopedia and Global Environmental Change</b:JournalName>
    <b:Year>2002</b:Year>
    <b:Pages>86-96</b:Pages>
    <b:RefOrder>38</b:RefOrder>
  </b:Source>
  <b:Source>
    <b:Tag>Mon13</b:Tag>
    <b:SourceType>Book</b:SourceType>
    <b:Guid>{2A35E42C-4A56-40C9-8135-FB4CA08809B8}</b:Guid>
    <b:Author>
      <b:Author>
        <b:NameList>
          <b:Person>
            <b:Last>MontpellierPannell</b:Last>
          </b:Person>
        </b:NameList>
      </b:Author>
    </b:Author>
    <b:Year>2013</b:Year>
    <b:Title>Sustainable Intensification: New Paradigm for African Agriculture,</b:Title>
    <b:City>London</b:City>
    <b:Publisher>Sustainable Intensification: New Paradigm for African Agriculture, London.                                                                   Montpellier Pannel.  www.ag4impact.org (date accessed 8 October 2014)</b:Publisher>
    <b:RefOrder>39</b:RefOrder>
  </b:Source>
  <b:Source>
    <b:Tag>Rod05</b:Tag>
    <b:SourceType>Book</b:SourceType>
    <b:Guid>{4E658C43-1B4C-45B5-BD02-342DF173BB69}</b:Guid>
    <b:Author>
      <b:Author>
        <b:NameList>
          <b:Person>
            <b:Last>Rodgers</b:Last>
            <b:First>B</b:First>
          </b:Person>
        </b:NameList>
      </b:Author>
    </b:Author>
    <b:Title>The Domestication of Women, Discrimination in Developing Societies</b:Title>
    <b:Year>2005</b:Year>
    <b:City>Science</b:City>
    <b:Publisher>Routledge</b:Publisher>
    <b:RefOrder>40</b:RefOrder>
  </b:Source>
  <b:Source>
    <b:Tag>Thu12</b:Tag>
    <b:SourceType>Book</b:SourceType>
    <b:Guid>{BB4B661D-3125-4735-8875-F08F43B94149}</b:Guid>
    <b:Author>
      <b:Author>
        <b:NameList>
          <b:Person>
            <b:Last>Thumba</b:Last>
            <b:First>A.</b:First>
            <b:Middle>O</b:Middle>
          </b:Person>
        </b:NameList>
      </b:Author>
    </b:Author>
    <b:Title>Assessment of Gender Equality in Land Aquisistion and the Role of Local Governemnt in Rural Land Reform in Malawi</b:Title>
    <b:Year>2012</b:Year>
    <b:City>Netherlands</b:City>
    <b:Publisher>Geo-Information Science and Earth Observation</b:Publisher>
    <b:RefOrder>41</b:RefOrder>
  </b:Source>
  <b:Source>
    <b:Tag>Pit96</b:Tag>
    <b:SourceType>JournalArticle</b:SourceType>
    <b:Guid>{AA3131F4-C819-4A81-894E-23FCAF1507BC}</b:Guid>
    <b:Author>
      <b:Author>
        <b:NameList>
          <b:Person>
            <b:Last>Pitcher</b:Last>
            <b:First>A.</b:First>
            <b:Middle>M</b:Middle>
          </b:Person>
        </b:NameList>
      </b:Author>
    </b:Author>
    <b:Title>Conflict and Cooperation: Gendered Roles and Responsibilities Within Cotton Households in Mozambique</b:Title>
    <b:Year>1996</b:Year>
    <b:JournalName>African Studies Review</b:JournalName>
    <b:Pages>35 (3) 81-112</b:Pages>
    <b:RefOrder>42</b:RefOrder>
  </b:Source>
  <b:Source>
    <b:Tag>Hod96</b:Tag>
    <b:SourceType>JournalArticle</b:SourceType>
    <b:Guid>{55B32DFF-8C8E-4EC5-9A5C-2A80C05388EC}</b:Guid>
    <b:Author>
      <b:Author>
        <b:NameList>
          <b:Person>
            <b:Last>Hodgson</b:Last>
            <b:First>D.L</b:First>
          </b:Person>
          <b:Person>
            <b:Last>McCurdy</b:Last>
            <b:First>S</b:First>
          </b:Person>
        </b:NameList>
      </b:Author>
    </b:Author>
    <b:Title>Wayward Wives, Misfit Mothers, Disobedient Daughters: Wicked Women and the Reconfiguration of Gender in Africa</b:Title>
    <b:JournalName>Canadian Journal of African Studies</b:JournalName>
    <b:Year>1996</b:Year>
    <b:Pages>30 (1):1-9</b:Pages>
    <b:RefOrder>43</b:RefOrder>
  </b:Source>
  <b:Source>
    <b:Tag>Wor12</b:Tag>
    <b:SourceType>Report</b:SourceType>
    <b:Guid>{CABC9981-BF4B-408C-99F8-9E637041E730}</b:Guid>
    <b:Author>
      <b:Author>
        <b:NameList>
          <b:Person>
            <b:Last>WorldBank</b:Last>
          </b:Person>
        </b:NameList>
      </b:Author>
    </b:Author>
    <b:Title>World Development Report, Gender Equity and Development</b:Title>
    <b:Year>2012</b:Year>
    <b:Publisher>The World Bank</b:Publisher>
    <b:RefOrder>44</b:RefOrder>
  </b:Source>
  <b:Source>
    <b:Tag>Abd</b:Tag>
    <b:SourceType>JournalArticle</b:SourceType>
    <b:Guid>{61659A55-C63B-40E7-BEBB-ADEBCBC8B045}</b:Guid>
    <b:Author>
      <b:Author>
        <b:NameList>
          <b:Person>
            <b:Last>Abdelali-Martini</b:Last>
            <b:First>M</b:First>
          </b:Person>
          <b:Person>
            <b:Last>Dey de Pryck</b:Last>
            <b:First>J</b:First>
          </b:Person>
        </b:NameList>
      </b:Author>
    </b:Author>
    <b:Title>Does the Feminization of Agriculture Labour Empower Women? Insights From Female Labour Contractors and Workers in North West Syria,</b:Title>
    <b:Year>2014</b:Year>
    <b:JournalName>Journal of International Development:</b:JournalName>
    <b:Pages>Wiley Online Library. DOI: 10.1002/jid</b:Pages>
    <b:RefOrder>45</b:RefOrder>
  </b:Source>
  <b:Source>
    <b:Tag>Alk</b:Tag>
    <b:SourceType>JournalArticle</b:SourceType>
    <b:Guid>{C417EDA2-B4B9-4FEF-A546-2F3D8C27BDC8}</b:Guid>
    <b:Author>
      <b:Author>
        <b:NameList>
          <b:Person>
            <b:Last>Alkire</b:Last>
            <b:First>S</b:First>
          </b:Person>
          <b:Person>
            <b:Last>Meinzen-Dick</b:Last>
            <b:First>R</b:First>
          </b:Person>
          <b:Person>
            <b:Last>Peterman</b:Last>
            <b:First>A</b:First>
          </b:Person>
          <b:Person>
            <b:Last>Quisumbing</b:Last>
            <b:First>A.</b:First>
            <b:Middle>R</b:Middle>
          </b:Person>
          <b:Person>
            <b:Last>Seymour</b:Last>
            <b:First>G</b:First>
          </b:Person>
          <b:Person>
            <b:Last>Vaz</b:Last>
            <b:First>A</b:First>
          </b:Person>
        </b:NameList>
      </b:Author>
    </b:Author>
    <b:Title>The Women Empowerment in Agriculture Index:</b:Title>
    <b:JournalName>Poverty, Health and Nutrition Division, Environmental and Production Technical Division:</b:JournalName>
    <b:Year>(2012</b:Year>
    <b:Pages>IFPRI.</b:Pages>
    <b:RefOrder>46</b:RefOrder>
  </b:Source>
  <b:Source>
    <b:Tag>Wor06</b:Tag>
    <b:SourceType>ConferenceProceedings</b:SourceType>
    <b:Guid>{7D0D6F68-8AF4-4111-AF34-45D1B703936B}</b:Guid>
    <b:Author>
      <b:Author>
        <b:NameList>
          <b:Person>
            <b:Last>WorldBank</b:Last>
          </b:Person>
        </b:NameList>
      </b:Author>
    </b:Author>
    <b:Title>World Bank Project Appraisal Document,</b:Title>
    <b:Year>2006</b:Year>
    <b:City>Kyrgyz Republic</b:City>
    <b:Publisher>World Bank (P088671)</b:Publisher>
    <b:Pages>March 10</b:Pages>
    <b:ConferenceName>Water Management Project</b:ConferenceName>
    <b:RefOrder>47</b:RefOrder>
  </b:Source>
  <b:Source>
    <b:Tag>Bar69</b:Tag>
    <b:SourceType>Book</b:SourceType>
    <b:Guid>{BC50C559-AE88-4735-83B2-D2DAA5195407}</b:Guid>
    <b:Author>
      <b:Author>
        <b:NameList>
          <b:Person>
            <b:Last>Barth</b:Last>
            <b:First>F</b:First>
          </b:Person>
        </b:NameList>
      </b:Author>
    </b:Author>
    <b:Title>ed. Ethnic Groups and Bounadries- The Social Organization of Culture Difference,</b:Title>
    <b:Year>1969</b:Year>
    <b:City>London</b:City>
    <b:Publisher>George Allen and Unwin.</b:Publisher>
    <b:RefOrder>48</b:RefOrder>
  </b:Source>
  <b:Source>
    <b:Tag>Mat04</b:Tag>
    <b:SourceType>JournalArticle</b:SourceType>
    <b:Guid>{3710E57F-5DC3-42EE-887B-0C5382080581}</b:Guid>
    <b:Author>
      <b:Author>
        <b:NameList>
          <b:Person>
            <b:Last>Mathews</b:Last>
            <b:First>S</b:First>
          </b:Person>
          <b:Person>
            <b:Last>Brand</b:Last>
            <b:First>K</b:First>
          </b:Person>
        </b:NameList>
      </b:Author>
    </b:Author>
    <b:Title>Alien Invesive Species: Impacts on Forests and Forestry- A Review: forestry Plantations</b:Title>
    <b:Year>2004</b:Year>
    <b:Publisher>FAO.</b:Publisher>
    <b:JournalName>Africa Invaded the Growing Danger of Invesive Alien Species</b:JournalName>
    <b:Pages>79. http://www.gisp.org (date accessed: 17    November 2014)</b:Pages>
    <b:RefOrder>49</b:RefOrder>
  </b:Source>
  <b:Source>
    <b:Tag>Car98</b:Tag>
    <b:SourceType>Book</b:SourceType>
    <b:Guid>{5D9CC567-3915-4353-9978-7FBF394632C1}</b:Guid>
    <b:Author>
      <b:Author>
        <b:NameList>
          <b:Person>
            <b:Last>Carney</b:Last>
            <b:First>J</b:First>
          </b:Person>
        </b:NameList>
      </b:Author>
    </b:Author>
    <b:Title>Struggles Over Land and Crops in an Irrigated Rice Scheme: The Gambia, In Agriculture, Women and African Experience,</b:Title>
    <b:Year>1988</b:Year>
    <b:City>Colorado</b:City>
    <b:Publisher>Westview Pres.</b:Publisher>
    <b:RefOrder>50</b:RefOrder>
  </b:Source>
  <b:Source>
    <b:Tag>Dia10</b:Tag>
    <b:SourceType>ConferenceProceedings</b:SourceType>
    <b:Guid>{69F60729-C78B-4F8E-83DC-2412D2FE8701}</b:Guid>
    <b:Author>
      <b:Author>
        <b:NameList>
          <b:Person>
            <b:Last>Diao</b:Last>
            <b:First>E</b:First>
          </b:Person>
        </b:NameList>
      </b:Author>
    </b:Author>
    <b:Title>Economic Importance of Agriculture for Sustainable Development and Poverty Reduction: The Case Study of Ethiopia</b:Title>
    <b:Year>2010</b:Year>
    <b:Pages>Global Forum on Agriculture 29-30 November 2010</b:Pages>
    <b:ConferenceName>Policies for Agriculture, Development, Poverty Reduction and Food Security,</b:ConferenceName>
    <b:City>Paris</b:City>
    <b:Publisher>OECD</b:Publisher>
    <b:RefOrder>51</b:RefOrder>
  </b:Source>
  <b:Source>
    <b:Tag>Gun11</b:Tag>
    <b:SourceType>JournalArticle</b:SourceType>
    <b:Guid>{14CF32A8-FF6B-487E-AE7E-E7B9431685C5}</b:Guid>
    <b:Author>
      <b:Author>
        <b:NameList>
          <b:Person>
            <b:Last>Gunchinmaa</b:Last>
            <b:First>T</b:First>
          </b:Person>
          <b:Person>
            <b:Last>Hamdamova</b:Last>
            <b:First>D</b:First>
          </b:Person>
          <b:Person>
            <b:Last>Van Koppen</b:Last>
            <b:First>B</b:First>
          </b:Person>
        </b:NameList>
      </b:Author>
    </b:Author>
    <b:Title>Gender in Irrigated Farming: A Case in the Zerafshan River Basin, Uzbekistan, Asian Institute of Technology,</b:Title>
    <b:Year>2011</b:Year>
    <b:JournalName>Gender Technology and Development</b:JournalName>
    <b:Pages>15 (2) 201-222</b:Pages>
    <b:RefOrder>52</b:RefOrder>
  </b:Source>
  <b:Source>
    <b:Tag>Wor10</b:Tag>
    <b:SourceType>Book</b:SourceType>
    <b:Guid>{12ACAD47-6909-4D0C-9F01-54C96C4FA9F2}</b:Guid>
    <b:Title>Gender and Governance in Rural Services: Insights from India, Ghana and Ethiopia</b:Title>
    <b:Year>2010</b:Year>
    <b:City>Washington, DC</b:City>
    <b:Publisher>World Bank</b:Publisher>
    <b:Author>
      <b:Author>
        <b:NameList>
          <b:Person>
            <b:Last>WorldBankandIFPRI</b:Last>
          </b:Person>
        </b:NameList>
      </b:Author>
    </b:Author>
    <b:RefOrder>53</b:RefOrder>
  </b:Source>
  <b:Source>
    <b:Tag>Jay92</b:Tag>
    <b:SourceType>JournalArticle</b:SourceType>
    <b:Guid>{C9A9CFB0-333A-4B27-B098-2B92CDD9AC26}</b:Guid>
    <b:Author>
      <b:Author>
        <b:NameList>
          <b:Person>
            <b:Last>Jayasekhar</b:Last>
            <b:First>L</b:First>
          </b:Person>
          <b:Person>
            <b:Last>Karunakaran</b:Last>
            <b:First>K</b:First>
          </b:Person>
          <b:Person>
            <b:Last>Lowdermilk</b:Last>
            <b:First>M</b:First>
          </b:Person>
        </b:NameList>
      </b:Author>
    </b:Author>
    <b:Title>Women in Irrigation: Case Study in South India,</b:Title>
    <b:JournalName>Journal of Extension Systems, India</b:JournalName>
    <b:Year>1992</b:Year>
    <b:Pages>l 8 (1&amp;2):114-124</b:Pages>
    <b:RefOrder>54</b:RefOrder>
  </b:Source>
  <b:Source>
    <b:Tag>Kis13</b:Tag>
    <b:SourceType>Report</b:SourceType>
    <b:Guid>{BA04572E-5292-4A2C-A0EC-FA480224D5D1}</b:Guid>
    <b:Author>
      <b:Author>
        <b:NameList>
          <b:Person>
            <b:Last>Kishindo</b:Last>
            <b:First>P</b:First>
          </b:Person>
        </b:NameList>
      </b:Author>
    </b:Author>
    <b:Title>Customary Land and Agricultural Development in Malawi</b:Title>
    <b:Year>2013</b:Year>
    <b:City>Malawi</b:City>
    <b:RefOrder>55</b:RefOrder>
  </b:Source>
  <b:Source>
    <b:Tag>Kus94</b:Tag>
    <b:SourceType>Report</b:SourceType>
    <b:Guid>{670715F5-CAA1-4242-AD09-7C81C335ED5C}</b:Guid>
    <b:Author>
      <b:Author>
        <b:NameList>
          <b:Person>
            <b:Last>Kusum</b:Last>
            <b:First>A</b:First>
          </b:Person>
          <b:Person>
            <b:Last>Zwarteveen</b:Last>
            <b:First>M</b:First>
          </b:Person>
        </b:NameList>
      </b:Author>
    </b:Author>
    <b:Title>Participatory Management: Who Participates?Annual Progress Report for 1993/1994 Gender Programme International Irrigation Managem</b:Title>
    <b:Year>1994</b:Year>
    <b:JournalName>Paper Published in Economic Review, Journal of Gender Issues in Irrigation Management</b:JournalName>
    <b:Pages>Colombo Sri Lanka: IWM.</b:Pages>
    <b:Publisher>IWMI</b:Publisher>
    <b:City>Colombo</b:City>
    <b:RefOrder>56</b:RefOrder>
  </b:Source>
  <b:Source>
    <b:Tag>Lel89</b:Tag>
    <b:SourceType>JournalArticle</b:SourceType>
    <b:Guid>{6521867F-BE75-4388-B2BB-FDEC0096605E}</b:Guid>
    <b:Author>
      <b:Author>
        <b:NameList>
          <b:Person>
            <b:Last>Lele</b:Last>
            <b:First>U</b:First>
          </b:Person>
          <b:Person>
            <b:Last>Stone</b:Last>
            <b:First>S.</b:First>
            <b:Middle>W</b:Middle>
          </b:Person>
        </b:NameList>
      </b:Author>
    </b:Author>
    <b:Title>Population Pressure, The Environment and Agriculture Intensification: Variations on the Boserup Hypothesis,</b:Title>
    <b:Year>1989</b:Year>
    <b:JournalName>MADIA Discussion Paper</b:JournalName>
    <b:Pages>Report No. 8325, Vol. 1</b:Pages>
    <b:RefOrder>57</b:RefOrder>
  </b:Source>
  <b:Source>
    <b:Tag>Mal14</b:Tag>
    <b:SourceType>Report</b:SourceType>
    <b:Guid>{56CBD88A-E26D-4F84-A4C5-36A5AAB577F0}</b:Guid>
    <b:Author>
      <b:Author>
        <b:NameList>
          <b:Person>
            <b:Last>Malapit</b:Last>
            <b:First>H.</b:First>
            <b:Middle>J</b:Middle>
          </b:Person>
          <b:Person>
            <b:Last>Kathryn</b:Last>
            <b:First>S</b:First>
          </b:Person>
          <b:Person>
            <b:Last>Kovarik</b:Last>
            <b:First>C</b:First>
          </b:Person>
          <b:Person>
            <b:Last>Meinzen-Dick</b:Last>
            <b:First>R</b:First>
          </b:Person>
          <b:Person>
            <b:Last>Quisumbing</b:Last>
            <b:First>A</b:First>
          </b:Person>
          <b:Person>
            <b:Last>Ramzan</b:Last>
            <b:First>F</b:First>
          </b:Person>
          <b:Person>
            <b:Last>Hogue</b:Last>
            <b:First>E</b:First>
          </b:Person>
          <b:Person>
            <b:Last>Alkire</b:Last>
            <b:First>S</b:First>
          </b:Person>
        </b:NameList>
      </b:Author>
    </b:Author>
    <b:Title>Measuring Progress Towards Empowerment, Women’s Empowerment in Agriculture Index, Baseline Report, I</b:Title>
    <b:Year>2014</b:Year>
    <b:City>Washington DC</b:City>
    <b:Publisher>IFPRI. www.ifpri.org (date accessed: 8 october 2014).</b:Publisher>
    <b:RefOrder>58</b:RefOrder>
  </b:Source>
  <b:Source>
    <b:Tag>Mei12</b:Tag>
    <b:SourceType>Report</b:SourceType>
    <b:Guid>{653BD5D7-12A8-4C1E-AECE-FD88945C15AD}</b:Guid>
    <b:Author>
      <b:Author>
        <b:NameList>
          <b:Person>
            <b:Last>Meinz-Dick</b:Last>
            <b:First>R</b:First>
          </b:Person>
          <b:Person>
            <b:Last>Van Koppen</b:Last>
            <b:First>B</b:First>
          </b:Person>
          <b:Person>
            <b:Last>Behrman</b:Last>
            <b:First>J</b:First>
          </b:Person>
          <b:Person>
            <b:Last>Karelina</b:Last>
            <b:First>Z</b:First>
          </b:Person>
          <b:Person>
            <b:Last>Akamandisa</b:Last>
            <b:First>V</b:First>
          </b:Person>
          <b:Person>
            <b:Last>Hope</b:Last>
            <b:First>L</b:First>
          </b:Person>
          <b:Person>
            <b:Last>Wielgosz</b:Last>
            <b:First>B</b:First>
          </b:Person>
        </b:NameList>
      </b:Author>
    </b:Author>
    <b:Title>Putting Gender on the Map, Methods for Mapping Gendered Farm Management Systems in Sub Saharan Africa, IFPRI Discussion Paper 01153 January 2012:</b:Title>
    <b:Year>2012</b:Year>
    <b:Publisher>IWMI-IFPRI.</b:Publisher>
    <b:City>Washington DC</b:City>
    <b:RefOrder>59</b:RefOrder>
  </b:Source>
  <b:Source>
    <b:Tag>Mei10</b:Tag>
    <b:SourceType>Report</b:SourceType>
    <b:Guid>{2E6E8F55-3145-4CF5-8C99-BE04C6E54269}</b:Guid>
    <b:Author>
      <b:Author>
        <b:NameList>
          <b:Person>
            <b:Last>Meinzen-Dick</b:Last>
            <b:First>R</b:First>
          </b:Person>
          <b:Person>
            <b:Last>Quisumbing</b:Last>
            <b:First>A</b:First>
          </b:Person>
          <b:Person>
            <b:Last>Behrman</b:Last>
            <b:First>J</b:First>
          </b:Person>
          <b:Person>
            <b:Last>Biermayr-Jenzano</b:Last>
            <b:First>P</b:First>
          </b:Person>
          <b:Person>
            <b:Last>Wilde</b:Last>
            <b:First>V</b:First>
          </b:Person>
          <b:Person>
            <b:Last>Noordeloos</b:Last>
            <b:First>M</b:First>
          </b:Person>
          <b:Person>
            <b:Last>Ragasa</b:Last>
            <b:First>C</b:First>
          </b:Person>
          <b:Person>
            <b:Last>Beintema</b:Last>
            <b:First>N</b:First>
          </b:Person>
        </b:NameList>
      </b:Author>
    </b:Author>
    <b:Title>Engendering Agricultural Research, IFPRI Discussion Paper 973</b:Title>
    <b:Year>2010</b:Year>
    <b:Publisher>International Food Policy Research Institute. www.ifpri.org/publication/engendering-agricultural-research (date accessed: 8 October 2014)</b:Publisher>
    <b:City>Washington DC</b:City>
    <b:RefOrder>60</b:RefOrder>
  </b:Source>
  <b:Source>
    <b:Tag>Mer97</b:Tag>
    <b:SourceType>ConferenceProceedings</b:SourceType>
    <b:Guid>{1972260C-D24D-4A45-B848-187FA5358379}</b:Guid>
    <b:Author>
      <b:Author>
        <b:NameList>
          <b:Person>
            <b:Last>Merrey</b:Last>
            <b:First>D</b:First>
          </b:Person>
          <b:Person>
            <b:Last>Baviskar</b:Last>
            <b:First>S</b:First>
          </b:Person>
        </b:NameList>
      </b:Author>
    </b:Author>
    <b:Title>Gender Analysis and Reform of Irrigation Management:</b:Title>
    <b:Year>1997</b:Year>
    <b:Publisher>IWMI</b:Publisher>
    <b:City>Habarana, Sri Langa</b:City>
    <b:Pages>15-19 September</b:Pages>
    <b:ConferenceName>Concepts, Cases and Gaps in Knowledge, Proceeding of the Workshop on Gender and Water</b:ConferenceName>
    <b:RefOrder>61</b:RefOrder>
  </b:Source>
  <b:Source>
    <b:Tag>Mer14</b:Tag>
    <b:SourceType>Book</b:SourceType>
    <b:Guid>{45B22B21-09A4-49D9-A0CE-FD791ACDC7B3}</b:Guid>
    <b:Author>
      <b:Author>
        <b:NameList>
          <b:Person>
            <b:Last>Meryl</b:Last>
            <b:First>R</b:First>
          </b:Person>
          <b:Person>
            <b:Last>Sapkota</b:Last>
            <b:First>T</b:First>
          </b:Person>
          <b:Person>
            <b:Last>Stirling</b:Last>
            <b:First>C</b:First>
          </b:Person>
          <b:Person>
            <b:Last>Thierfelder</b:Last>
            <b:First>C</b:First>
          </b:Person>
          <b:Person>
            <b:Last>Verhulst</b:Last>
            <b:First>N</b:First>
          </b:Person>
          <b:Person>
            <b:Last>Friedrich</b:Last>
            <b:First>T</b:First>
          </b:Person>
          <b:Person>
            <b:Last>Kienzle</b:Last>
            <b:First>J</b:First>
          </b:Person>
        </b:NameList>
      </b:Author>
    </b:Author>
    <b:Title>Conservation Agriculture Implementation Guide for Policy Makers and Investors,</b:Title>
    <b:Year>2014</b:Year>
    <b:City>Hayduk</b:City>
    <b:Publisher>FAO/D</b:Publisher>
    <b:RefOrder>62</b:RefOrder>
  </b:Source>
  <b:Source>
    <b:Tag>Nya14</b:Tag>
    <b:SourceType>JournalArticle</b:SourceType>
    <b:Guid>{FBD4C22D-77B4-4FAF-B573-D09A8F9015DE}</b:Guid>
    <b:Author>
      <b:Author>
        <b:NameList>
          <b:Person>
            <b:Last>Nyamwanza</b:Last>
            <b:First>O</b:First>
          </b:Person>
          <b:Person>
            <b:Last>Dzingirai</b:Last>
            <b:First>E</b:First>
          </b:Person>
          <b:Person>
            <b:Last>Mandizadza</b:Last>
            <b:First>E</b:First>
          </b:Person>
        </b:NameList>
      </b:Author>
    </b:Author>
    <b:Title>Modern Agriculture Technologies and the Human Factor,</b:Title>
    <b:Year>2014</b:Year>
    <b:JournalName>Modern Agri-Tech and the HF</b:JournalName>
    <b:Pages>20 (1): 131</b:Pages>
    <b:RefOrder>63</b:RefOrder>
  </b:Source>
  <b:Source>
    <b:Tag>Pet84</b:Tag>
    <b:SourceType>JournalArticle</b:SourceType>
    <b:Guid>{4D58F932-EB7C-4DFD-939C-6E469B4CB6F2}</b:Guid>
    <b:Author>
      <b:Author>
        <b:NameList>
          <b:Person>
            <b:Last>Peters</b:Last>
            <b:First>P</b:First>
          </b:Person>
        </b:NameList>
      </b:Author>
    </b:Author>
    <b:Title>Struggles over Water, Struggles Over Meaning</b:Title>
    <b:JournalName>Cattle, Water and the State Africa</b:JournalName>
    <b:Year>1984</b:Year>
    <b:Pages>54 (3): 29-49</b:Pages>
    <b:RefOrder>64</b:RefOrder>
  </b:Source>
  <b:Source>
    <b:Tag>Rea98</b:Tag>
    <b:SourceType>ConferenceProceedings</b:SourceType>
    <b:Guid>{3CE4F533-1268-4598-AEB4-44ED1F719308}</b:Guid>
    <b:Title>Sustainable vs Unsustainable Agriculture intensification in Africa: Focus on Policy Reforms and Market Conditions,</b:Title>
    <b:Year>1998</b:Year>
    <b:Author>
      <b:Author>
        <b:NameList>
          <b:Person>
            <b:Last>Reardon</b:Last>
            <b:First>T</b:First>
          </b:Person>
          <b:Person>
            <b:Last>Barre</b:Last>
            <b:First>C.</b:First>
            <b:Middle>B</b:Middle>
          </b:Person>
          <b:Person>
            <b:Last>Kelly</b:Last>
            <b:First>V</b:First>
          </b:Person>
          <b:Person>
            <b:Last>Savadogo</b:Last>
            <b:First>K</b:First>
          </b:Person>
        </b:NameList>
      </b:Author>
    </b:Author>
    <b:Publisher>Intensification, Economic Development and the Environment, ,</b:Publisher>
    <b:City>Salt Lake city:Utah.</b:City>
    <b:Pages>31 July-1 August</b:Pages>
    <b:ConferenceName>Paper Invited for Presentation at the AAEA International Pre Conference on Agriculture Intensification Economic Development and Environment</b:ConferenceName>
    <b:RefOrder>65</b:RefOrder>
  </b:Source>
  <b:Source>
    <b:Tag>Zwa96</b:Tag>
    <b:SourceType>Report</b:SourceType>
    <b:Guid>{DE36EF9A-5DF1-45FD-A501-21EE7E59C04C}</b:Guid>
    <b:Author>
      <b:Author>
        <b:NameList>
          <b:Person>
            <b:Last>Zwarteveen</b:Last>
            <b:First>M</b:First>
          </b:Person>
          <b:Person>
            <b:Last>Neupane</b:Last>
            <b:First>N</b:First>
          </b:Person>
        </b:NameList>
      </b:Author>
    </b:Author>
    <b:Title>Free Riders or Victims: Women’s Non Participation in Irrigation Management in Nepal’s Chhattis Mauja Irrigation Scheme, Research Report 7</b:Title>
    <b:Year>1996</b:Year>
    <b:City>Colombo</b:City>
    <b:Publisher>IWMI. ISSN: 1026-0862. http://www.cgiar.org (date accessed: 8 October 2014)</b:Publisher>
    <b:RefOrder>66</b:RefOrder>
  </b:Source>
  <b:Source>
    <b:Tag>Wor061</b:Tag>
    <b:SourceType>Book</b:SourceType>
    <b:Guid>{1230EF51-AD18-49E4-A6B7-CA70ED1E2779}</b:Guid>
    <b:Title>Reengaging in Agricultural Water Management: Challenges and Options, Technology and Engineering</b:Title>
    <b:Year>2006</b:Year>
    <b:Author>
      <b:Author>
        <b:NameList>
          <b:Person>
            <b:Last>WorldBank</b:Last>
          </b:Person>
        </b:NameList>
      </b:Author>
    </b:Author>
    <b:Publisher>World Bank. books.google.co.za/books?isbn=8175962623. (date accessed: 17 November 2014)</b:Publisher>
    <b:RefOrder>67</b:RefOrder>
  </b:Source>
</b:Sources>
</file>

<file path=customXml/itemProps1.xml><?xml version="1.0" encoding="utf-8"?>
<ds:datastoreItem xmlns:ds="http://schemas.openxmlformats.org/officeDocument/2006/customXml" ds:itemID="{7EBDB8BE-B938-4E35-8442-BFC4916BEA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239356-9CA7-4610-AFDF-5DCA0CEFF89F}">
  <ds:schemaRefs>
    <ds:schemaRef ds:uri="http://schemas.microsoft.com/sharepoint/v3/contenttype/forms"/>
  </ds:schemaRefs>
</ds:datastoreItem>
</file>

<file path=customXml/itemProps3.xml><?xml version="1.0" encoding="utf-8"?>
<ds:datastoreItem xmlns:ds="http://schemas.openxmlformats.org/officeDocument/2006/customXml" ds:itemID="{7B1476F9-F534-43F1-8CE2-7338D11C2F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f95b96-4c08-46ad-b67a-6a4dae54c1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8376D5-FF93-4051-8BA5-0A0D831E9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33</Pages>
  <Words>11899</Words>
  <Characters>67830</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Williamson</dc:creator>
  <cp:lastModifiedBy>Everisto Mapedza</cp:lastModifiedBy>
  <cp:revision>4</cp:revision>
  <cp:lastPrinted>2015-01-29T12:30:00Z</cp:lastPrinted>
  <dcterms:created xsi:type="dcterms:W3CDTF">2016-01-14T13:13:00Z</dcterms:created>
  <dcterms:modified xsi:type="dcterms:W3CDTF">2016-01-20T13:05:00Z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0x010100CA75D81B0623B14EA022E74D6FBD39D1</vt:lpwstr>
  </property>
</Properties>
</file>