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1457" w:rsidRPr="00725C6D" w:rsidRDefault="00F21457" w:rsidP="00F21457">
      <w:pPr>
        <w:spacing w:after="0" w:line="240" w:lineRule="auto"/>
        <w:jc w:val="both"/>
      </w:pPr>
      <w:r w:rsidRPr="00725C6D">
        <w:rPr>
          <w:color w:val="2E74B5" w:themeColor="accent1" w:themeShade="BF"/>
        </w:rPr>
        <w:t>Activity 4 - Conduct adaptive trials in target sites (locations) in collaboration with NARS</w:t>
      </w:r>
    </w:p>
    <w:p w:rsidR="00F21457" w:rsidRPr="00725C6D" w:rsidRDefault="00F21457" w:rsidP="00F21457">
      <w:pPr>
        <w:spacing w:after="0" w:line="240" w:lineRule="auto"/>
        <w:jc w:val="both"/>
      </w:pPr>
      <w:r w:rsidRPr="00725C6D">
        <w:t xml:space="preserve"> </w:t>
      </w:r>
    </w:p>
    <w:p w:rsidR="00F21457" w:rsidRPr="00725C6D" w:rsidRDefault="00F21457" w:rsidP="00F21457">
      <w:pPr>
        <w:spacing w:after="0" w:line="240" w:lineRule="auto"/>
        <w:jc w:val="both"/>
      </w:pPr>
      <w:r w:rsidRPr="00725C6D">
        <w:t xml:space="preserve">Objective: </w:t>
      </w:r>
      <w:r>
        <w:t xml:space="preserve">To support the variety release pipelines with groundnut breeding lines with key traits. </w:t>
      </w:r>
    </w:p>
    <w:p w:rsidR="00F21457" w:rsidRPr="00725C6D" w:rsidRDefault="00F21457" w:rsidP="00F21457">
      <w:pPr>
        <w:spacing w:after="0" w:line="240" w:lineRule="auto"/>
        <w:jc w:val="both"/>
      </w:pPr>
    </w:p>
    <w:p w:rsidR="00F21457" w:rsidRPr="00725C6D" w:rsidRDefault="00F21457" w:rsidP="00F21457">
      <w:pPr>
        <w:spacing w:after="0" w:line="240" w:lineRule="auto"/>
        <w:jc w:val="both"/>
      </w:pPr>
      <w:r w:rsidRPr="00725C6D">
        <w:t xml:space="preserve">Materials and methods: Best lines identified at ICRISAT are </w:t>
      </w:r>
      <w:r>
        <w:t xml:space="preserve">multiplied </w:t>
      </w:r>
      <w:r w:rsidRPr="00725C6D">
        <w:t xml:space="preserve">and shared with NARS for </w:t>
      </w:r>
      <w:r>
        <w:t xml:space="preserve">conducting </w:t>
      </w:r>
      <w:r w:rsidRPr="00725C6D">
        <w:t>adaptive trials.</w:t>
      </w:r>
      <w:r>
        <w:t xml:space="preserve"> </w:t>
      </w:r>
    </w:p>
    <w:p w:rsidR="00F21457" w:rsidRPr="00725C6D" w:rsidRDefault="00F21457" w:rsidP="00F21457">
      <w:pPr>
        <w:spacing w:after="0" w:line="240" w:lineRule="auto"/>
        <w:jc w:val="both"/>
      </w:pPr>
    </w:p>
    <w:p w:rsidR="00F21457" w:rsidRPr="00725C6D" w:rsidRDefault="00F21457" w:rsidP="00F21457">
      <w:pPr>
        <w:spacing w:after="0" w:line="240" w:lineRule="auto"/>
        <w:jc w:val="both"/>
        <w:rPr>
          <w:noProof/>
        </w:rPr>
      </w:pPr>
      <w:r w:rsidRPr="00725C6D">
        <w:t xml:space="preserve">Results and interpretation: Fifty-seven introgression lines (ILs) that combine early maturity with foliar fungal disease resistance were shared with six national partners, </w:t>
      </w:r>
      <w:r>
        <w:t xml:space="preserve">and </w:t>
      </w:r>
      <w:r w:rsidRPr="00725C6D">
        <w:t>multi-location evaluation of these ILs in disease hotspots recorded significant pod and haulm yield increase over the recurrent parents (</w:t>
      </w:r>
      <w:proofErr w:type="spellStart"/>
      <w:r w:rsidRPr="00725C6D">
        <w:t>Janila</w:t>
      </w:r>
      <w:proofErr w:type="spellEnd"/>
      <w:r w:rsidRPr="00725C6D">
        <w:t xml:space="preserve"> et al. 2016, Plant Breeding. </w:t>
      </w:r>
      <w:proofErr w:type="spellStart"/>
      <w:r w:rsidRPr="00725C6D">
        <w:t>Doi</w:t>
      </w:r>
      <w:proofErr w:type="spellEnd"/>
      <w:r w:rsidRPr="00725C6D">
        <w:t xml:space="preserve">: 10.1111/pbr.12358.). At Dharwad-Karnataka, a foliar fungal disease hot spot location in India, introgression lines recorded higher pod yield over the state check varieties, GPBD 4 and G 2-52 under both, irrigated and </w:t>
      </w:r>
      <w:proofErr w:type="spellStart"/>
      <w:r w:rsidRPr="00725C6D">
        <w:t>rainfed</w:t>
      </w:r>
      <w:proofErr w:type="spellEnd"/>
      <w:r w:rsidRPr="00725C6D">
        <w:t xml:space="preserve"> conditions. Selected introgression lines recorded up to 6.8 t ha pod yield, 26% higher than GPBD 4 (5.4 t ha) and 46% over G 2-52 (4.8 t ha) under irrigated conditions, and up to 5.8 t ha pod yield, which is 29% higher than GPBD 4 (4.1 t ha) and 40% over G 2-52 (3.6 t ha) under </w:t>
      </w:r>
      <w:proofErr w:type="spellStart"/>
      <w:r w:rsidRPr="00725C6D">
        <w:t>rainfed</w:t>
      </w:r>
      <w:proofErr w:type="spellEnd"/>
      <w:r w:rsidRPr="00725C6D">
        <w:t xml:space="preserve"> conditions (Fig. 3 &amp; 4). </w:t>
      </w:r>
    </w:p>
    <w:p w:rsidR="00F21457" w:rsidRPr="00725C6D" w:rsidRDefault="00F21457" w:rsidP="00F21457">
      <w:pPr>
        <w:spacing w:after="0" w:line="240" w:lineRule="auto"/>
        <w:jc w:val="both"/>
      </w:pPr>
    </w:p>
    <w:p w:rsidR="00F21457" w:rsidRPr="00725C6D" w:rsidRDefault="00F21457" w:rsidP="00F21457">
      <w:pPr>
        <w:spacing w:after="0" w:line="240" w:lineRule="auto"/>
        <w:jc w:val="both"/>
      </w:pPr>
      <w:r w:rsidRPr="00725C6D">
        <w:t>Sixty-five high oleic lines were shared for multi-location testing in India</w:t>
      </w:r>
      <w:r>
        <w:t>, the lines had oleic acid content varying from 75 to 82%</w:t>
      </w:r>
      <w:r w:rsidRPr="00725C6D">
        <w:t>. In 2016, international nurseries were shared with six countries</w:t>
      </w:r>
      <w:r>
        <w:t xml:space="preserve"> to conduct adaptive trials</w:t>
      </w:r>
      <w:r w:rsidRPr="00725C6D">
        <w:t xml:space="preserve">. </w:t>
      </w:r>
      <w:r>
        <w:t>128 advanced breeding l</w:t>
      </w:r>
      <w:r w:rsidRPr="00725C6D">
        <w:t>ines for the key traits, drought tolerant, short-duration and fo</w:t>
      </w:r>
      <w:r>
        <w:t xml:space="preserve">liar diseases resistant were shared with </w:t>
      </w:r>
      <w:r w:rsidRPr="00725C6D">
        <w:t>ICRISAT</w:t>
      </w:r>
      <w:r>
        <w:t xml:space="preserve">-Kano and ICRISAT-Bamako, and with </w:t>
      </w:r>
      <w:r w:rsidRPr="00725C6D">
        <w:t xml:space="preserve">collaborators in Myanmar and Bangladesh. </w:t>
      </w:r>
      <w:r>
        <w:t xml:space="preserve">Twenty high oleic lines were shared with our </w:t>
      </w:r>
      <w:r w:rsidRPr="00725C6D">
        <w:t xml:space="preserve">collaborator in Uganda. Seed increase </w:t>
      </w:r>
      <w:r>
        <w:t xml:space="preserve">of 200 lines to enable </w:t>
      </w:r>
      <w:r w:rsidRPr="00725C6D">
        <w:t>seed supply in 2017.</w:t>
      </w:r>
    </w:p>
    <w:p w:rsidR="00F21457" w:rsidRPr="00725C6D" w:rsidRDefault="00F21457" w:rsidP="00F21457">
      <w:pPr>
        <w:spacing w:after="0" w:line="240" w:lineRule="auto"/>
        <w:jc w:val="both"/>
      </w:pPr>
    </w:p>
    <w:p w:rsidR="00F21457" w:rsidRPr="00725C6D" w:rsidRDefault="00F21457" w:rsidP="00F21457">
      <w:pPr>
        <w:spacing w:after="0" w:line="240" w:lineRule="auto"/>
        <w:jc w:val="center"/>
      </w:pPr>
      <w:r w:rsidRPr="00725C6D">
        <w:rPr>
          <w:noProof/>
        </w:rPr>
        <w:drawing>
          <wp:inline distT="0" distB="0" distL="0" distR="0" wp14:anchorId="65AF762A" wp14:editId="17552292">
            <wp:extent cx="5248275" cy="3095625"/>
            <wp:effectExtent l="0" t="0" r="9525" b="9525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F21457" w:rsidRPr="00725C6D" w:rsidRDefault="00F21457" w:rsidP="00F21457">
      <w:pPr>
        <w:spacing w:after="0" w:line="240" w:lineRule="auto"/>
        <w:jc w:val="center"/>
        <w:rPr>
          <w:i/>
          <w:noProof/>
          <w:sz w:val="18"/>
        </w:rPr>
      </w:pPr>
      <w:r w:rsidRPr="00725C6D">
        <w:rPr>
          <w:i/>
          <w:sz w:val="18"/>
        </w:rPr>
        <w:t>Fig. 3. Pod yield (PY) of groundnut introgression lines compared to recurrent parents at Dharwad location.</w:t>
      </w:r>
    </w:p>
    <w:p w:rsidR="00F21457" w:rsidRPr="00725C6D" w:rsidRDefault="00F21457" w:rsidP="00F21457">
      <w:pPr>
        <w:spacing w:after="0" w:line="240" w:lineRule="auto"/>
        <w:jc w:val="both"/>
        <w:rPr>
          <w:noProof/>
        </w:rPr>
      </w:pPr>
    </w:p>
    <w:p w:rsidR="00F21457" w:rsidRPr="00725C6D" w:rsidRDefault="00F21457" w:rsidP="00F21457">
      <w:pPr>
        <w:spacing w:after="0" w:line="240" w:lineRule="auto"/>
        <w:jc w:val="center"/>
      </w:pPr>
      <w:r w:rsidRPr="00725C6D">
        <w:rPr>
          <w:noProof/>
        </w:rPr>
        <w:lastRenderedPageBreak/>
        <w:drawing>
          <wp:inline distT="0" distB="0" distL="0" distR="0" wp14:anchorId="381BF170" wp14:editId="230A2A95">
            <wp:extent cx="2974975" cy="223139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975" cy="2231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21457" w:rsidRPr="00725C6D" w:rsidRDefault="00F21457" w:rsidP="00F21457">
      <w:pPr>
        <w:spacing w:after="0" w:line="240" w:lineRule="auto"/>
        <w:jc w:val="center"/>
        <w:rPr>
          <w:i/>
        </w:rPr>
      </w:pPr>
      <w:r w:rsidRPr="00725C6D">
        <w:rPr>
          <w:i/>
          <w:sz w:val="18"/>
        </w:rPr>
        <w:t xml:space="preserve">Fig. 4. Introgression line in the genetic background of TAG 24 (left), </w:t>
      </w:r>
      <w:r>
        <w:rPr>
          <w:i/>
          <w:sz w:val="18"/>
        </w:rPr>
        <w:t xml:space="preserve">recurrent parent, </w:t>
      </w:r>
      <w:r w:rsidRPr="00725C6D">
        <w:rPr>
          <w:i/>
          <w:sz w:val="18"/>
        </w:rPr>
        <w:t xml:space="preserve">TAG 24 (middle) and </w:t>
      </w:r>
      <w:r>
        <w:rPr>
          <w:i/>
          <w:sz w:val="18"/>
        </w:rPr>
        <w:t xml:space="preserve">disease </w:t>
      </w:r>
      <w:r w:rsidRPr="00725C6D">
        <w:rPr>
          <w:i/>
          <w:sz w:val="18"/>
        </w:rPr>
        <w:t>resistance donor, GPBD 4 (right) at 75 days after planting in disease nursery at ICRISAT-</w:t>
      </w:r>
      <w:proofErr w:type="spellStart"/>
      <w:r w:rsidRPr="00725C6D">
        <w:rPr>
          <w:i/>
          <w:sz w:val="18"/>
        </w:rPr>
        <w:t>Patancheru</w:t>
      </w:r>
      <w:proofErr w:type="spellEnd"/>
      <w:r w:rsidRPr="00725C6D">
        <w:rPr>
          <w:i/>
          <w:sz w:val="18"/>
        </w:rPr>
        <w:t>.</w:t>
      </w:r>
    </w:p>
    <w:p w:rsidR="00F21457" w:rsidRPr="00725C6D" w:rsidRDefault="00F21457" w:rsidP="00F21457">
      <w:pPr>
        <w:spacing w:after="0" w:line="240" w:lineRule="auto"/>
        <w:jc w:val="both"/>
      </w:pPr>
    </w:p>
    <w:p w:rsidR="00F21457" w:rsidRPr="00725C6D" w:rsidRDefault="00F21457" w:rsidP="00F21457">
      <w:pPr>
        <w:spacing w:after="0" w:line="240" w:lineRule="auto"/>
        <w:jc w:val="both"/>
      </w:pPr>
      <w:r w:rsidRPr="00725C6D">
        <w:t>Next steps: Seed increase and sharing of new high oleic lines and the lines that combine early maturity with foliar fung</w:t>
      </w:r>
      <w:r>
        <w:t xml:space="preserve">al disease resistance. Develop </w:t>
      </w:r>
      <w:r w:rsidRPr="00725C6D">
        <w:t>International Nurseries for high oleic, hi</w:t>
      </w:r>
      <w:r>
        <w:t xml:space="preserve">gh oil, and fresh seed-dormancy and share them with partners. </w:t>
      </w:r>
    </w:p>
    <w:p w:rsidR="00F21457" w:rsidRPr="00725C6D" w:rsidRDefault="00F21457" w:rsidP="00F21457">
      <w:r w:rsidRPr="00725C6D">
        <w:br w:type="page"/>
      </w:r>
    </w:p>
    <w:p w:rsidR="00E17767" w:rsidRDefault="00E17767">
      <w:bookmarkStart w:id="0" w:name="_GoBack"/>
      <w:bookmarkEnd w:id="0"/>
    </w:p>
    <w:sectPr w:rsidR="00E177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361"/>
    <w:rsid w:val="001E2361"/>
    <w:rsid w:val="00E17767"/>
    <w:rsid w:val="00F21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FFCDAE-32CB-4BA6-9614-629CDE2B7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14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'D:\murali\MABC data file\multilocation MABC FD trial r 2015\[Final list in AICRP AVT NIL trial.xlsx]Sheet1'!$D$2</c:f>
              <c:strCache>
                <c:ptCount val="1"/>
                <c:pt idx="0">
                  <c:v>PY (kg/ha)</c:v>
                </c:pt>
              </c:strCache>
            </c:strRef>
          </c:tx>
          <c:spPr>
            <a:solidFill>
              <a:schemeClr val="accent2">
                <a:lumMod val="75000"/>
              </a:schemeClr>
            </a:solidFill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37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16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-21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24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tx>
                <c:rich>
                  <a:bodyPr/>
                  <a:lstStyle/>
                  <a:p>
                    <a:r>
                      <a:rPr lang="en-US"/>
                      <a:t>55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tx>
                <c:rich>
                  <a:bodyPr/>
                  <a:lstStyle/>
                  <a:p>
                    <a:r>
                      <a:rPr lang="en-US"/>
                      <a:t>46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tx>
                <c:rich>
                  <a:bodyPr/>
                  <a:lstStyle/>
                  <a:p>
                    <a:r>
                      <a:rPr lang="en-US"/>
                      <a:t>52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tx>
                <c:rich>
                  <a:bodyPr/>
                  <a:lstStyle/>
                  <a:p>
                    <a:r>
                      <a:rPr lang="en-US"/>
                      <a:t>48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tx>
                <c:rich>
                  <a:bodyPr/>
                  <a:lstStyle/>
                  <a:p>
                    <a:r>
                      <a:rPr lang="en-US"/>
                      <a:t>30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9"/>
              <c:tx>
                <c:rich>
                  <a:bodyPr/>
                  <a:lstStyle/>
                  <a:p>
                    <a:r>
                      <a:rPr lang="en-US"/>
                      <a:t>37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0"/>
              <c:tx>
                <c:rich>
                  <a:bodyPr/>
                  <a:lstStyle/>
                  <a:p>
                    <a:r>
                      <a:rPr lang="en-US"/>
                      <a:t>17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1"/>
              <c:tx>
                <c:rich>
                  <a:bodyPr/>
                  <a:lstStyle/>
                  <a:p>
                    <a:r>
                      <a:rPr lang="en-US"/>
                      <a:t>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2"/>
              <c:tx>
                <c:rich>
                  <a:bodyPr/>
                  <a:lstStyle/>
                  <a:p>
                    <a:r>
                      <a:rPr lang="en-US"/>
                      <a:t>13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3"/>
              <c:tx>
                <c:rich>
                  <a:bodyPr/>
                  <a:lstStyle/>
                  <a:p>
                    <a:r>
                      <a:rPr lang="en-US"/>
                      <a:t>-13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4"/>
              <c:tx>
                <c:rich>
                  <a:bodyPr/>
                  <a:lstStyle/>
                  <a:p>
                    <a:r>
                      <a:rPr lang="en-US"/>
                      <a:t>26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5"/>
              <c:tx>
                <c:rich>
                  <a:bodyPr/>
                  <a:lstStyle/>
                  <a:p>
                    <a:r>
                      <a:rPr lang="en-US"/>
                      <a:t>25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6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17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18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19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20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21"/>
              <c:delete val="1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[1]Sheet1!$B$3:$B$24</c:f>
              <c:strCache>
                <c:ptCount val="22"/>
                <c:pt idx="0">
                  <c:v>ICGV 13189</c:v>
                </c:pt>
                <c:pt idx="1">
                  <c:v>ICGV 13193</c:v>
                </c:pt>
                <c:pt idx="2">
                  <c:v>ICGV 13200</c:v>
                </c:pt>
                <c:pt idx="3">
                  <c:v>ICGV 13207</c:v>
                </c:pt>
                <c:pt idx="4">
                  <c:v>ICGV 13219</c:v>
                </c:pt>
                <c:pt idx="5">
                  <c:v>ICGV 13221</c:v>
                </c:pt>
                <c:pt idx="6">
                  <c:v>ICGV 13229</c:v>
                </c:pt>
                <c:pt idx="7">
                  <c:v>ICGV 13230</c:v>
                </c:pt>
                <c:pt idx="8">
                  <c:v>ICGV 14407</c:v>
                </c:pt>
                <c:pt idx="9">
                  <c:v>ICGV 14410</c:v>
                </c:pt>
                <c:pt idx="10">
                  <c:v>ICGV 14411</c:v>
                </c:pt>
                <c:pt idx="11">
                  <c:v>ICGV 14415</c:v>
                </c:pt>
                <c:pt idx="12">
                  <c:v>ICGV 14421</c:v>
                </c:pt>
                <c:pt idx="13">
                  <c:v>ICGV 14431</c:v>
                </c:pt>
                <c:pt idx="14">
                  <c:v>ICGV 14435</c:v>
                </c:pt>
                <c:pt idx="15">
                  <c:v>ICGV 14441</c:v>
                </c:pt>
                <c:pt idx="16">
                  <c:v>JL 24</c:v>
                </c:pt>
                <c:pt idx="17">
                  <c:v>TAG 24</c:v>
                </c:pt>
                <c:pt idx="18">
                  <c:v>ICGV 91114</c:v>
                </c:pt>
                <c:pt idx="19">
                  <c:v>GPBD 5</c:v>
                </c:pt>
                <c:pt idx="20">
                  <c:v>G2-52</c:v>
                </c:pt>
                <c:pt idx="21">
                  <c:v>GPBD 4</c:v>
                </c:pt>
              </c:strCache>
            </c:strRef>
          </c:cat>
          <c:val>
            <c:numRef>
              <c:f>[1]Sheet1!$D$3:$D$24</c:f>
              <c:numCache>
                <c:formatCode>General</c:formatCode>
                <c:ptCount val="22"/>
                <c:pt idx="0">
                  <c:v>6413</c:v>
                </c:pt>
                <c:pt idx="1">
                  <c:v>5420</c:v>
                </c:pt>
                <c:pt idx="2">
                  <c:v>3684</c:v>
                </c:pt>
                <c:pt idx="3">
                  <c:v>5754</c:v>
                </c:pt>
                <c:pt idx="4">
                  <c:v>5465</c:v>
                </c:pt>
                <c:pt idx="5">
                  <c:v>5165</c:v>
                </c:pt>
                <c:pt idx="6">
                  <c:v>5357</c:v>
                </c:pt>
                <c:pt idx="7">
                  <c:v>5209</c:v>
                </c:pt>
                <c:pt idx="8">
                  <c:v>6065</c:v>
                </c:pt>
                <c:pt idx="9">
                  <c:v>6405</c:v>
                </c:pt>
                <c:pt idx="10">
                  <c:v>5469</c:v>
                </c:pt>
                <c:pt idx="11">
                  <c:v>3652</c:v>
                </c:pt>
                <c:pt idx="12">
                  <c:v>5269</c:v>
                </c:pt>
                <c:pt idx="13">
                  <c:v>4038</c:v>
                </c:pt>
                <c:pt idx="14">
                  <c:v>5824</c:v>
                </c:pt>
                <c:pt idx="15">
                  <c:v>5825</c:v>
                </c:pt>
                <c:pt idx="16">
                  <c:v>3527</c:v>
                </c:pt>
                <c:pt idx="17">
                  <c:v>4638</c:v>
                </c:pt>
                <c:pt idx="18">
                  <c:v>4667</c:v>
                </c:pt>
                <c:pt idx="19">
                  <c:v>3865</c:v>
                </c:pt>
                <c:pt idx="20">
                  <c:v>4824</c:v>
                </c:pt>
                <c:pt idx="21">
                  <c:v>5178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310224736"/>
        <c:axId val="310225296"/>
        <c:axId val="0"/>
      </c:bar3DChart>
      <c:catAx>
        <c:axId val="31022473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 rot="-5400000" vert="horz"/>
          <a:lstStyle/>
          <a:p>
            <a:pPr>
              <a:defRPr/>
            </a:pPr>
            <a:endParaRPr lang="en-US"/>
          </a:p>
        </c:txPr>
        <c:crossAx val="310225296"/>
        <c:crosses val="autoZero"/>
        <c:auto val="1"/>
        <c:lblAlgn val="ctr"/>
        <c:lblOffset val="100"/>
        <c:noMultiLvlLbl val="0"/>
      </c:catAx>
      <c:valAx>
        <c:axId val="310225296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Pod</a:t>
                </a:r>
                <a:r>
                  <a:rPr lang="en-US" baseline="0"/>
                  <a:t> Yield (Kg/ha)</a:t>
                </a:r>
                <a:endParaRPr lang="en-US"/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310224736"/>
        <c:crosses val="autoZero"/>
        <c:crossBetween val="between"/>
      </c:valAx>
    </c:plotArea>
    <c:legend>
      <c:legendPos val="t"/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353</Words>
  <Characters>2016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ICARDA</dc:creator>
  <cp:keywords/>
  <dc:description/>
  <cp:lastModifiedBy>ICARDA</cp:lastModifiedBy>
  <cp:revision>2</cp:revision>
  <dcterms:created xsi:type="dcterms:W3CDTF">2017-02-02T10:12:00Z</dcterms:created>
  <dcterms:modified xsi:type="dcterms:W3CDTF">2017-02-02T10:12:00Z</dcterms:modified>
</cp:coreProperties>
</file>