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autoSpaceDE w:val="0"/>
        <w:autoSpaceDN w:val="0"/>
        <w:adjustRightInd w:val="0"/>
        <w:spacing w:after="0" w:line="480" w:lineRule="auto"/>
        <w:jc w:val="center"/>
        <w:rPr>
          <w:rFonts w:ascii="Times New Roman" w:hAnsi="Times New Roman" w:cs="Times New Roman"/>
          <w:b/>
          <w:bCs/>
          <w:sz w:val="32"/>
          <w:szCs w:val="32"/>
        </w:rPr>
      </w:pPr>
      <w:r>
        <w:rPr>
          <w:rFonts w:ascii="Times New Roman" w:hAnsi="Times New Roman" w:cs="Times New Roman"/>
          <w:b/>
          <w:bCs/>
          <w:sz w:val="32"/>
          <w:szCs w:val="32"/>
        </w:rPr>
        <w:t>Income and Consumption Impacts of Improved Faba bean Varieties and</w:t>
      </w:r>
      <w:bookmarkStart w:id="0" w:name="_GoBack"/>
      <w:bookmarkEnd w:id="0"/>
      <w:r>
        <w:rPr>
          <w:rFonts w:ascii="Times New Roman" w:hAnsi="Times New Roman" w:cs="Times New Roman"/>
          <w:b/>
          <w:bCs/>
          <w:sz w:val="32"/>
          <w:szCs w:val="32"/>
        </w:rPr>
        <w:t xml:space="preserve"> Rotation with Wheat: A Moroccan Case</w:t>
      </w:r>
    </w:p>
    <w:p>
      <w:pPr>
        <w:autoSpaceDE w:val="0"/>
        <w:autoSpaceDN w:val="0"/>
        <w:adjustRightInd w:val="0"/>
        <w:spacing w:after="0" w:line="480" w:lineRule="auto"/>
        <w:jc w:val="center"/>
        <w:rPr>
          <w:rFonts w:ascii="Times New Roman" w:hAnsi="Times New Roman" w:cs="Times New Roman"/>
          <w:b/>
          <w:bCs/>
          <w:sz w:val="32"/>
          <w:szCs w:val="32"/>
        </w:rPr>
      </w:pPr>
    </w:p>
    <w:p>
      <w:pPr>
        <w:spacing w:after="0" w:line="480" w:lineRule="auto"/>
        <w:jc w:val="center"/>
        <w:rPr>
          <w:rFonts w:ascii="Times New Roman" w:eastAsia="Times New Roman" w:hAnsi="Times New Roman" w:cs="Times New Roman"/>
          <w:b/>
          <w:bCs/>
          <w:snapToGrid w:val="0"/>
          <w:sz w:val="24"/>
          <w:szCs w:val="24"/>
        </w:rPr>
      </w:pPr>
      <w:r>
        <w:rPr>
          <w:rFonts w:ascii="Times New Roman" w:eastAsia="Times New Roman" w:hAnsi="Times New Roman" w:cs="Times New Roman"/>
          <w:b/>
          <w:bCs/>
          <w:snapToGrid w:val="0"/>
          <w:sz w:val="24"/>
          <w:szCs w:val="24"/>
        </w:rPr>
        <w:t>Yigezu. A. Yigezu</w:t>
      </w:r>
      <w:r>
        <w:rPr>
          <w:rFonts w:ascii="Times New Roman" w:eastAsia="Times New Roman" w:hAnsi="Times New Roman" w:cs="Times New Roman"/>
          <w:b/>
          <w:bCs/>
          <w:snapToGrid w:val="0"/>
          <w:sz w:val="24"/>
          <w:szCs w:val="24"/>
          <w:vertAlign w:val="superscript"/>
        </w:rPr>
        <w:t>1*</w:t>
      </w:r>
      <w:r>
        <w:rPr>
          <w:rFonts w:ascii="Times New Roman" w:eastAsia="Times New Roman" w:hAnsi="Times New Roman" w:cs="Times New Roman"/>
          <w:b/>
          <w:bCs/>
          <w:snapToGrid w:val="0"/>
          <w:sz w:val="24"/>
          <w:szCs w:val="24"/>
        </w:rPr>
        <w:t>, Tamer El-Shater</w:t>
      </w:r>
      <w:r>
        <w:rPr>
          <w:rFonts w:ascii="Times New Roman" w:eastAsia="Times New Roman" w:hAnsi="Times New Roman" w:cs="Times New Roman"/>
          <w:b/>
          <w:bCs/>
          <w:snapToGrid w:val="0"/>
          <w:sz w:val="24"/>
          <w:szCs w:val="24"/>
          <w:vertAlign w:val="superscript"/>
        </w:rPr>
        <w:t>1</w:t>
      </w:r>
      <w:r>
        <w:rPr>
          <w:rFonts w:ascii="Times New Roman" w:eastAsia="Times New Roman" w:hAnsi="Times New Roman" w:cs="Times New Roman"/>
          <w:b/>
          <w:bCs/>
          <w:snapToGrid w:val="0"/>
          <w:sz w:val="24"/>
          <w:szCs w:val="24"/>
        </w:rPr>
        <w:t>, Mohamed Boughlala</w:t>
      </w:r>
      <w:r>
        <w:rPr>
          <w:rFonts w:ascii="Times New Roman" w:eastAsia="Times New Roman" w:hAnsi="Times New Roman" w:cs="Times New Roman"/>
          <w:b/>
          <w:bCs/>
          <w:snapToGrid w:val="0"/>
          <w:sz w:val="24"/>
          <w:szCs w:val="24"/>
          <w:vertAlign w:val="superscript"/>
        </w:rPr>
        <w:t>2</w:t>
      </w:r>
      <w:r>
        <w:rPr>
          <w:rFonts w:ascii="Times New Roman" w:eastAsia="Times New Roman" w:hAnsi="Times New Roman" w:cs="Times New Roman"/>
          <w:b/>
          <w:bCs/>
          <w:snapToGrid w:val="0"/>
          <w:sz w:val="24"/>
          <w:szCs w:val="24"/>
        </w:rPr>
        <w:t>, Zewdie Bishaw</w:t>
      </w:r>
      <w:r>
        <w:rPr>
          <w:rFonts w:ascii="Times New Roman" w:eastAsia="Times New Roman" w:hAnsi="Times New Roman" w:cs="Times New Roman"/>
          <w:b/>
          <w:bCs/>
          <w:snapToGrid w:val="0"/>
          <w:sz w:val="24"/>
          <w:szCs w:val="24"/>
          <w:vertAlign w:val="superscript"/>
        </w:rPr>
        <w:t>1</w:t>
      </w:r>
      <w:r>
        <w:rPr>
          <w:rFonts w:ascii="Times New Roman" w:eastAsia="Times New Roman" w:hAnsi="Times New Roman" w:cs="Times New Roman"/>
          <w:b/>
          <w:bCs/>
          <w:snapToGrid w:val="0"/>
          <w:sz w:val="24"/>
          <w:szCs w:val="24"/>
        </w:rPr>
        <w:t>, Abdul-Aziz Niane</w:t>
      </w:r>
      <w:r>
        <w:rPr>
          <w:rFonts w:ascii="Times New Roman" w:eastAsia="Times New Roman" w:hAnsi="Times New Roman" w:cs="Times New Roman"/>
          <w:b/>
          <w:bCs/>
          <w:snapToGrid w:val="0"/>
          <w:sz w:val="24"/>
          <w:szCs w:val="24"/>
          <w:vertAlign w:val="superscript"/>
        </w:rPr>
        <w:t>1</w:t>
      </w:r>
      <w:r>
        <w:rPr>
          <w:rFonts w:ascii="Times New Roman" w:eastAsia="Times New Roman" w:hAnsi="Times New Roman" w:cs="Times New Roman"/>
          <w:b/>
          <w:bCs/>
          <w:snapToGrid w:val="0"/>
          <w:sz w:val="24"/>
          <w:szCs w:val="24"/>
        </w:rPr>
        <w:t>, Aden Aw-Hassan</w:t>
      </w:r>
      <w:r>
        <w:rPr>
          <w:rFonts w:ascii="Times New Roman" w:eastAsia="Times New Roman" w:hAnsi="Times New Roman" w:cs="Times New Roman"/>
          <w:b/>
          <w:bCs/>
          <w:snapToGrid w:val="0"/>
          <w:sz w:val="24"/>
          <w:szCs w:val="24"/>
          <w:vertAlign w:val="superscript"/>
        </w:rPr>
        <w:t>1</w:t>
      </w:r>
    </w:p>
    <w:p>
      <w:pPr>
        <w:autoSpaceDE w:val="0"/>
        <w:autoSpaceDN w:val="0"/>
        <w:adjustRightInd w:val="0"/>
        <w:spacing w:after="0" w:line="480" w:lineRule="auto"/>
        <w:jc w:val="center"/>
        <w:rPr>
          <w:rFonts w:ascii="Times New Roman" w:hAnsi="Times New Roman" w:cs="Times New Roman"/>
          <w:sz w:val="24"/>
          <w:szCs w:val="24"/>
        </w:rPr>
      </w:pPr>
      <w:r>
        <w:rPr>
          <w:rFonts w:ascii="Times New Roman" w:eastAsia="Times New Roman" w:hAnsi="Times New Roman" w:cs="Times New Roman"/>
          <w:b/>
          <w:bCs/>
          <w:snapToGrid w:val="0"/>
          <w:sz w:val="24"/>
          <w:szCs w:val="24"/>
          <w:vertAlign w:val="superscript"/>
        </w:rPr>
        <w:t>1</w:t>
      </w:r>
      <w:r>
        <w:rPr>
          <w:rFonts w:ascii="Times New Roman" w:hAnsi="Times New Roman" w:cs="Times New Roman"/>
          <w:sz w:val="24"/>
          <w:szCs w:val="24"/>
        </w:rPr>
        <w:t>International Center for Agricultural Research in the Dry Areas (ICARDA)</w:t>
      </w:r>
    </w:p>
    <w:p>
      <w:pPr>
        <w:autoSpaceDE w:val="0"/>
        <w:autoSpaceDN w:val="0"/>
        <w:adjustRightInd w:val="0"/>
        <w:spacing w:after="0" w:line="480" w:lineRule="auto"/>
        <w:jc w:val="center"/>
        <w:rPr>
          <w:rFonts w:ascii="Times New Roman" w:hAnsi="Times New Roman" w:cs="Times New Roman"/>
          <w:sz w:val="24"/>
          <w:szCs w:val="24"/>
          <w:lang w:val="fr-FR"/>
        </w:rPr>
      </w:pPr>
      <w:r>
        <w:rPr>
          <w:rFonts w:ascii="Times New Roman" w:eastAsia="Times New Roman" w:hAnsi="Times New Roman" w:cs="Times New Roman"/>
          <w:b/>
          <w:bCs/>
          <w:snapToGrid w:val="0"/>
          <w:sz w:val="24"/>
          <w:szCs w:val="24"/>
          <w:vertAlign w:val="superscript"/>
          <w:lang w:val="fr-FR"/>
        </w:rPr>
        <w:t>2</w:t>
      </w:r>
      <w:hyperlink r:id="rId7" w:history="1">
        <w:r>
          <w:rPr>
            <w:rFonts w:ascii="Times New Roman" w:hAnsi="Times New Roman" w:cs="Times New Roman"/>
            <w:sz w:val="24"/>
            <w:szCs w:val="24"/>
            <w:lang w:val="fr-FR"/>
          </w:rPr>
          <w:t>Institut National de la Recherche Agronomique (INRA)</w:t>
        </w:r>
      </w:hyperlink>
    </w:p>
    <w:p>
      <w:pPr>
        <w:autoSpaceDE w:val="0"/>
        <w:autoSpaceDN w:val="0"/>
        <w:adjustRightInd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 Corresponding Author: ICARDA, Amman, P.O. Box, 950764 Amman 11195, Jordan; e-mail – </w:t>
      </w:r>
      <w:hyperlink r:id="rId8" w:history="1">
        <w:r>
          <w:rPr>
            <w:rStyle w:val="Hyperlink"/>
            <w:rFonts w:ascii="Times New Roman" w:hAnsi="Times New Roman" w:cs="Times New Roman"/>
            <w:sz w:val="24"/>
            <w:szCs w:val="24"/>
          </w:rPr>
          <w:t>y.yigezu@cgiar.org</w:t>
        </w:r>
      </w:hyperlink>
      <w:r>
        <w:rPr>
          <w:rFonts w:ascii="Times New Roman" w:hAnsi="Times New Roman" w:cs="Times New Roman"/>
          <w:sz w:val="24"/>
          <w:szCs w:val="24"/>
        </w:rPr>
        <w:t xml:space="preserve"> </w:t>
      </w:r>
    </w:p>
    <w:p>
      <w:pPr>
        <w:autoSpaceDE w:val="0"/>
        <w:autoSpaceDN w:val="0"/>
        <w:adjustRightInd w:val="0"/>
        <w:spacing w:after="0" w:line="480" w:lineRule="auto"/>
        <w:jc w:val="center"/>
        <w:rPr>
          <w:rFonts w:ascii="Times New Roman" w:hAnsi="Times New Roman" w:cs="Times New Roman"/>
          <w:b/>
          <w:bCs/>
          <w:sz w:val="32"/>
          <w:szCs w:val="32"/>
        </w:rPr>
      </w:pPr>
    </w:p>
    <w:p>
      <w:pPr>
        <w:autoSpaceDE w:val="0"/>
        <w:autoSpaceDN w:val="0"/>
        <w:adjustRightInd w:val="0"/>
        <w:spacing w:after="0" w:line="480" w:lineRule="auto"/>
        <w:jc w:val="both"/>
        <w:rPr>
          <w:rFonts w:ascii="Times New Roman" w:hAnsi="Times New Roman" w:cs="Times New Roman"/>
          <w:sz w:val="24"/>
          <w:szCs w:val="24"/>
        </w:rPr>
      </w:pPr>
    </w:p>
    <w:p>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Abstract</w:t>
      </w:r>
    </w:p>
    <w:p>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olor w:val="000000"/>
          <w:sz w:val="24"/>
          <w:szCs w:val="24"/>
        </w:rPr>
        <w:t xml:space="preserve">While the benefits of legumes for soil health are well documented, the literature is scanty on their economic benefits. </w:t>
      </w:r>
      <w:r>
        <w:rPr>
          <w:rFonts w:ascii="Times New Roman" w:hAnsi="Times New Roman" w:cs="Times New Roman"/>
          <w:sz w:val="24"/>
          <w:szCs w:val="24"/>
        </w:rPr>
        <w:t xml:space="preserve">Applying propensity score matching and endogenous switching regression to a nationally representative sample of 1230 farm households from Morocco, this paper provided empirical evidence that the individual and combined adoption of improved faba bean varieties and faba beans – wheat rotation led to higher yields, net-returns, and household consumption of faba-beans respectively. </w:t>
      </w:r>
      <w:r>
        <w:rPr>
          <w:rFonts w:ascii="Times New Roman" w:hAnsi="Times New Roman"/>
          <w:iCs/>
          <w:sz w:val="24"/>
          <w:szCs w:val="24"/>
        </w:rPr>
        <w:t xml:space="preserve">These results point to the need for </w:t>
      </w:r>
      <w:r>
        <w:rPr>
          <w:rFonts w:ascii="Times New Roman" w:hAnsi="Times New Roman"/>
          <w:sz w:val="24"/>
          <w:szCs w:val="24"/>
        </w:rPr>
        <w:t xml:space="preserve">enhancing wider adoption of improved legume varieties and legume-cereal rotations through, among others, creating better access to extension and certified seed delivery services. </w:t>
      </w:r>
    </w:p>
    <w:p>
      <w:pPr>
        <w:spacing w:after="0" w:line="480" w:lineRule="auto"/>
        <w:jc w:val="both"/>
        <w:rPr>
          <w:rFonts w:ascii="Times New Roman" w:eastAsia="Times New Roman" w:hAnsi="Times New Roman" w:cs="Times New Roman"/>
          <w:b/>
          <w:bCs/>
          <w:snapToGrid w:val="0"/>
          <w:sz w:val="24"/>
          <w:szCs w:val="24"/>
        </w:rPr>
      </w:pPr>
    </w:p>
    <w:p>
      <w:pPr>
        <w:spacing w:after="0" w:line="480" w:lineRule="auto"/>
        <w:jc w:val="both"/>
        <w:rPr>
          <w:rFonts w:ascii="Times New Roman" w:eastAsia="Times New Roman" w:hAnsi="Times New Roman" w:cs="Times New Roman"/>
          <w:bCs/>
          <w:snapToGrid w:val="0"/>
          <w:sz w:val="24"/>
          <w:szCs w:val="24"/>
        </w:rPr>
      </w:pPr>
      <w:r>
        <w:rPr>
          <w:rFonts w:ascii="Times New Roman" w:eastAsia="Times New Roman" w:hAnsi="Times New Roman" w:cs="Times New Roman"/>
          <w:bCs/>
          <w:snapToGrid w:val="0"/>
          <w:sz w:val="24"/>
          <w:szCs w:val="24"/>
        </w:rPr>
        <w:t>Key words: improved varieties; rotation; faba-beans; wheat; adoption; impact.</w:t>
      </w:r>
    </w:p>
    <w:p>
      <w:pPr>
        <w:spacing w:after="0" w:line="480" w:lineRule="auto"/>
        <w:jc w:val="both"/>
        <w:rPr>
          <w:rFonts w:ascii="Times New Roman" w:hAnsi="Times New Roman" w:cs="Times New Roman"/>
          <w:sz w:val="24"/>
          <w:szCs w:val="24"/>
        </w:rPr>
      </w:pPr>
      <w:r>
        <w:rPr>
          <w:rFonts w:ascii="Times New Roman" w:eastAsia="Times New Roman" w:hAnsi="Times New Roman" w:cs="Times New Roman"/>
          <w:b/>
          <w:bCs/>
          <w:snapToGrid w:val="0"/>
          <w:sz w:val="24"/>
          <w:szCs w:val="24"/>
        </w:rPr>
        <w:t>1. Introduction</w:t>
      </w:r>
    </w:p>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Morocco is a lower-middle-income country in North Africa with a population of 33 million people, a per capita GDP of US$3,054 and a GINI index of 40.9 (World Bank, 2012). Two thirds of the rural population are poor earning less than US$1.25/day. Agriculture plays an important role in the Moroccan economy. Its contribution to GDP and total national employment during the 2010-2014 period averaged about 17% and 45% respectively. The sector also provides indirect support for 60% of the population and generates almost 25% of export revenue. Eighty per cent of the 14 million rural inhabitants depend on revenues from the agricultural sector for their livelihoods. Reducing poverty is an important priority of the government of Morocco and is a necessary condition to improve the state of food security, sustainable development and improve livelihoods.</w:t>
      </w:r>
    </w:p>
    <w:p>
      <w:pPr>
        <w:spacing w:after="0" w:line="480" w:lineRule="auto"/>
        <w:jc w:val="both"/>
        <w:rPr>
          <w:rFonts w:ascii="Times New Roman" w:hAnsi="Times New Roman" w:cs="Times New Roman"/>
          <w:sz w:val="24"/>
          <w:szCs w:val="24"/>
        </w:rPr>
      </w:pPr>
    </w:p>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late 1970s, a collaborative program between Institut National de la Recherche Agronomique (INRA) called Station Centrale des Légumineuses Alimentaires and the Food Legume Improvement Program of the International Centre for Agricultural Research in the Dry Areas (ICARD) was established. From 1989 to 1991, ICARDA decentralized the faba bean program to Morocco with the purpose to serve the North African faba bean breeding programs. Two faba bean projects Réseau Maghrébin de Recherche sur Fève (REMAFEVE)  and Amélioration de la Culture de Légumineuses Alimentaires (ACLA) were implemented from 1992-2002, to develop improved varieties of faba bean and other legume species (Fatemi et al., 2006). </w:t>
      </w:r>
    </w:p>
    <w:p>
      <w:pPr>
        <w:spacing w:after="0" w:line="480" w:lineRule="auto"/>
        <w:jc w:val="both"/>
        <w:rPr>
          <w:rFonts w:ascii="Times New Roman" w:hAnsi="Times New Roman" w:cs="Times New Roman"/>
          <w:sz w:val="24"/>
          <w:szCs w:val="24"/>
        </w:rPr>
      </w:pPr>
    </w:p>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Since 1982, several INRA varieties of faba bean were registered in the national catalogue including other crops .Among these are three small-seeded faba bean (Alfia5, </w:t>
      </w:r>
      <w:r>
        <w:rPr>
          <w:rFonts w:ascii="Times New Roman" w:hAnsi="Times New Roman" w:cs="Times New Roman"/>
          <w:sz w:val="24"/>
          <w:szCs w:val="24"/>
        </w:rPr>
        <w:lastRenderedPageBreak/>
        <w:t>Alfia17 and Alfia21) and three large-seeded faba bean (Defes Karabiga and Loubab) varieties released (Fatemi et al., 2006).</w:t>
      </w:r>
    </w:p>
    <w:p>
      <w:pPr>
        <w:spacing w:after="0" w:line="480" w:lineRule="auto"/>
        <w:jc w:val="both"/>
        <w:rPr>
          <w:rFonts w:ascii="Times New Roman" w:hAnsi="Times New Roman" w:cs="Times New Roman"/>
          <w:sz w:val="24"/>
          <w:szCs w:val="24"/>
        </w:rPr>
      </w:pPr>
    </w:p>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Faba bean is an important grain legume crop in Morocco. It is grown in all the agricultural areas of the country. Faba bean plays three major roles in the agriculture of Morocco, Nutritional role, Biological role and Economic role.Among legumes, faba bean is of great importance in legume–cereal rotations in cropping systems, where it is used as a break crop for cereals (Amanuel et al. 2000; Lopez-Bellido et al. 2006) and has the potential to enhance N and P nutrition of cereals when grown in rotation (Habtemichial et al. 2007; Nuruzzaman et al.2005). Faba bean can improve the economic value of a subsequent cereal crop by enhancing the yield and increasing the protein content of the grain. it can provide a range of other potential rotational benefits that are not directly related to N such as enhanced P availability (Jemo et al. 2006; Nuruzzaman et al. 2005; Pypers et al. 2007), favourable microbial community in the rhizosphere (Marschner et al. 2004; Yusuf et al. 2009b) and breaking soilborne disease cycles (Jensen et al. 2010). </w:t>
      </w:r>
    </w:p>
    <w:p>
      <w:pPr>
        <w:spacing w:after="0" w:line="480" w:lineRule="auto"/>
        <w:jc w:val="both"/>
        <w:rPr>
          <w:rFonts w:ascii="Times New Roman" w:hAnsi="Times New Roman" w:cs="Times New Roman"/>
          <w:sz w:val="24"/>
          <w:szCs w:val="24"/>
        </w:rPr>
      </w:pPr>
    </w:p>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During the growth of faba bean, a high amount of N</w:t>
      </w:r>
      <w:r>
        <w:rPr>
          <w:rFonts w:ascii="Times New Roman" w:hAnsi="Times New Roman" w:cs="Times New Roman"/>
          <w:sz w:val="24"/>
          <w:szCs w:val="24"/>
          <w:vertAlign w:val="subscript"/>
        </w:rPr>
        <w:t>2</w:t>
      </w:r>
      <w:r>
        <w:rPr>
          <w:rFonts w:ascii="Times New Roman" w:hAnsi="Times New Roman" w:cs="Times New Roman"/>
          <w:sz w:val="24"/>
          <w:szCs w:val="24"/>
        </w:rPr>
        <w:t xml:space="preserve"> is fixed often resulting in a positive N balance when crop residues are incorporated in the soil after grain harvest. Net N gains due to residue incorporation of about 84 kg N ha-1 have been reported (Amanuel et al. 2000). Several studies reported savings of up to 100–200 kg N ha-1 in the amount of N-fertilizers applied to cereals following faba beans. Kirkegaard et al. (2008) and Habtemichial et al. (2007) have also found wheat yield increases of 20–36 % in the faba bean–wheat rotation compared to a barley–wheat rotation. </w:t>
      </w:r>
    </w:p>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Faba bean is one of the most important legumes for its high protein content and nutritional value (Crepona et al., 2010). The crop is widely cultivated for use in both human food and animals feed. Faba bean seeds contain relatively high proteins, carbohydrates, vitamins B, antioxidants and minerals. Protein content in different varieties varies from 26% to 41% (Picard, 1977). Carbohydrate contents varies from 51% to 68%, of which major proportion is contributed by starch (41–53%) (Cerning et al., 1975). Common bean exhibits significant antioxidant activities such as flavonoids, polyphenols and phenolics. The antioxidant properties of phenolic compounds may provide excellent dietary source for natural antioxidant for chronic disease prevention and health promotion (Oomah et al., 2006).</w:t>
      </w:r>
    </w:p>
    <w:p>
      <w:pPr>
        <w:spacing w:after="0" w:line="480" w:lineRule="auto"/>
        <w:jc w:val="both"/>
        <w:rPr>
          <w:rFonts w:ascii="Times New Roman" w:hAnsi="Times New Roman" w:cs="Times New Roman"/>
          <w:sz w:val="24"/>
          <w:szCs w:val="24"/>
        </w:rPr>
      </w:pPr>
    </w:p>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objective of this study is to document the impact of improved faba bean on the food and nutrition security and income impacts on the livelihoods of small-scale farmers. The analysis focuses on estimates of sample average as well as the distribution of selected food security and income indicators. It also uses econometric analysis to determine the factors affect the adoption of the improved varieties and its impact on the yield, income and consumption. The next section describes the methods, data, and estimation techniques followed by a presentation and discussion of results, and the conclusion.</w:t>
      </w:r>
    </w:p>
    <w:p>
      <w:pPr>
        <w:spacing w:after="0" w:line="480" w:lineRule="auto"/>
        <w:jc w:val="both"/>
        <w:rPr>
          <w:rFonts w:ascii="Times New Roman" w:hAnsi="Times New Roman" w:cs="Times New Roman"/>
          <w:sz w:val="24"/>
          <w:szCs w:val="24"/>
        </w:rPr>
      </w:pPr>
    </w:p>
    <w:p>
      <w:pPr>
        <w:widowControl w:val="0"/>
        <w:spacing w:after="0" w:line="480" w:lineRule="auto"/>
        <w:jc w:val="both"/>
        <w:rPr>
          <w:rFonts w:ascii="Times New Roman" w:eastAsia="Times New Roman" w:hAnsi="Times New Roman" w:cs="Times New Roman"/>
          <w:b/>
          <w:bCs/>
          <w:snapToGrid w:val="0"/>
          <w:sz w:val="24"/>
          <w:szCs w:val="24"/>
        </w:rPr>
      </w:pPr>
      <w:r>
        <w:rPr>
          <w:rFonts w:ascii="Times New Roman" w:eastAsia="Times New Roman" w:hAnsi="Times New Roman" w:cs="Times New Roman"/>
          <w:b/>
          <w:bCs/>
          <w:snapToGrid w:val="0"/>
          <w:sz w:val="24"/>
          <w:szCs w:val="24"/>
        </w:rPr>
        <w:t>2. Methodology</w:t>
      </w:r>
    </w:p>
    <w:p>
      <w:pPr>
        <w:widowControl w:val="0"/>
        <w:spacing w:after="0" w:line="480" w:lineRule="auto"/>
        <w:jc w:val="both"/>
        <w:rPr>
          <w:rFonts w:ascii="Times New Roman" w:eastAsia="Times New Roman" w:hAnsi="Times New Roman" w:cs="Times New Roman"/>
          <w:snapToGrid w:val="0"/>
          <w:sz w:val="24"/>
          <w:szCs w:val="24"/>
          <w:lang w:val="en-US"/>
        </w:rPr>
      </w:pPr>
      <w:r>
        <w:rPr>
          <w:rFonts w:ascii="Times New Roman" w:eastAsia="Times New Roman" w:hAnsi="Times New Roman" w:cs="Times New Roman"/>
          <w:snapToGrid w:val="0"/>
          <w:sz w:val="24"/>
          <w:szCs w:val="24"/>
          <w:lang w:val="en-US"/>
        </w:rPr>
        <w:t xml:space="preserve">Given its potency in terms of correcting selectivity bias, the Heckman model (Heckman, 1979) is used here to study the determinants of adoption of the new faba bean varieties in the Morocco. When using the Heckman (Heckit) model, a decision needs to be made whether to estimate the whole system using the maximum likelihood </w:t>
      </w:r>
      <w:r>
        <w:rPr>
          <w:rFonts w:ascii="Times New Roman" w:eastAsia="Times New Roman" w:hAnsi="Times New Roman" w:cs="Times New Roman"/>
          <w:snapToGrid w:val="0"/>
          <w:sz w:val="24"/>
          <w:szCs w:val="24"/>
          <w:lang w:val="en-US"/>
        </w:rPr>
        <w:lastRenderedPageBreak/>
        <w:t xml:space="preserve">estimator (MLE) or use an alternative two - step parametric sample selection model for estimation. The inclusion of the dependent (latent) variable as an explanatory variable in the outcome equation in the MLE estimation procedure often introduces the problem of multicollinearity. </w:t>
      </w:r>
    </w:p>
    <w:p>
      <w:pPr>
        <w:widowControl w:val="0"/>
        <w:spacing w:after="0" w:line="480" w:lineRule="auto"/>
        <w:jc w:val="both"/>
        <w:rPr>
          <w:rFonts w:ascii="Times New Roman" w:eastAsia="Times New Roman" w:hAnsi="Times New Roman" w:cs="Times New Roman"/>
          <w:snapToGrid w:val="0"/>
          <w:sz w:val="24"/>
          <w:szCs w:val="24"/>
          <w:lang w:val="en-US"/>
        </w:rPr>
      </w:pPr>
    </w:p>
    <w:p>
      <w:pPr>
        <w:widowControl w:val="0"/>
        <w:spacing w:after="0" w:line="480" w:lineRule="auto"/>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lang w:val="en-US"/>
        </w:rPr>
        <w:t>In this study, the two-step Heckman procedure is used where in the first step, the selection equation is estimated as probit function. The dependent variable is the probability of adoption of the improved faba bean variety which is regressed on a number of exogenous variables such as farm and farm household characteristics. T</w:t>
      </w:r>
      <w:r>
        <w:rPr>
          <w:rFonts w:ascii="Times New Roman" w:eastAsia="Times New Roman" w:hAnsi="Times New Roman" w:cs="Times New Roman"/>
          <w:snapToGrid w:val="0"/>
          <w:sz w:val="24"/>
          <w:szCs w:val="24"/>
        </w:rPr>
        <w:t>he selection equation takes the form:</w:t>
      </w:r>
    </w:p>
    <w:p>
      <w:pPr>
        <w:widowControl w:val="0"/>
        <w:spacing w:after="0" w:line="480" w:lineRule="auto"/>
        <w:jc w:val="both"/>
        <w:rPr>
          <w:rFonts w:ascii="Times New Roman" w:eastAsia="Times New Roman" w:hAnsi="Times New Roman" w:cs="Times New Roman"/>
          <w:snapToGrid w:val="0"/>
          <w:position w:val="-12"/>
          <w:sz w:val="24"/>
          <w:szCs w:val="24"/>
          <w:lang w:val="en-US"/>
        </w:rPr>
      </w:pPr>
      <w:r>
        <w:rPr>
          <w:rFonts w:ascii="Times New Roman" w:eastAsia="Times New Roman" w:hAnsi="Times New Roman" w:cs="Times New Roman"/>
          <w:i/>
          <w:iCs/>
          <w:snapToGrid w:val="0"/>
          <w:position w:val="-12"/>
          <w:sz w:val="24"/>
          <w:szCs w:val="24"/>
          <w:lang w:val="en-US"/>
        </w:rPr>
        <w:object w:dxaOrig="14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5pt;height:19pt" o:ole="">
            <v:imagedata r:id="rId9" o:title=""/>
          </v:shape>
          <o:OLEObject Type="Embed" ProgID="Equation.3" ShapeID="_x0000_i1025" DrawAspect="Content" ObjectID="_1543819769" r:id="rId10"/>
        </w:object>
      </w:r>
      <w:r>
        <w:rPr>
          <w:rFonts w:ascii="Times New Roman" w:eastAsia="Times New Roman" w:hAnsi="Times New Roman" w:cs="Times New Roman"/>
          <w:snapToGrid w:val="0"/>
          <w:position w:val="-12"/>
          <w:sz w:val="24"/>
          <w:szCs w:val="24"/>
          <w:lang w:val="en-US"/>
        </w:rPr>
        <w:t>………………………………………………………. (1)</w:t>
      </w:r>
    </w:p>
    <w:p>
      <w:pPr>
        <w:widowControl w:val="0"/>
        <w:spacing w:after="0" w:line="480" w:lineRule="auto"/>
        <w:jc w:val="both"/>
        <w:rPr>
          <w:rFonts w:ascii="Times New Roman" w:eastAsia="Times New Roman" w:hAnsi="Times New Roman" w:cs="Times New Roman"/>
          <w:snapToGrid w:val="0"/>
          <w:sz w:val="24"/>
          <w:szCs w:val="24"/>
          <w:lang w:val="en-US"/>
        </w:rPr>
      </w:pPr>
    </w:p>
    <w:p>
      <w:pPr>
        <w:suppressAutoHyphens/>
        <w:autoSpaceDN w:val="0"/>
        <w:spacing w:after="120" w:line="480" w:lineRule="auto"/>
        <w:ind w:left="360"/>
        <w:jc w:val="both"/>
        <w:textAlignment w:val="baseline"/>
        <w:rPr>
          <w:rFonts w:ascii="Times New Roman" w:eastAsia="Trebuchet MS" w:hAnsi="Times New Roman" w:cs="Times New Roman"/>
          <w:i/>
          <w:iCs/>
          <w:sz w:val="24"/>
          <w:szCs w:val="24"/>
          <w:lang w:val="en-US"/>
        </w:rPr>
      </w:pPr>
      <w:r>
        <w:rPr>
          <w:rFonts w:ascii="Times New Roman" w:eastAsia="Trebuchet MS" w:hAnsi="Times New Roman" w:cs="Times New Roman"/>
          <w:i/>
          <w:iCs/>
          <w:sz w:val="24"/>
          <w:szCs w:val="24"/>
          <w:lang w:val="en-US"/>
        </w:rPr>
        <w:tab/>
      </w:r>
      <m:oMath>
        <m:sSub>
          <m:sSubPr>
            <m:ctrlPr>
              <w:rPr>
                <w:rFonts w:ascii="Cambria Math" w:eastAsia="Trebuchet MS" w:hAnsi="Cambria Math" w:cs="Times New Roman"/>
                <w:i/>
                <w:iCs/>
                <w:sz w:val="24"/>
                <w:szCs w:val="24"/>
                <w:lang w:val="en-US"/>
              </w:rPr>
            </m:ctrlPr>
          </m:sSubPr>
          <m:e>
            <m:r>
              <w:rPr>
                <w:rFonts w:ascii="Cambria Math" w:eastAsia="Trebuchet MS" w:hAnsi="Cambria Math" w:cs="Times New Roman"/>
                <w:sz w:val="24"/>
                <w:szCs w:val="24"/>
                <w:lang w:val="en-US"/>
              </w:rPr>
              <m:t>Z</m:t>
            </m:r>
          </m:e>
          <m:sub>
            <m:r>
              <w:rPr>
                <w:rFonts w:ascii="Cambria Math" w:eastAsia="Trebuchet MS" w:hAnsi="Cambria Math" w:cs="Times New Roman"/>
                <w:sz w:val="24"/>
                <w:szCs w:val="24"/>
                <w:lang w:val="en-US"/>
              </w:rPr>
              <m:t>i</m:t>
            </m:r>
          </m:sub>
        </m:sSub>
        <m:r>
          <w:rPr>
            <w:rFonts w:ascii="Cambria Math" w:eastAsia="Trebuchet MS" w:hAnsi="Cambria Math" w:cs="Times New Roman"/>
            <w:sz w:val="24"/>
            <w:szCs w:val="24"/>
            <w:lang w:val="en-US"/>
          </w:rPr>
          <m:t>=</m:t>
        </m:r>
        <m:d>
          <m:dPr>
            <m:begChr m:val="{"/>
            <m:endChr m:val="}"/>
            <m:ctrlPr>
              <w:rPr>
                <w:rFonts w:ascii="Cambria Math" w:eastAsia="Trebuchet MS" w:hAnsi="Cambria Math" w:cs="Times New Roman"/>
                <w:i/>
                <w:iCs/>
                <w:sz w:val="24"/>
                <w:szCs w:val="24"/>
                <w:lang w:val="en-US"/>
              </w:rPr>
            </m:ctrlPr>
          </m:dPr>
          <m:e>
            <m:eqArr>
              <m:eqArrPr>
                <m:ctrlPr>
                  <w:rPr>
                    <w:rFonts w:ascii="Cambria Math" w:eastAsia="Trebuchet MS" w:hAnsi="Cambria Math" w:cs="Times New Roman"/>
                    <w:i/>
                    <w:iCs/>
                    <w:sz w:val="24"/>
                    <w:szCs w:val="24"/>
                    <w:lang w:val="en-US"/>
                  </w:rPr>
                </m:ctrlPr>
              </m:eqArrPr>
              <m:e>
                <m:r>
                  <w:rPr>
                    <w:rFonts w:ascii="Cambria Math" w:eastAsia="Trebuchet MS" w:hAnsi="Cambria Math" w:cs="Times New Roman"/>
                    <w:sz w:val="24"/>
                    <w:szCs w:val="24"/>
                    <w:lang w:val="en-US"/>
                  </w:rPr>
                  <m:t xml:space="preserve">1, if </m:t>
                </m:r>
                <m:sSubSup>
                  <m:sSubSupPr>
                    <m:ctrlPr>
                      <w:rPr>
                        <w:rFonts w:ascii="Cambria Math" w:eastAsia="Trebuchet MS" w:hAnsi="Cambria Math" w:cs="Times New Roman"/>
                        <w:i/>
                        <w:iCs/>
                        <w:sz w:val="24"/>
                        <w:szCs w:val="24"/>
                        <w:lang w:val="en-US"/>
                      </w:rPr>
                    </m:ctrlPr>
                  </m:sSubSupPr>
                  <m:e>
                    <m:r>
                      <w:rPr>
                        <w:rFonts w:ascii="Cambria Math" w:eastAsia="Trebuchet MS" w:hAnsi="Cambria Math" w:cs="Times New Roman"/>
                        <w:sz w:val="24"/>
                        <w:szCs w:val="24"/>
                        <w:lang w:val="en-US"/>
                      </w:rPr>
                      <m:t>Z</m:t>
                    </m:r>
                  </m:e>
                  <m:sub>
                    <m:r>
                      <w:rPr>
                        <w:rFonts w:ascii="Cambria Math" w:eastAsia="Trebuchet MS" w:hAnsi="Cambria Math" w:cs="Times New Roman"/>
                        <w:sz w:val="24"/>
                        <w:szCs w:val="24"/>
                        <w:lang w:val="en-US"/>
                      </w:rPr>
                      <m:t>i</m:t>
                    </m:r>
                  </m:sub>
                  <m:sup>
                    <m:r>
                      <w:rPr>
                        <w:rFonts w:ascii="Cambria Math" w:eastAsia="Trebuchet MS" w:hAnsi="Cambria Math" w:cs="Times New Roman"/>
                        <w:sz w:val="24"/>
                        <w:szCs w:val="24"/>
                        <w:lang w:val="en-US"/>
                      </w:rPr>
                      <m:t>*</m:t>
                    </m:r>
                  </m:sup>
                </m:sSubSup>
                <m:r>
                  <w:rPr>
                    <w:rFonts w:ascii="Cambria Math" w:eastAsia="Trebuchet MS" w:hAnsi="Cambria Math" w:cs="Times New Roman"/>
                    <w:sz w:val="24"/>
                    <w:szCs w:val="24"/>
                    <w:lang w:val="en-US"/>
                  </w:rPr>
                  <m:t>&gt;0</m:t>
                </m:r>
              </m:e>
              <m:e>
                <m:r>
                  <w:rPr>
                    <w:rFonts w:ascii="Cambria Math" w:eastAsia="Trebuchet MS" w:hAnsi="Cambria Math" w:cs="Times New Roman"/>
                    <w:sz w:val="24"/>
                    <w:szCs w:val="24"/>
                    <w:lang w:val="en-US"/>
                  </w:rPr>
                  <m:t xml:space="preserve">0, if </m:t>
                </m:r>
                <m:sSubSup>
                  <m:sSubSupPr>
                    <m:ctrlPr>
                      <w:rPr>
                        <w:rFonts w:ascii="Cambria Math" w:eastAsia="Trebuchet MS" w:hAnsi="Cambria Math" w:cs="Times New Roman"/>
                        <w:i/>
                        <w:iCs/>
                        <w:sz w:val="24"/>
                        <w:szCs w:val="24"/>
                        <w:lang w:val="en-US"/>
                      </w:rPr>
                    </m:ctrlPr>
                  </m:sSubSupPr>
                  <m:e>
                    <m:r>
                      <w:rPr>
                        <w:rFonts w:ascii="Cambria Math" w:eastAsia="Trebuchet MS" w:hAnsi="Cambria Math" w:cs="Times New Roman"/>
                        <w:sz w:val="24"/>
                        <w:szCs w:val="24"/>
                        <w:lang w:val="en-US"/>
                      </w:rPr>
                      <m:t>Z</m:t>
                    </m:r>
                  </m:e>
                  <m:sub>
                    <m:r>
                      <w:rPr>
                        <w:rFonts w:ascii="Cambria Math" w:eastAsia="Trebuchet MS" w:hAnsi="Cambria Math" w:cs="Times New Roman"/>
                        <w:sz w:val="24"/>
                        <w:szCs w:val="24"/>
                        <w:lang w:val="en-US"/>
                      </w:rPr>
                      <m:t>i</m:t>
                    </m:r>
                  </m:sub>
                  <m:sup>
                    <m:r>
                      <w:rPr>
                        <w:rFonts w:ascii="Cambria Math" w:eastAsia="Trebuchet MS" w:hAnsi="Cambria Math" w:cs="Times New Roman"/>
                        <w:sz w:val="24"/>
                        <w:szCs w:val="24"/>
                        <w:lang w:val="en-US"/>
                      </w:rPr>
                      <m:t>*</m:t>
                    </m:r>
                  </m:sup>
                </m:sSubSup>
                <m:r>
                  <w:rPr>
                    <w:rFonts w:ascii="Cambria Math" w:eastAsia="Trebuchet MS" w:hAnsi="Cambria Math" w:cs="Times New Roman"/>
                    <w:sz w:val="24"/>
                    <w:szCs w:val="24"/>
                    <w:lang w:val="en-US"/>
                  </w:rPr>
                  <m:t>≤0</m:t>
                </m:r>
              </m:e>
            </m:eqArr>
          </m:e>
        </m:d>
      </m:oMath>
    </w:p>
    <w:p>
      <w:pPr>
        <w:suppressAutoHyphens/>
        <w:autoSpaceDN w:val="0"/>
        <w:spacing w:after="120" w:line="480" w:lineRule="auto"/>
        <w:jc w:val="both"/>
        <w:textAlignment w:val="baseline"/>
        <w:rPr>
          <w:rFonts w:ascii="Times New Roman" w:eastAsia="Trebuchet MS" w:hAnsi="Times New Roman" w:cs="Times New Roman"/>
          <w:sz w:val="24"/>
          <w:szCs w:val="24"/>
          <w:lang w:val="en-US"/>
        </w:rPr>
      </w:pPr>
      <w:r>
        <w:rPr>
          <w:rFonts w:ascii="Times New Roman" w:eastAsia="Trebuchet MS" w:hAnsi="Times New Roman" w:cs="Times New Roman"/>
          <w:sz w:val="24"/>
          <w:szCs w:val="24"/>
          <w:lang w:val="en-US"/>
        </w:rPr>
        <w:t>Where:</w:t>
      </w:r>
    </w:p>
    <w:p>
      <w:pPr>
        <w:suppressAutoHyphens/>
        <w:autoSpaceDN w:val="0"/>
        <w:spacing w:after="120" w:line="480" w:lineRule="auto"/>
        <w:ind w:left="360"/>
        <w:jc w:val="both"/>
        <w:textAlignment w:val="baseline"/>
        <w:rPr>
          <w:rFonts w:ascii="Times New Roman" w:eastAsia="Trebuchet MS" w:hAnsi="Times New Roman" w:cs="Times New Roman"/>
          <w:sz w:val="24"/>
          <w:szCs w:val="24"/>
          <w:lang w:val="en-US"/>
        </w:rPr>
      </w:pPr>
      <w:r>
        <w:rPr>
          <w:rFonts w:ascii="Times New Roman" w:eastAsia="Trebuchet MS" w:hAnsi="Times New Roman" w:cs="Times New Roman"/>
          <w:i/>
          <w:iCs/>
          <w:sz w:val="24"/>
          <w:szCs w:val="24"/>
          <w:lang w:val="en-US"/>
        </w:rPr>
        <w:t>Z</w:t>
      </w:r>
      <w:r>
        <w:rPr>
          <w:rFonts w:ascii="Times New Roman" w:eastAsia="Trebuchet MS" w:hAnsi="Times New Roman" w:cs="Times New Roman"/>
          <w:i/>
          <w:iCs/>
          <w:sz w:val="24"/>
          <w:szCs w:val="24"/>
          <w:vertAlign w:val="subscript"/>
          <w:lang w:val="en-US"/>
        </w:rPr>
        <w:t>i</w:t>
      </w:r>
      <w:r>
        <w:rPr>
          <w:rFonts w:ascii="Times New Roman" w:eastAsia="Trebuchet MS" w:hAnsi="Times New Roman" w:cs="Times New Roman"/>
          <w:sz w:val="24"/>
          <w:szCs w:val="24"/>
          <w:lang w:val="en-US"/>
        </w:rPr>
        <w:t xml:space="preserve"> = </w:t>
      </w:r>
      <w:r>
        <w:rPr>
          <w:rFonts w:ascii="Times New Roman" w:eastAsia="Trebuchet MS" w:hAnsi="Times New Roman" w:cs="Times New Roman"/>
          <w:sz w:val="24"/>
          <w:szCs w:val="24"/>
        </w:rPr>
        <w:t>the observed behaviour of a household with respect to technology adoption; it takes the value of 1 if adoption is observed and 0 otherwise. In this step, the probability of (</w:t>
      </w:r>
      <w:r>
        <w:rPr>
          <w:rFonts w:ascii="Times New Roman" w:eastAsia="Trebuchet MS" w:hAnsi="Times New Roman" w:cs="Times New Roman"/>
          <w:sz w:val="24"/>
          <w:szCs w:val="24"/>
          <w:lang w:val="en-US"/>
        </w:rPr>
        <w:t>propensity to) adopt is estimated.</w:t>
      </w:r>
    </w:p>
    <w:p>
      <w:pPr>
        <w:suppressAutoHyphens/>
        <w:autoSpaceDN w:val="0"/>
        <w:spacing w:after="120" w:line="480" w:lineRule="auto"/>
        <w:ind w:left="360"/>
        <w:jc w:val="both"/>
        <w:textAlignment w:val="baseline"/>
        <w:rPr>
          <w:rFonts w:ascii="Times New Roman" w:eastAsia="Trebuchet MS" w:hAnsi="Times New Roman" w:cs="Times New Roman"/>
          <w:sz w:val="24"/>
          <w:szCs w:val="24"/>
          <w:lang w:val="en-US"/>
        </w:rPr>
      </w:pPr>
      <w:r>
        <w:rPr>
          <w:rFonts w:ascii="Times New Roman" w:eastAsia="Trebuchet MS" w:hAnsi="Times New Roman" w:cs="Times New Roman"/>
          <w:i/>
          <w:iCs/>
          <w:sz w:val="24"/>
          <w:szCs w:val="24"/>
          <w:lang w:val="en-US"/>
        </w:rPr>
        <w:t>W</w:t>
      </w:r>
      <w:r>
        <w:rPr>
          <w:rFonts w:ascii="Times New Roman" w:eastAsia="Trebuchet MS" w:hAnsi="Times New Roman" w:cs="Times New Roman"/>
          <w:i/>
          <w:iCs/>
          <w:sz w:val="24"/>
          <w:szCs w:val="24"/>
          <w:vertAlign w:val="subscript"/>
          <w:lang w:val="en-US"/>
        </w:rPr>
        <w:t>i</w:t>
      </w:r>
      <w:r>
        <w:rPr>
          <w:rFonts w:ascii="Times New Roman" w:eastAsia="Trebuchet MS" w:hAnsi="Times New Roman" w:cs="Times New Roman"/>
          <w:sz w:val="24"/>
          <w:szCs w:val="24"/>
          <w:lang w:val="en-US"/>
        </w:rPr>
        <w:t xml:space="preserve"> = vector of covariates for observation i</w:t>
      </w:r>
    </w:p>
    <w:p>
      <w:pPr>
        <w:suppressAutoHyphens/>
        <w:autoSpaceDN w:val="0"/>
        <w:spacing w:after="120" w:line="480" w:lineRule="auto"/>
        <w:ind w:left="360"/>
        <w:jc w:val="both"/>
        <w:textAlignment w:val="baseline"/>
        <w:rPr>
          <w:rFonts w:ascii="Times New Roman" w:eastAsia="Trebuchet MS" w:hAnsi="Times New Roman" w:cs="Times New Roman"/>
          <w:sz w:val="24"/>
          <w:szCs w:val="24"/>
          <w:lang w:val="en-US"/>
        </w:rPr>
      </w:pPr>
      <w:r>
        <w:rPr>
          <w:rFonts w:ascii="Times New Roman" w:eastAsia="Trebuchet MS" w:hAnsi="Times New Roman" w:cs="Times New Roman"/>
          <w:i/>
          <w:iCs/>
          <w:sz w:val="24"/>
          <w:szCs w:val="24"/>
          <w:lang w:val="en-US"/>
        </w:rPr>
        <w:t>α</w:t>
      </w:r>
      <w:r>
        <w:rPr>
          <w:rFonts w:ascii="Times New Roman" w:eastAsia="Trebuchet MS" w:hAnsi="Times New Roman" w:cs="Times New Roman"/>
          <w:sz w:val="24"/>
          <w:szCs w:val="24"/>
          <w:lang w:val="en-US"/>
        </w:rPr>
        <w:t>= vector of coefficients to be estimated</w:t>
      </w:r>
    </w:p>
    <w:p>
      <w:pPr>
        <w:widowControl w:val="0"/>
        <w:spacing w:after="0" w:line="480" w:lineRule="auto"/>
        <w:ind w:firstLine="360"/>
        <w:jc w:val="both"/>
        <w:rPr>
          <w:rFonts w:ascii="Times New Roman" w:eastAsia="Times New Roman" w:hAnsi="Times New Roman" w:cs="Times New Roman"/>
          <w:snapToGrid w:val="0"/>
          <w:sz w:val="24"/>
          <w:szCs w:val="24"/>
          <w:lang w:val="en-US"/>
        </w:rPr>
      </w:pPr>
      <w:r>
        <w:rPr>
          <w:rFonts w:ascii="Times New Roman" w:eastAsia="Times New Roman" w:hAnsi="Times New Roman" w:cs="Times New Roman"/>
          <w:i/>
          <w:iCs/>
          <w:snapToGrid w:val="0"/>
          <w:sz w:val="24"/>
          <w:szCs w:val="24"/>
          <w:lang w:val="en-US"/>
        </w:rPr>
        <w:t>ε</w:t>
      </w:r>
      <w:r>
        <w:rPr>
          <w:rFonts w:ascii="Times New Roman" w:eastAsia="Times New Roman" w:hAnsi="Times New Roman" w:cs="Times New Roman"/>
          <w:i/>
          <w:iCs/>
          <w:snapToGrid w:val="0"/>
          <w:sz w:val="24"/>
          <w:szCs w:val="24"/>
          <w:vertAlign w:val="subscript"/>
          <w:lang w:val="en-US"/>
        </w:rPr>
        <w:t>i</w:t>
      </w:r>
      <w:r>
        <w:rPr>
          <w:rFonts w:ascii="Times New Roman" w:eastAsia="Times New Roman" w:hAnsi="Times New Roman" w:cs="Times New Roman"/>
          <w:snapToGrid w:val="0"/>
          <w:sz w:val="24"/>
          <w:szCs w:val="24"/>
          <w:lang w:val="en-US"/>
        </w:rPr>
        <w:t xml:space="preserve"> = random disturbances</w:t>
      </w:r>
    </w:p>
    <w:p>
      <w:pPr>
        <w:widowControl w:val="0"/>
        <w:spacing w:after="0" w:line="480" w:lineRule="auto"/>
        <w:jc w:val="both"/>
        <w:rPr>
          <w:rFonts w:ascii="Times New Roman" w:eastAsia="Times New Roman" w:hAnsi="Times New Roman" w:cs="Times New Roman"/>
          <w:snapToGrid w:val="0"/>
          <w:sz w:val="24"/>
          <w:szCs w:val="24"/>
          <w:lang w:val="en-US"/>
        </w:rPr>
      </w:pPr>
    </w:p>
    <w:p>
      <w:pPr>
        <w:widowControl w:val="0"/>
        <w:spacing w:after="0" w:line="480" w:lineRule="auto"/>
        <w:jc w:val="both"/>
        <w:rPr>
          <w:rFonts w:ascii="Times New Roman" w:eastAsia="Times New Roman" w:hAnsi="Times New Roman" w:cs="Times New Roman"/>
          <w:snapToGrid w:val="0"/>
          <w:sz w:val="24"/>
          <w:szCs w:val="24"/>
          <w:lang w:val="en-US"/>
        </w:rPr>
      </w:pPr>
      <w:r>
        <w:rPr>
          <w:rFonts w:ascii="Times New Roman" w:eastAsia="Times New Roman" w:hAnsi="Times New Roman" w:cs="Times New Roman"/>
          <w:snapToGrid w:val="0"/>
          <w:sz w:val="24"/>
          <w:szCs w:val="24"/>
          <w:lang w:val="en-US"/>
        </w:rPr>
        <w:t xml:space="preserve">In the second step, the outcome equation is estimated where area cultivated with the improved faba bean variety is regressed on some of the explanatory variables included </w:t>
      </w:r>
      <w:r>
        <w:rPr>
          <w:rFonts w:ascii="Times New Roman" w:eastAsia="Times New Roman" w:hAnsi="Times New Roman" w:cs="Times New Roman"/>
          <w:snapToGrid w:val="0"/>
          <w:sz w:val="24"/>
          <w:szCs w:val="24"/>
          <w:lang w:val="en-US"/>
        </w:rPr>
        <w:lastRenderedPageBreak/>
        <w:t xml:space="preserve">in the selection equation and the Inverse Mills ratio from the first step estimation. The outcome equation takes the form: </w:t>
      </w:r>
    </w:p>
    <w:p>
      <w:pPr>
        <w:widowControl w:val="0"/>
        <w:spacing w:after="0" w:line="480" w:lineRule="auto"/>
        <w:jc w:val="both"/>
        <w:rPr>
          <w:rFonts w:ascii="Times New Roman" w:eastAsia="Times New Roman" w:hAnsi="Times New Roman" w:cs="Times New Roman"/>
          <w:snapToGrid w:val="0"/>
          <w:sz w:val="24"/>
          <w:szCs w:val="24"/>
          <w:lang w:val="en-US"/>
        </w:rPr>
      </w:pPr>
      <w:r>
        <w:rPr>
          <w:rFonts w:ascii="Times New Roman" w:eastAsia="Times New Roman" w:hAnsi="Times New Roman" w:cs="Times New Roman"/>
          <w:snapToGrid w:val="0"/>
          <w:position w:val="-62"/>
          <w:sz w:val="24"/>
          <w:szCs w:val="24"/>
          <w:lang w:val="en-US"/>
        </w:rPr>
        <w:object w:dxaOrig="3320" w:dyaOrig="1359">
          <v:shape id="_x0000_i1026" type="#_x0000_t75" style="width:187pt;height:43.5pt" o:ole="">
            <v:imagedata r:id="rId11" o:title=""/>
          </v:shape>
          <o:OLEObject Type="Embed" ProgID="Equation.3" ShapeID="_x0000_i1026" DrawAspect="Content" ObjectID="_1543819770" r:id="rId12"/>
        </w:object>
      </w:r>
      <w:r>
        <w:rPr>
          <w:rFonts w:ascii="Times New Roman" w:eastAsia="Times New Roman" w:hAnsi="Times New Roman" w:cs="Times New Roman"/>
          <w:snapToGrid w:val="0"/>
          <w:position w:val="-12"/>
          <w:sz w:val="24"/>
          <w:szCs w:val="24"/>
          <w:lang w:val="en-US"/>
        </w:rPr>
        <w:t>………………………………. (2)</w:t>
      </w:r>
    </w:p>
    <w:p>
      <w:pPr>
        <w:suppressAutoHyphens/>
        <w:autoSpaceDN w:val="0"/>
        <w:spacing w:after="120" w:line="480" w:lineRule="auto"/>
        <w:ind w:left="-90"/>
        <w:jc w:val="both"/>
        <w:textAlignment w:val="baseline"/>
        <w:rPr>
          <w:rFonts w:ascii="Times New Roman" w:eastAsia="Trebuchet MS" w:hAnsi="Times New Roman" w:cs="Times New Roman"/>
          <w:sz w:val="24"/>
          <w:szCs w:val="24"/>
          <w:lang w:val="en-US"/>
        </w:rPr>
      </w:pPr>
      <w:r>
        <w:rPr>
          <w:rFonts w:ascii="Times New Roman" w:eastAsia="Trebuchet MS" w:hAnsi="Times New Roman" w:cs="Times New Roman"/>
          <w:sz w:val="24"/>
          <w:szCs w:val="24"/>
          <w:lang w:val="en-US"/>
        </w:rPr>
        <w:t>Where:</w:t>
      </w:r>
    </w:p>
    <w:p>
      <w:pPr>
        <w:suppressAutoHyphens/>
        <w:autoSpaceDN w:val="0"/>
        <w:spacing w:after="120" w:line="480" w:lineRule="auto"/>
        <w:jc w:val="both"/>
        <w:textAlignment w:val="baseline"/>
        <w:rPr>
          <w:rFonts w:ascii="Times New Roman" w:eastAsia="Trebuchet MS" w:hAnsi="Times New Roman" w:cs="Times New Roman"/>
          <w:sz w:val="24"/>
          <w:szCs w:val="24"/>
          <w:lang w:val="en-US"/>
        </w:rPr>
      </w:pPr>
      <w:r>
        <w:rPr>
          <w:rFonts w:ascii="Times New Roman" w:eastAsia="Trebuchet MS" w:hAnsi="Times New Roman" w:cs="Times New Roman"/>
          <w:sz w:val="24"/>
          <w:szCs w:val="24"/>
          <w:lang w:val="en-US"/>
        </w:rPr>
        <w:t>Y</w:t>
      </w:r>
      <w:r>
        <w:rPr>
          <w:rFonts w:ascii="Times New Roman" w:eastAsia="Trebuchet MS" w:hAnsi="Times New Roman" w:cs="Times New Roman"/>
          <w:i/>
          <w:iCs/>
          <w:sz w:val="24"/>
          <w:szCs w:val="24"/>
          <w:vertAlign w:val="subscript"/>
          <w:lang w:val="en-US"/>
        </w:rPr>
        <w:t>i</w:t>
      </w:r>
      <w:r>
        <w:rPr>
          <w:rFonts w:ascii="Times New Roman" w:eastAsia="Trebuchet MS" w:hAnsi="Times New Roman" w:cs="Times New Roman"/>
          <w:sz w:val="24"/>
          <w:szCs w:val="24"/>
          <w:lang w:val="en-US"/>
        </w:rPr>
        <w:t>= The dependent variable of the outcome equation (total area under the improved faba bean varieties);</w:t>
      </w:r>
    </w:p>
    <w:p>
      <w:pPr>
        <w:widowControl w:val="0"/>
        <w:spacing w:after="0" w:line="480" w:lineRule="auto"/>
        <w:jc w:val="both"/>
        <w:rPr>
          <w:rFonts w:ascii="Times New Roman" w:eastAsia="Times New Roman" w:hAnsi="Times New Roman" w:cs="Times New Roman"/>
          <w:snapToGrid w:val="0"/>
          <w:sz w:val="24"/>
          <w:szCs w:val="24"/>
          <w:lang w:val="en-US"/>
        </w:rPr>
      </w:pPr>
      <w:r>
        <w:rPr>
          <w:rFonts w:ascii="Times New Roman" w:eastAsia="Times New Roman" w:hAnsi="Times New Roman" w:cs="Times New Roman"/>
          <w:snapToGrid w:val="0"/>
          <w:sz w:val="24"/>
          <w:szCs w:val="24"/>
          <w:lang w:val="en-US"/>
        </w:rPr>
        <w:t>X</w:t>
      </w:r>
      <w:r>
        <w:rPr>
          <w:rFonts w:ascii="Times New Roman" w:eastAsia="Times New Roman" w:hAnsi="Times New Roman" w:cs="Times New Roman"/>
          <w:i/>
          <w:iCs/>
          <w:snapToGrid w:val="0"/>
          <w:sz w:val="24"/>
          <w:szCs w:val="24"/>
          <w:vertAlign w:val="subscript"/>
          <w:lang w:val="en-US"/>
        </w:rPr>
        <w:t>i</w:t>
      </w:r>
      <w:r>
        <w:rPr>
          <w:rFonts w:ascii="Times New Roman" w:eastAsia="Times New Roman" w:hAnsi="Times New Roman" w:cs="Times New Roman"/>
          <w:snapToGrid w:val="0"/>
          <w:sz w:val="24"/>
          <w:szCs w:val="24"/>
          <w:lang w:val="en-US"/>
        </w:rPr>
        <w:t xml:space="preserve"> = Vector of covariates (some of the covariates from the first step estimation and others which are believed to affect the outcome variables directly) and </w:t>
      </w:r>
      <w:r>
        <w:rPr>
          <w:rFonts w:ascii="Times New Roman" w:eastAsia="Times New Roman" w:hAnsi="Times New Roman" w:cs="Times New Roman"/>
          <w:snapToGrid w:val="0"/>
          <w:sz w:val="24"/>
          <w:szCs w:val="24"/>
        </w:rPr>
        <w:t>the Inverse Mills ratio derived from the first-stage equation which corrects for selectivity bias and endogeneity (Greene, 1998</w:t>
      </w:r>
      <w:r>
        <w:rPr>
          <w:rFonts w:ascii="Times New Roman" w:eastAsia="Times New Roman" w:hAnsi="Times New Roman" w:cs="Times New Roman"/>
          <w:snapToGrid w:val="0"/>
          <w:sz w:val="24"/>
          <w:szCs w:val="24"/>
          <w:lang w:val="en-US"/>
        </w:rPr>
        <w:t xml:space="preserve">). </w:t>
      </w:r>
    </w:p>
    <w:p>
      <w:pPr>
        <w:widowControl w:val="0"/>
        <w:spacing w:after="0" w:line="480" w:lineRule="auto"/>
        <w:jc w:val="both"/>
        <w:rPr>
          <w:rFonts w:ascii="Times New Roman" w:eastAsia="Times New Roman" w:hAnsi="Times New Roman" w:cs="Times New Roman"/>
          <w:snapToGrid w:val="0"/>
          <w:sz w:val="24"/>
          <w:szCs w:val="24"/>
        </w:rPr>
      </w:pPr>
    </w:p>
    <w:p>
      <w:pPr>
        <w:spacing w:after="240" w:line="480" w:lineRule="auto"/>
        <w:jc w:val="both"/>
        <w:rPr>
          <w:rFonts w:ascii="Times New Roman" w:eastAsia="Times New Roman" w:hAnsi="Times New Roman" w:cs="Times New Roman"/>
          <w:b/>
          <w:bCs/>
          <w:i/>
          <w:sz w:val="24"/>
          <w:szCs w:val="24"/>
          <w:lang w:val="en-AU" w:eastAsia="en-AU"/>
        </w:rPr>
      </w:pPr>
      <w:r>
        <w:rPr>
          <w:rFonts w:ascii="Times New Roman" w:eastAsia="Times New Roman" w:hAnsi="Times New Roman" w:cs="Times New Roman"/>
          <w:b/>
          <w:bCs/>
          <w:i/>
          <w:sz w:val="24"/>
          <w:szCs w:val="24"/>
          <w:lang w:val="en-AU" w:eastAsia="en-AU"/>
        </w:rPr>
        <w:t xml:space="preserve">4.1 Propensity Score Matching (PSM) </w:t>
      </w:r>
    </w:p>
    <w:p>
      <w:pPr>
        <w:spacing w:after="100" w:afterAutospacing="1" w:line="480" w:lineRule="auto"/>
        <w:jc w:val="both"/>
        <w:rPr>
          <w:rFonts w:ascii="Times New Roman" w:eastAsia="Times New Roman" w:hAnsi="Times New Roman" w:cs="Times New Roman"/>
          <w:color w:val="000000"/>
          <w:sz w:val="24"/>
          <w:szCs w:val="24"/>
          <w:lang w:val="en-AU" w:eastAsia="en-AU"/>
        </w:rPr>
      </w:pPr>
      <w:r>
        <w:rPr>
          <w:rFonts w:ascii="Times New Roman" w:eastAsia="Times New Roman" w:hAnsi="Times New Roman" w:cs="Times New Roman"/>
          <w:color w:val="000000"/>
          <w:sz w:val="24"/>
          <w:szCs w:val="24"/>
          <w:lang w:val="en-AU" w:eastAsia="en-AU"/>
        </w:rPr>
        <w:t>It has been common in previous studies to have assessed the impact of technology adoption either by examining the differences in mean outcomes of adopters and non-adopters or by using simple regression procedures which control for adoption status (Nguezet, et al., 2011). Critics have pointed out that such simple procedures are flawed because they fail to appropriately deal with problems associated with selection biases in observational data collected through household surveys (Rubin, 1974; Rosenbaum and Rubin, 1983; Rosenbaum, 2002; Lee, 2005). Such approaches often lead to the establishment of causality between adoption and other variables that are subjected to confounding errors.</w:t>
      </w:r>
    </w:p>
    <w:p>
      <w:pPr>
        <w:spacing w:after="100" w:afterAutospacing="1" w:line="480" w:lineRule="auto"/>
        <w:jc w:val="both"/>
        <w:rPr>
          <w:rFonts w:ascii="Times New Roman" w:eastAsia="Times New Roman" w:hAnsi="Times New Roman" w:cs="Times New Roman"/>
          <w:color w:val="000000"/>
          <w:sz w:val="24"/>
          <w:szCs w:val="24"/>
          <w:lang w:val="en-AU" w:eastAsia="en-AU"/>
        </w:rPr>
      </w:pPr>
      <w:r>
        <w:rPr>
          <w:rFonts w:ascii="Times New Roman" w:eastAsia="Times New Roman" w:hAnsi="Times New Roman" w:cs="Times New Roman"/>
          <w:color w:val="000000"/>
          <w:sz w:val="24"/>
          <w:szCs w:val="24"/>
          <w:lang w:val="en-AU" w:eastAsia="en-AU"/>
        </w:rPr>
        <w:t xml:space="preserve">Propensity score matching is one of the multivariate methods used in comparative studies to construct treated and matched control samples that have similar distributions </w:t>
      </w:r>
      <w:r>
        <w:rPr>
          <w:rFonts w:ascii="Times New Roman" w:eastAsia="Times New Roman" w:hAnsi="Times New Roman" w:cs="Times New Roman"/>
          <w:color w:val="000000"/>
          <w:sz w:val="24"/>
          <w:szCs w:val="24"/>
          <w:lang w:val="en-AU" w:eastAsia="en-AU"/>
        </w:rPr>
        <w:lastRenderedPageBreak/>
        <w:t xml:space="preserve">on many covariates. The purpose of propensity score matching is to reduce bias due to observed covariates in comparative observational studies (Rubin and Thomas 2000). PSM is one of the non-parametric estimation techniques that do not depend on functional form and distributional assumptions. The method is intuitively attractive as it can be used to compare the observed outcomes of technology adopters with the outcomes of counterfactual non-adopters (Heckman et al., 1998). The details of the PSM method are well documented in several studies (e.g., Rosenbaum and Rubin 1983; Heckman et al., 1998; Daheja and Wahba, 2002; Caliendo and Kopeinig, 2008). </w:t>
      </w:r>
    </w:p>
    <w:p>
      <w:pPr>
        <w:spacing w:after="100" w:afterAutospacing="1" w:line="480" w:lineRule="auto"/>
        <w:jc w:val="both"/>
        <w:rPr>
          <w:rFonts w:ascii="Times New Roman" w:eastAsia="Times New Roman" w:hAnsi="Times New Roman" w:cs="Times New Roman"/>
          <w:color w:val="000000"/>
          <w:sz w:val="24"/>
          <w:szCs w:val="24"/>
          <w:lang w:val="en-AU" w:eastAsia="en-AU"/>
        </w:rPr>
      </w:pPr>
      <w:r>
        <w:rPr>
          <w:rFonts w:ascii="Times New Roman" w:eastAsia="Times New Roman" w:hAnsi="Times New Roman" w:cs="Times New Roman"/>
          <w:color w:val="000000"/>
          <w:sz w:val="24"/>
          <w:szCs w:val="24"/>
          <w:lang w:val="en-AU" w:eastAsia="en-AU"/>
        </w:rPr>
        <w:t>In this paper, we use PSM to find a group of treated individuals (adopters) similar to the control group (non-adopters) in all relevant pre-treatment characteristics, where the only difference is that one group adopted the improved faba bean and the other did not. The semi-parametric matching method which does not require an exclusion restriction or a particular specification of the selection equation is used to construct the counterfactual and reduce the effects of selection bias on impact estimates.</w:t>
      </w:r>
    </w:p>
    <w:p>
      <w:pPr>
        <w:spacing w:after="100" w:afterAutospacing="1" w:line="480" w:lineRule="auto"/>
        <w:jc w:val="both"/>
        <w:rPr>
          <w:rFonts w:ascii="Times New Roman" w:eastAsia="Times New Roman" w:hAnsi="Times New Roman" w:cs="Times New Roman"/>
          <w:color w:val="000000"/>
          <w:sz w:val="24"/>
          <w:szCs w:val="24"/>
          <w:lang w:val="en-AU" w:eastAsia="en-AU"/>
        </w:rPr>
      </w:pPr>
      <w:r>
        <w:rPr>
          <w:rFonts w:ascii="Times New Roman" w:eastAsia="Times New Roman" w:hAnsi="Times New Roman" w:cs="Times New Roman"/>
          <w:color w:val="000000"/>
          <w:sz w:val="24"/>
          <w:szCs w:val="24"/>
          <w:lang w:val="en-AU" w:eastAsia="en-AU"/>
        </w:rPr>
        <w:t xml:space="preserve">The propensity score is most often estimated using a logistic regression model, in which treatment status (which in our case is the dummy variable for adoption of </w:t>
      </w:r>
      <w:r>
        <w:rPr>
          <w:rFonts w:ascii="Times New Roman" w:hAnsi="Times New Roman" w:cs="Times New Roman"/>
          <w:color w:val="000000" w:themeColor="text1"/>
          <w:sz w:val="24"/>
          <w:lang w:val="en-US"/>
        </w:rPr>
        <w:t>faba bean</w:t>
      </w:r>
      <w:r>
        <w:rPr>
          <w:rFonts w:ascii="Times New Roman" w:eastAsia="Times New Roman" w:hAnsi="Times New Roman" w:cs="Times New Roman"/>
          <w:color w:val="000000"/>
          <w:sz w:val="24"/>
          <w:szCs w:val="24"/>
          <w:lang w:val="en-AU" w:eastAsia="en-AU"/>
        </w:rPr>
        <w:t xml:space="preserve"> taking a value of 1 when the farmer is an adopter and 0 when the farmer is a non-adopter) is regressed on observed characteristics of the farmer. The estimated propensity score is therefore the predicted probability of a farmer adopting improved </w:t>
      </w:r>
      <w:r>
        <w:rPr>
          <w:rFonts w:ascii="Times New Roman" w:hAnsi="Times New Roman" w:cs="Times New Roman"/>
          <w:color w:val="000000" w:themeColor="text1"/>
          <w:sz w:val="24"/>
          <w:lang w:val="en-US"/>
        </w:rPr>
        <w:t>faba bean</w:t>
      </w:r>
      <w:r>
        <w:rPr>
          <w:rFonts w:ascii="Times New Roman" w:eastAsia="Times New Roman" w:hAnsi="Times New Roman" w:cs="Times New Roman"/>
          <w:color w:val="000000"/>
          <w:sz w:val="24"/>
          <w:szCs w:val="24"/>
          <w:lang w:val="en-AU" w:eastAsia="en-AU"/>
        </w:rPr>
        <w:t xml:space="preserve"> given his characteristics (which are captured by the explanatory variables included in the logistic regression). The propensity score for each observation is then obtained by substituting the corresponding values of each covariate for each observation into the estimated logistic regression where the estimated coefficients are used in the computation (Rosenbaum and Rubin 1985). In this study, the logistic model </w:t>
      </w:r>
      <w:r>
        <w:rPr>
          <w:rFonts w:ascii="Times New Roman" w:eastAsia="Times New Roman" w:hAnsi="Times New Roman" w:cs="Times New Roman"/>
          <w:color w:val="000000"/>
          <w:sz w:val="24"/>
          <w:szCs w:val="24"/>
          <w:lang w:val="en-AU" w:eastAsia="en-AU"/>
        </w:rPr>
        <w:lastRenderedPageBreak/>
        <w:t xml:space="preserve">is estimated to identify the factors influencing adoption of improved </w:t>
      </w:r>
      <w:r>
        <w:rPr>
          <w:rFonts w:ascii="Times New Roman" w:hAnsi="Times New Roman" w:cs="Times New Roman"/>
          <w:color w:val="000000" w:themeColor="text1"/>
          <w:sz w:val="24"/>
          <w:lang w:val="en-US"/>
        </w:rPr>
        <w:t xml:space="preserve">faba bean </w:t>
      </w:r>
      <w:r>
        <w:rPr>
          <w:rFonts w:ascii="Times New Roman" w:eastAsia="Times New Roman" w:hAnsi="Times New Roman" w:cs="Times New Roman"/>
          <w:color w:val="000000"/>
          <w:sz w:val="24"/>
          <w:szCs w:val="24"/>
          <w:lang w:val="en-AU" w:eastAsia="en-AU"/>
        </w:rPr>
        <w:t>as follows:</w:t>
      </w:r>
    </w:p>
    <w:p>
      <w:pPr>
        <w:spacing w:before="30" w:after="30" w:line="480" w:lineRule="auto"/>
        <w:jc w:val="both"/>
        <w:rPr>
          <w:rFonts w:ascii="Times New Roman" w:eastAsia="MS Mincho" w:hAnsi="Times New Roman" w:cs="Times New Roman"/>
          <w:sz w:val="24"/>
          <w:szCs w:val="24"/>
          <w:lang w:val="en-AU" w:eastAsia="ja-JP"/>
        </w:rPr>
      </w:pPr>
      <m:oMath>
        <m:r>
          <w:rPr>
            <w:rFonts w:ascii="Cambria Math" w:eastAsia="MS Mincho" w:hAnsi="Cambria Math" w:cs="Times New Roman"/>
            <w:sz w:val="24"/>
            <w:szCs w:val="24"/>
            <w:lang w:val="en-AU" w:eastAsia="ja-JP"/>
          </w:rPr>
          <m:t xml:space="preserve">Prob (Adoption =1) = </m:t>
        </m:r>
        <m:f>
          <m:fPr>
            <m:type m:val="lin"/>
            <m:ctrlPr>
              <w:rPr>
                <w:rFonts w:ascii="Cambria Math" w:eastAsia="MS Mincho" w:hAnsi="Cambria Math" w:cs="Times New Roman"/>
                <w:i/>
                <w:sz w:val="24"/>
                <w:szCs w:val="24"/>
                <w:lang w:val="en-AU" w:eastAsia="ja-JP"/>
              </w:rPr>
            </m:ctrlPr>
          </m:fPr>
          <m:num>
            <m:r>
              <w:rPr>
                <w:rFonts w:ascii="Cambria Math" w:eastAsia="MS Mincho" w:hAnsi="Cambria Math" w:cs="Times New Roman"/>
                <w:sz w:val="24"/>
                <w:szCs w:val="24"/>
                <w:lang w:val="en-AU" w:eastAsia="ja-JP"/>
              </w:rPr>
              <m:t>1</m:t>
            </m:r>
          </m:num>
          <m:den>
            <m:r>
              <w:rPr>
                <w:rFonts w:ascii="Cambria Math" w:eastAsia="MS Mincho" w:hAnsi="Cambria Math" w:cs="Times New Roman"/>
                <w:sz w:val="24"/>
                <w:szCs w:val="24"/>
                <w:lang w:val="en-AU" w:eastAsia="ja-JP"/>
              </w:rPr>
              <m:t>(1+</m:t>
            </m:r>
            <m:sSup>
              <m:sSupPr>
                <m:ctrlPr>
                  <w:rPr>
                    <w:rFonts w:ascii="Cambria Math" w:eastAsia="MS Mincho" w:hAnsi="Cambria Math" w:cs="Times New Roman"/>
                    <w:i/>
                    <w:sz w:val="24"/>
                    <w:szCs w:val="24"/>
                    <w:lang w:val="en-AU" w:eastAsia="ja-JP"/>
                  </w:rPr>
                </m:ctrlPr>
              </m:sSupPr>
              <m:e>
                <m:r>
                  <w:rPr>
                    <w:rFonts w:ascii="Cambria Math" w:eastAsia="MS Mincho" w:hAnsi="Cambria Math" w:cs="Times New Roman"/>
                    <w:sz w:val="24"/>
                    <w:szCs w:val="24"/>
                    <w:lang w:val="en-AU" w:eastAsia="ja-JP"/>
                  </w:rPr>
                  <m:t>e</m:t>
                </m:r>
              </m:e>
              <m:sup>
                <m:r>
                  <w:rPr>
                    <w:rFonts w:ascii="Cambria Math" w:eastAsia="MS Mincho" w:hAnsi="Cambria Math" w:cs="Times New Roman"/>
                    <w:sz w:val="24"/>
                    <w:szCs w:val="24"/>
                    <w:lang w:val="en-AU" w:eastAsia="ja-JP"/>
                  </w:rPr>
                  <m:t>-z</m:t>
                </m:r>
              </m:sup>
            </m:sSup>
          </m:den>
        </m:f>
        <m:r>
          <w:rPr>
            <w:rFonts w:ascii="Cambria Math" w:eastAsia="MS Mincho" w:hAnsi="Cambria Math" w:cs="Times New Roman"/>
            <w:sz w:val="24"/>
            <w:szCs w:val="24"/>
            <w:lang w:val="en-AU" w:eastAsia="ja-JP"/>
          </w:rPr>
          <m:t>)</m:t>
        </m:r>
      </m:oMath>
      <w:r>
        <w:rPr>
          <w:rFonts w:ascii="Times New Roman" w:eastAsia="MS Mincho" w:hAnsi="Times New Roman" w:cs="Times New Roman"/>
          <w:sz w:val="24"/>
          <w:szCs w:val="24"/>
          <w:lang w:val="en-AU" w:eastAsia="ja-JP"/>
        </w:rPr>
        <w:t xml:space="preserve">                                                                             (1)</w:t>
      </w:r>
    </w:p>
    <w:p>
      <w:pPr>
        <w:spacing w:before="30" w:after="30" w:line="480" w:lineRule="auto"/>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t xml:space="preserve">where </w:t>
      </w:r>
      <m:oMath>
        <m:r>
          <w:rPr>
            <w:rFonts w:ascii="Cambria Math" w:eastAsia="MS Mincho" w:hAnsi="Cambria Math" w:cs="Times New Roman"/>
            <w:sz w:val="24"/>
            <w:szCs w:val="24"/>
            <w:lang w:val="en-AU" w:eastAsia="ja-JP"/>
          </w:rPr>
          <m:t>Z=</m:t>
        </m:r>
        <m:sSub>
          <m:sSubPr>
            <m:ctrlPr>
              <w:rPr>
                <w:rFonts w:ascii="Cambria Math" w:eastAsia="MS Mincho" w:hAnsi="Cambria Math" w:cs="Times New Roman"/>
                <w:i/>
                <w:sz w:val="24"/>
                <w:szCs w:val="24"/>
                <w:lang w:val="en-AU" w:eastAsia="ja-JP"/>
              </w:rPr>
            </m:ctrlPr>
          </m:sSubPr>
          <m:e>
            <m:r>
              <w:rPr>
                <w:rFonts w:ascii="Cambria Math" w:eastAsia="MS Mincho" w:hAnsi="Cambria Math" w:cs="Times New Roman"/>
                <w:sz w:val="24"/>
                <w:szCs w:val="24"/>
                <w:lang w:val="en-AU" w:eastAsia="ja-JP"/>
              </w:rPr>
              <m:t>β</m:t>
            </m:r>
          </m:e>
          <m:sub>
            <m:r>
              <w:rPr>
                <w:rFonts w:ascii="Cambria Math" w:eastAsia="MS Mincho" w:hAnsi="Cambria Math" w:cs="Times New Roman"/>
                <w:sz w:val="24"/>
                <w:szCs w:val="24"/>
                <w:lang w:val="en-AU" w:eastAsia="ja-JP"/>
              </w:rPr>
              <m:t xml:space="preserve">0 </m:t>
            </m:r>
          </m:sub>
        </m:sSub>
        <m:r>
          <w:rPr>
            <w:rFonts w:ascii="Cambria Math" w:eastAsia="MS Mincho" w:hAnsi="Cambria Math" w:cs="Times New Roman"/>
            <w:sz w:val="24"/>
            <w:szCs w:val="24"/>
            <w:lang w:val="en-AU" w:eastAsia="ja-JP"/>
          </w:rPr>
          <m:t xml:space="preserve">+ </m:t>
        </m:r>
        <m:nary>
          <m:naryPr>
            <m:chr m:val="∑"/>
            <m:ctrlPr>
              <w:rPr>
                <w:rFonts w:ascii="Cambria Math" w:eastAsia="MS Mincho" w:hAnsi="Cambria Math" w:cs="Times New Roman"/>
                <w:i/>
                <w:sz w:val="24"/>
                <w:szCs w:val="24"/>
                <w:lang w:val="en-AU" w:eastAsia="ja-JP"/>
              </w:rPr>
            </m:ctrlPr>
          </m:naryPr>
          <m:sub>
            <m:r>
              <w:rPr>
                <w:rFonts w:ascii="Cambria Math" w:eastAsia="MS Mincho" w:hAnsi="Cambria Math" w:cs="Times New Roman"/>
                <w:sz w:val="24"/>
                <w:szCs w:val="24"/>
                <w:lang w:val="en-AU" w:eastAsia="ja-JP"/>
              </w:rPr>
              <m:t>i=1</m:t>
            </m:r>
          </m:sub>
          <m:sup>
            <m:r>
              <w:rPr>
                <w:rFonts w:ascii="Cambria Math" w:eastAsia="MS Mincho" w:hAnsi="Cambria Math" w:cs="Times New Roman"/>
                <w:sz w:val="24"/>
                <w:szCs w:val="24"/>
                <w:lang w:val="en-AU" w:eastAsia="ja-JP"/>
              </w:rPr>
              <m:t>n</m:t>
            </m:r>
          </m:sup>
          <m:e>
            <m:sSub>
              <m:sSubPr>
                <m:ctrlPr>
                  <w:rPr>
                    <w:rFonts w:ascii="Cambria Math" w:eastAsia="MS Mincho" w:hAnsi="Cambria Math" w:cs="Times New Roman"/>
                    <w:i/>
                    <w:sz w:val="24"/>
                    <w:szCs w:val="24"/>
                    <w:lang w:val="en-AU" w:eastAsia="ja-JP"/>
                  </w:rPr>
                </m:ctrlPr>
              </m:sSubPr>
              <m:e>
                <m:r>
                  <w:rPr>
                    <w:rFonts w:ascii="Cambria Math" w:eastAsia="MS Mincho" w:hAnsi="Cambria Math" w:cs="Times New Roman"/>
                    <w:sz w:val="24"/>
                    <w:szCs w:val="24"/>
                    <w:lang w:val="en-AU" w:eastAsia="ja-JP"/>
                  </w:rPr>
                  <m:t>β</m:t>
                </m:r>
              </m:e>
              <m:sub>
                <m:r>
                  <w:rPr>
                    <w:rFonts w:ascii="Cambria Math" w:eastAsia="MS Mincho" w:hAnsi="Cambria Math" w:cs="Times New Roman"/>
                    <w:sz w:val="24"/>
                    <w:szCs w:val="24"/>
                    <w:lang w:val="en-AU" w:eastAsia="ja-JP"/>
                  </w:rPr>
                  <m:t>i</m:t>
                </m:r>
              </m:sub>
            </m:sSub>
            <m:r>
              <w:rPr>
                <w:rFonts w:ascii="Cambria Math" w:eastAsia="MS Mincho" w:hAnsi="Cambria Math" w:cs="Times New Roman"/>
                <w:sz w:val="24"/>
                <w:szCs w:val="24"/>
                <w:lang w:val="en-AU" w:eastAsia="ja-JP"/>
              </w:rPr>
              <m:t xml:space="preserve"> </m:t>
            </m:r>
          </m:e>
        </m:nary>
        <m:sSub>
          <m:sSubPr>
            <m:ctrlPr>
              <w:rPr>
                <w:rFonts w:ascii="Cambria Math" w:eastAsia="MS Mincho" w:hAnsi="Cambria Math" w:cs="Times New Roman"/>
                <w:i/>
                <w:sz w:val="24"/>
                <w:szCs w:val="24"/>
                <w:lang w:val="en-AU" w:eastAsia="ja-JP"/>
              </w:rPr>
            </m:ctrlPr>
          </m:sSubPr>
          <m:e>
            <m:r>
              <w:rPr>
                <w:rFonts w:ascii="Cambria Math" w:eastAsia="MS Mincho" w:hAnsi="Cambria Math" w:cs="Times New Roman"/>
                <w:sz w:val="24"/>
                <w:szCs w:val="24"/>
                <w:lang w:val="en-AU" w:eastAsia="ja-JP"/>
              </w:rPr>
              <m:t>X</m:t>
            </m:r>
          </m:e>
          <m:sub>
            <m:r>
              <w:rPr>
                <w:rFonts w:ascii="Cambria Math" w:eastAsia="MS Mincho" w:hAnsi="Cambria Math" w:cs="Times New Roman"/>
                <w:sz w:val="24"/>
                <w:szCs w:val="24"/>
                <w:lang w:val="en-AU" w:eastAsia="ja-JP"/>
              </w:rPr>
              <m:t>i</m:t>
            </m:r>
          </m:sub>
        </m:sSub>
        <m:r>
          <w:rPr>
            <w:rFonts w:ascii="Cambria Math" w:eastAsia="MS Mincho" w:hAnsi="Cambria Math" w:cs="Times New Roman"/>
            <w:sz w:val="24"/>
            <w:szCs w:val="24"/>
            <w:lang w:val="en-AU" w:eastAsia="ja-JP"/>
          </w:rPr>
          <m:t xml:space="preserve">+ </m:t>
        </m:r>
        <m:sSub>
          <m:sSubPr>
            <m:ctrlPr>
              <w:rPr>
                <w:rFonts w:ascii="Cambria Math" w:eastAsia="MS Mincho" w:hAnsi="Cambria Math" w:cs="Times New Roman"/>
                <w:i/>
                <w:sz w:val="24"/>
                <w:szCs w:val="24"/>
                <w:lang w:val="en-AU" w:eastAsia="ja-JP"/>
              </w:rPr>
            </m:ctrlPr>
          </m:sSubPr>
          <m:e>
            <m:r>
              <w:rPr>
                <w:rFonts w:ascii="Cambria Math" w:eastAsia="MS Mincho" w:hAnsi="Cambria Math" w:cs="Times New Roman"/>
                <w:sz w:val="24"/>
                <w:szCs w:val="24"/>
                <w:lang w:val="en-AU" w:eastAsia="ja-JP"/>
              </w:rPr>
              <m:t>ε</m:t>
            </m:r>
          </m:e>
          <m:sub>
            <m:r>
              <w:rPr>
                <w:rFonts w:ascii="Cambria Math" w:eastAsia="MS Mincho" w:hAnsi="Cambria Math" w:cs="Times New Roman"/>
                <w:sz w:val="24"/>
                <w:szCs w:val="24"/>
                <w:lang w:val="en-AU" w:eastAsia="ja-JP"/>
              </w:rPr>
              <m:t>j</m:t>
            </m:r>
          </m:sub>
        </m:sSub>
      </m:oMath>
      <w:r>
        <w:rPr>
          <w:rFonts w:ascii="Times New Roman" w:eastAsia="MS Mincho" w:hAnsi="Times New Roman" w:cs="Times New Roman"/>
          <w:sz w:val="24"/>
          <w:szCs w:val="24"/>
          <w:lang w:val="en-AU" w:eastAsia="ja-JP"/>
        </w:rPr>
        <w:t xml:space="preserve">                                                                                         (2)</w:t>
      </w:r>
    </w:p>
    <w:p>
      <w:pPr>
        <w:spacing w:after="240" w:line="480" w:lineRule="auto"/>
        <w:jc w:val="both"/>
        <w:rPr>
          <w:rFonts w:ascii="Times New Roman" w:eastAsia="Times New Roman" w:hAnsi="Times New Roman" w:cs="Times New Roman"/>
          <w:color w:val="000000"/>
          <w:sz w:val="24"/>
          <w:szCs w:val="24"/>
          <w:lang w:val="en-AU" w:eastAsia="en-AU"/>
        </w:rPr>
      </w:pPr>
      <w:r>
        <w:rPr>
          <w:rFonts w:ascii="Times New Roman" w:eastAsia="Times New Roman" w:hAnsi="Times New Roman" w:cs="Times New Roman"/>
          <w:color w:val="000000"/>
          <w:sz w:val="24"/>
          <w:szCs w:val="24"/>
          <w:lang w:val="en-AU" w:eastAsia="en-AU"/>
        </w:rPr>
        <w:t xml:space="preserve">Adoption is a dichotomous dependent variable taking a value of 1 if the </w:t>
      </w:r>
      <w:r>
        <w:rPr>
          <w:rFonts w:ascii="Times New Roman" w:hAnsi="Times New Roman" w:cs="Times New Roman"/>
          <w:color w:val="000000" w:themeColor="text1"/>
          <w:sz w:val="24"/>
          <w:lang w:val="en-US"/>
        </w:rPr>
        <w:t xml:space="preserve">improved faba bean </w:t>
      </w:r>
      <w:r>
        <w:rPr>
          <w:rFonts w:ascii="Times New Roman" w:eastAsia="Times New Roman" w:hAnsi="Times New Roman" w:cs="Times New Roman"/>
          <w:color w:val="000000"/>
          <w:sz w:val="24"/>
          <w:szCs w:val="24"/>
          <w:lang w:val="en-AU" w:eastAsia="en-AU"/>
        </w:rPr>
        <w:t xml:space="preserve">takes place and 0 otherwise; Xi is the vector of observed farmer, farm and non-farm characteristics that are believed to determine adoption and hence are included in the model (see Table 2); βi are parameters to be estimated; </w:t>
      </w:r>
      <m:oMath>
        <m:sSub>
          <m:sSubPr>
            <m:ctrlPr>
              <w:rPr>
                <w:rFonts w:ascii="Cambria Math" w:eastAsia="Times New Roman" w:hAnsi="Cambria Math" w:cs="Times New Roman"/>
                <w:color w:val="000000"/>
                <w:sz w:val="24"/>
                <w:szCs w:val="24"/>
                <w:lang w:val="en-AU" w:eastAsia="en-AU"/>
              </w:rPr>
            </m:ctrlPr>
          </m:sSubPr>
          <m:e>
            <m:r>
              <w:rPr>
                <w:rFonts w:ascii="Cambria Math" w:eastAsia="Times New Roman" w:hAnsi="Cambria Math" w:cs="Times New Roman"/>
                <w:color w:val="000000"/>
                <w:sz w:val="24"/>
                <w:szCs w:val="24"/>
                <w:lang w:val="en-AU" w:eastAsia="en-AU"/>
              </w:rPr>
              <m:t>ε</m:t>
            </m:r>
          </m:e>
          <m:sub>
            <m:r>
              <w:rPr>
                <w:rFonts w:ascii="Cambria Math" w:eastAsia="Times New Roman" w:hAnsi="Cambria Math" w:cs="Times New Roman"/>
                <w:color w:val="000000"/>
                <w:sz w:val="24"/>
                <w:szCs w:val="24"/>
                <w:lang w:val="en-AU" w:eastAsia="en-AU"/>
              </w:rPr>
              <m:t>j</m:t>
            </m:r>
          </m:sub>
        </m:sSub>
      </m:oMath>
      <w:r>
        <w:rPr>
          <w:rFonts w:ascii="Times New Roman" w:eastAsia="Times New Roman" w:hAnsi="Times New Roman" w:cs="Times New Roman"/>
          <w:color w:val="000000"/>
          <w:sz w:val="24"/>
          <w:szCs w:val="24"/>
          <w:lang w:val="en-AU" w:eastAsia="en-AU"/>
        </w:rPr>
        <w:t xml:space="preserve"> is error term of the model; and </w:t>
      </w:r>
      <m:oMath>
        <m:r>
          <w:rPr>
            <w:rFonts w:ascii="Cambria Math" w:eastAsia="Times New Roman" w:hAnsi="Cambria Math" w:cs="Times New Roman"/>
            <w:color w:val="000000"/>
            <w:sz w:val="24"/>
            <w:szCs w:val="24"/>
            <w:lang w:val="en-AU" w:eastAsia="en-AU"/>
          </w:rPr>
          <m:t>e</m:t>
        </m:r>
      </m:oMath>
      <w:r>
        <w:rPr>
          <w:rFonts w:ascii="Times New Roman" w:eastAsia="Times New Roman" w:hAnsi="Times New Roman" w:cs="Times New Roman"/>
          <w:color w:val="000000"/>
          <w:sz w:val="24"/>
          <w:szCs w:val="24"/>
          <w:lang w:val="en-AU" w:eastAsia="en-AU"/>
        </w:rPr>
        <w:t xml:space="preserve"> is the base of natural logarithms. </w:t>
      </w:r>
    </w:p>
    <w:p>
      <w:pPr>
        <w:spacing w:after="240" w:line="480" w:lineRule="auto"/>
        <w:jc w:val="both"/>
        <w:rPr>
          <w:rFonts w:ascii="Times New Roman" w:eastAsia="Times New Roman" w:hAnsi="Times New Roman" w:cs="Times New Roman"/>
          <w:color w:val="000000"/>
          <w:sz w:val="24"/>
          <w:szCs w:val="24"/>
          <w:lang w:val="en-AU" w:eastAsia="en-AU"/>
        </w:rPr>
      </w:pPr>
      <w:r>
        <w:rPr>
          <w:rFonts w:ascii="Times New Roman" w:eastAsia="Times New Roman" w:hAnsi="Times New Roman" w:cs="Times New Roman"/>
          <w:color w:val="000000"/>
          <w:sz w:val="24"/>
          <w:szCs w:val="24"/>
          <w:lang w:val="en-AU" w:eastAsia="en-AU"/>
        </w:rPr>
        <w:t xml:space="preserve">The main purpose of the propensity score estimation is to balance the observed distribution of covariates across the groups of adopters and non-adopters (Lee, 2013). Since we do not condition on all covariates but on the propensity score, balancing test is normally required after matching to ascertain whether the differences in the covariates in the two groups in the matched sample have been eliminated, in which case, the matched comparison group can be considered a plausible counterfactual (Ali and Abdulai, 2010). Several versions of balancing tests exist in the literature: test for mean differences within strata (Dehejia and Wahba, 2002), test for standardized differences (Rosenbaum and Rubin 1985), test for the joint equality of covariate means between treatment and comparison groups using the Hotelling or F-tests (Smith and Todd 2005), comparison of the pseudo R2 and p-values of the likelihood ratio test of the joint insignificance of all the covariates (Sianesi, 2004)  and the mean absolute standardized bias (MASB) between adopters and non-adopters (Rosenbaum and Rubin, 1985). We use the mean absolute standardized bias (MASB) between adopters and non-adopters because it has key advantage where as opposed to model-based methods, </w:t>
      </w:r>
      <w:r>
        <w:rPr>
          <w:rFonts w:ascii="Times New Roman" w:eastAsia="Times New Roman" w:hAnsi="Times New Roman" w:cs="Times New Roman"/>
          <w:color w:val="000000"/>
          <w:sz w:val="24"/>
          <w:szCs w:val="24"/>
          <w:lang w:val="en-AU" w:eastAsia="en-AU"/>
        </w:rPr>
        <w:lastRenderedPageBreak/>
        <w:t xml:space="preserve">outcome data is not involved in the matching for which repeated attempts to balance covariates do not bias estimates of the treatment effect on outcome variables. The intuition behind this check for balance within strata is the close analogy between randomized block experiments and propensity score methods.  </w:t>
      </w:r>
    </w:p>
    <w:p>
      <w:pPr>
        <w:spacing w:after="240" w:line="480" w:lineRule="auto"/>
        <w:jc w:val="both"/>
        <w:rPr>
          <w:rFonts w:ascii="Times New Roman" w:eastAsia="Times New Roman" w:hAnsi="Times New Roman" w:cs="Times New Roman"/>
          <w:color w:val="000000"/>
          <w:sz w:val="24"/>
          <w:szCs w:val="24"/>
          <w:lang w:val="en-AU" w:eastAsia="en-AU"/>
        </w:rPr>
      </w:pPr>
      <w:r>
        <w:rPr>
          <w:rFonts w:ascii="Times New Roman" w:eastAsia="Times New Roman" w:hAnsi="Times New Roman" w:cs="Times New Roman"/>
          <w:color w:val="000000"/>
          <w:sz w:val="24"/>
          <w:szCs w:val="24"/>
          <w:lang w:val="en-AU" w:eastAsia="en-AU"/>
        </w:rPr>
        <w:t xml:space="preserve">The main problem with using the MASB approach is that there is no clear criterion for testing the success of PSM. However, in empirical studies, it is often assumed that MASB below 3% or 5% after matching is acceptable (Caliendo and Kopeinig, 2008). Rosenbaum and Rubin (1985) argue that, after matching, total bias in excess of 20% should be considered as large. </w:t>
      </w:r>
    </w:p>
    <w:p>
      <w:pPr>
        <w:spacing w:after="240" w:line="480" w:lineRule="auto"/>
        <w:jc w:val="both"/>
        <w:rPr>
          <w:rFonts w:ascii="Times New Roman" w:eastAsia="Times New Roman" w:hAnsi="Times New Roman" w:cs="Times New Roman"/>
          <w:color w:val="000000"/>
          <w:sz w:val="24"/>
          <w:szCs w:val="24"/>
          <w:lang w:val="en-AU" w:eastAsia="en-AU"/>
        </w:rPr>
      </w:pPr>
      <w:r>
        <w:rPr>
          <w:rFonts w:ascii="Times New Roman" w:eastAsia="Times New Roman" w:hAnsi="Times New Roman" w:cs="Times New Roman"/>
          <w:color w:val="000000"/>
          <w:sz w:val="24"/>
          <w:szCs w:val="24"/>
          <w:lang w:val="en-AU" w:eastAsia="en-AU"/>
        </w:rPr>
        <w:t xml:space="preserve">Following Sianesi (2004), we also make comparison of the pseudo R2 and p-values of the likelihood ratio test of the joint significance of all the regressors obtained from the logistic regression before and after matching the samples. After matching, there should be no systematic differences in the distribution of covariates between the two groups. As a result, the pseudo-R2 should be lower and the joint significance of covariates should be rejected (or the p-values of the likelihood ratio should be insignificant). </w:t>
      </w:r>
    </w:p>
    <w:p>
      <w:pPr>
        <w:spacing w:after="240" w:line="480" w:lineRule="auto"/>
        <w:jc w:val="both"/>
        <w:rPr>
          <w:rFonts w:ascii="Times New Roman" w:eastAsia="Times New Roman" w:hAnsi="Times New Roman" w:cs="Times New Roman"/>
          <w:b/>
          <w:bCs/>
          <w:i/>
          <w:sz w:val="24"/>
          <w:szCs w:val="24"/>
          <w:lang w:val="en-AU" w:eastAsia="en-AU"/>
        </w:rPr>
      </w:pPr>
      <w:r>
        <w:rPr>
          <w:rFonts w:ascii="Times New Roman" w:eastAsia="Times New Roman" w:hAnsi="Times New Roman" w:cs="Times New Roman"/>
          <w:b/>
          <w:bCs/>
          <w:i/>
          <w:sz w:val="24"/>
          <w:szCs w:val="24"/>
          <w:lang w:val="en-AU" w:eastAsia="en-AU"/>
        </w:rPr>
        <w:t>4.2</w:t>
      </w:r>
      <w:r>
        <w:rPr>
          <w:rFonts w:ascii="Times New Roman" w:eastAsia="MS Mincho" w:hAnsi="Times New Roman" w:cs="Times New Roman"/>
          <w:i/>
          <w:sz w:val="24"/>
          <w:szCs w:val="24"/>
          <w:lang w:val="en-AU" w:eastAsia="ja-JP"/>
        </w:rPr>
        <w:t xml:space="preserve"> </w:t>
      </w:r>
      <w:r>
        <w:rPr>
          <w:rFonts w:ascii="Times New Roman" w:eastAsia="Times New Roman" w:hAnsi="Times New Roman" w:cs="Times New Roman"/>
          <w:b/>
          <w:bCs/>
          <w:i/>
          <w:sz w:val="24"/>
          <w:szCs w:val="24"/>
          <w:lang w:val="en-AU" w:eastAsia="en-AU"/>
        </w:rPr>
        <w:t>Endogenous switching regression (ESR) models</w:t>
      </w:r>
    </w:p>
    <w:p>
      <w:pPr>
        <w:autoSpaceDE w:val="0"/>
        <w:autoSpaceDN w:val="0"/>
        <w:adjustRightInd w:val="0"/>
        <w:spacing w:after="240" w:line="480" w:lineRule="auto"/>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t xml:space="preserve">To complement the impact estimates from the PSM technique and to assess consistency of the results to different assumptions, the endogenous switching regression (ESR) technique (Maddala and Nelson, 1975) was applied to the same data. Both PSM and ESR are used to measure the impacts of improved faba bean on farm households’ welfare particularly on farm income and per capita wheat consumption. </w:t>
      </w:r>
    </w:p>
    <w:p>
      <w:pPr>
        <w:autoSpaceDE w:val="0"/>
        <w:autoSpaceDN w:val="0"/>
        <w:adjustRightInd w:val="0"/>
        <w:spacing w:after="240" w:line="480" w:lineRule="auto"/>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t xml:space="preserve">The endogenous switching regression model can be used to estimate and make pairwise comparisons of:  (a) the expected net income of a typical adopter farm household (b) </w:t>
      </w:r>
      <w:r>
        <w:rPr>
          <w:rFonts w:ascii="Times New Roman" w:eastAsia="MS Mincho" w:hAnsi="Times New Roman" w:cs="Times New Roman"/>
          <w:sz w:val="24"/>
          <w:szCs w:val="24"/>
          <w:lang w:val="en-AU" w:eastAsia="ja-JP"/>
        </w:rPr>
        <w:lastRenderedPageBreak/>
        <w:t>the expected net income of the typical non-adopter household; and to investigate the expected net income in the counterfactual hypothetical cases of (c) if the typical adopter did not actually adopt and (d) if the typical non-adopter were to adopt. Following Di Falco (2011) and Shiferaw et al. (2014), the conditional expectations for net income in the four cases are presented in Table 1 and defined as follows:</w:t>
      </w:r>
    </w:p>
    <w:p>
      <w:pPr>
        <w:autoSpaceDE w:val="0"/>
        <w:autoSpaceDN w:val="0"/>
        <w:adjustRightInd w:val="0"/>
        <w:spacing w:after="0" w:line="480" w:lineRule="auto"/>
        <w:rPr>
          <w:rFonts w:ascii="TimesTen-Roman" w:eastAsia="Calibri" w:hAnsi="TimesTen-Roman" w:cs="TimesTen-Roman"/>
          <w:color w:val="231F20"/>
          <w:sz w:val="24"/>
          <w:szCs w:val="24"/>
          <w:vertAlign w:val="subscript"/>
          <w:lang w:val="en-AU" w:eastAsia="en-AU"/>
        </w:rPr>
      </w:pPr>
      <w:r>
        <w:rPr>
          <w:rFonts w:ascii="TimesTen-Roman" w:eastAsia="Calibri" w:hAnsi="TimesTen-Roman" w:cs="TimesTen-Roman"/>
          <w:color w:val="231F20"/>
          <w:sz w:val="24"/>
          <w:szCs w:val="24"/>
          <w:lang w:val="en-AU" w:eastAsia="en-AU"/>
        </w:rPr>
        <w:t xml:space="preserve"> </w:t>
      </w:r>
      <m:oMath>
        <m:d>
          <m:dPr>
            <m:ctrlPr>
              <w:rPr>
                <w:rFonts w:ascii="Cambria Math" w:eastAsia="Times New Roman" w:hAnsi="Cambria Math" w:cs="TimesTen-Roman"/>
                <w:i/>
                <w:color w:val="231F20"/>
                <w:sz w:val="24"/>
                <w:szCs w:val="24"/>
                <w:lang w:val="en-AU" w:eastAsia="en-AU"/>
              </w:rPr>
            </m:ctrlPr>
          </m:dPr>
          <m:e>
            <m:r>
              <w:rPr>
                <w:rFonts w:ascii="Cambria Math" w:eastAsia="Times New Roman" w:hAnsi="Cambria Math" w:cs="TimesTen-Italic"/>
                <w:color w:val="231F20"/>
                <w:sz w:val="24"/>
                <w:szCs w:val="24"/>
                <w:lang w:val="en-AU" w:eastAsia="en-AU"/>
              </w:rPr>
              <m:t>a</m:t>
            </m:r>
          </m:e>
        </m:d>
        <m:r>
          <w:rPr>
            <w:rFonts w:ascii="Cambria Math" w:eastAsia="Times New Roman" w:hAnsi="Cambria Math" w:cs="TimesTen-Italic"/>
            <w:color w:val="231F20"/>
            <w:sz w:val="24"/>
            <w:szCs w:val="24"/>
            <w:lang w:val="en-AU" w:eastAsia="en-AU"/>
          </w:rPr>
          <m:t xml:space="preserve"> E</m:t>
        </m:r>
        <m:d>
          <m:dPr>
            <m:ctrlPr>
              <w:rPr>
                <w:rFonts w:ascii="Cambria Math" w:eastAsia="Times New Roman" w:hAnsi="Cambria Math" w:cs="MTMI"/>
                <w:i/>
                <w:color w:val="231F20"/>
                <w:sz w:val="24"/>
                <w:szCs w:val="24"/>
                <w:lang w:val="en-AU" w:eastAsia="en-AU"/>
              </w:rPr>
            </m:ctrlPr>
          </m:dPr>
          <m:e>
            <m:r>
              <w:rPr>
                <w:rFonts w:ascii="Cambria Math" w:eastAsia="Times New Roman" w:hAnsi="Cambria Math" w:cs="TimesTen-Italic"/>
                <w:color w:val="231F20"/>
                <w:sz w:val="24"/>
                <w:szCs w:val="24"/>
                <w:lang w:val="en-AU" w:eastAsia="en-AU"/>
              </w:rPr>
              <m:t>y</m:t>
            </m:r>
            <m:r>
              <w:rPr>
                <w:rFonts w:ascii="Cambria Math" w:eastAsia="Times New Roman" w:hAnsi="Cambria Math" w:cs="TimesTen-Roman"/>
                <w:color w:val="231F20"/>
                <w:sz w:val="24"/>
                <w:szCs w:val="24"/>
                <w:vertAlign w:val="subscript"/>
                <w:lang w:val="en-AU" w:eastAsia="en-AU"/>
              </w:rPr>
              <m:t>1</m:t>
            </m:r>
            <m:r>
              <w:rPr>
                <w:rFonts w:ascii="Cambria Math" w:eastAsia="Times New Roman" w:hAnsi="Cambria Math" w:cs="TimesTen-Italic"/>
                <w:color w:val="231F20"/>
                <w:sz w:val="24"/>
                <w:szCs w:val="24"/>
                <w:vertAlign w:val="subscript"/>
                <w:lang w:val="en-AU" w:eastAsia="en-AU"/>
              </w:rPr>
              <m:t>i</m:t>
            </m:r>
            <m:ctrlPr>
              <w:rPr>
                <w:rFonts w:ascii="Cambria Math" w:eastAsia="MTSYN" w:hAnsi="Cambria Math" w:cs="MTSYN"/>
                <w:i/>
                <w:color w:val="231F20"/>
                <w:sz w:val="24"/>
                <w:szCs w:val="24"/>
                <w:lang w:val="en-AU" w:eastAsia="en-AU"/>
              </w:rPr>
            </m:ctrlPr>
          </m:e>
          <m:e>
            <m:r>
              <w:rPr>
                <w:rFonts w:ascii="Cambria Math" w:eastAsia="Times New Roman" w:hAnsi="Cambria Math" w:cs="TimesTen-Italic"/>
                <w:color w:val="231F20"/>
                <w:sz w:val="24"/>
                <w:szCs w:val="24"/>
                <w:lang w:val="en-AU" w:eastAsia="en-AU"/>
              </w:rPr>
              <m:t>A</m:t>
            </m:r>
            <m:r>
              <w:rPr>
                <w:rFonts w:ascii="Cambria Math" w:eastAsia="Times New Roman" w:hAnsi="Cambria Math" w:cs="TimesTen-Italic"/>
                <w:color w:val="231F20"/>
                <w:sz w:val="24"/>
                <w:szCs w:val="24"/>
                <w:vertAlign w:val="subscript"/>
                <w:lang w:val="en-AU" w:eastAsia="en-AU"/>
              </w:rPr>
              <m:t>i</m:t>
            </m:r>
            <m:r>
              <w:rPr>
                <w:rFonts w:ascii="Cambria Math" w:eastAsia="Times New Roman" w:hAnsi="Cambria Math" w:cs="TimesTen-Italic"/>
                <w:color w:val="231F20"/>
                <w:sz w:val="24"/>
                <w:szCs w:val="24"/>
                <w:lang w:val="en-AU" w:eastAsia="en-AU"/>
              </w:rPr>
              <m:t xml:space="preserve"> </m:t>
            </m:r>
            <m:r>
              <w:rPr>
                <w:rFonts w:ascii="Cambria Math" w:eastAsia="MTSYN" w:hAnsi="Cambria Math" w:cs="MTSYN"/>
                <w:color w:val="231F20"/>
                <w:sz w:val="24"/>
                <w:szCs w:val="24"/>
                <w:lang w:val="en-AU" w:eastAsia="en-AU"/>
              </w:rPr>
              <m:t>=</m:t>
            </m:r>
            <m:r>
              <w:rPr>
                <w:rFonts w:ascii="Cambria Math" w:eastAsia="Times New Roman" w:hAnsi="Cambria Math" w:cs="TimesTen-Roman"/>
                <w:color w:val="231F20"/>
                <w:sz w:val="24"/>
                <w:szCs w:val="24"/>
                <w:lang w:val="en-AU" w:eastAsia="en-AU"/>
              </w:rPr>
              <m:t>1</m:t>
            </m:r>
          </m:e>
        </m:d>
        <m:r>
          <w:rPr>
            <w:rFonts w:ascii="Cambria Math" w:eastAsia="MTSYN" w:hAnsi="Cambria Math" w:cs="MTSYN"/>
            <w:color w:val="231F20"/>
            <w:sz w:val="24"/>
            <w:szCs w:val="24"/>
            <w:lang w:val="en-AU" w:eastAsia="en-AU"/>
          </w:rPr>
          <m:t>=</m:t>
        </m:r>
        <m:r>
          <m:rPr>
            <m:sty m:val="bi"/>
          </m:rPr>
          <w:rPr>
            <w:rFonts w:ascii="Cambria Math" w:eastAsia="Times New Roman" w:hAnsi="Cambria Math" w:cs="TimesTen-Bold"/>
            <w:color w:val="231F20"/>
            <w:sz w:val="24"/>
            <w:szCs w:val="24"/>
            <w:lang w:val="en-AU" w:eastAsia="en-AU"/>
          </w:rPr>
          <m:t>X</m:t>
        </m:r>
        <m:r>
          <m:rPr>
            <m:sty m:val="bi"/>
          </m:rPr>
          <w:rPr>
            <w:rFonts w:ascii="Cambria Math" w:eastAsia="Times New Roman" w:hAnsi="Cambria Math" w:cs="TimesTen-Bold"/>
            <w:color w:val="231F20"/>
            <w:sz w:val="24"/>
            <w:szCs w:val="24"/>
            <w:vertAlign w:val="subscript"/>
            <w:lang w:val="en-AU" w:eastAsia="en-AU"/>
          </w:rPr>
          <m:t>1</m:t>
        </m:r>
        <m:r>
          <m:rPr>
            <m:sty m:val="bi"/>
          </m:rPr>
          <w:rPr>
            <w:rFonts w:ascii="Cambria Math" w:eastAsia="Times New Roman" w:hAnsi="Cambria Math" w:cs="TimesTen-Bold"/>
            <w:color w:val="231F20"/>
            <w:sz w:val="24"/>
            <w:szCs w:val="24"/>
            <w:vertAlign w:val="subscript"/>
            <w:lang w:val="en-AU" w:eastAsia="en-AU"/>
          </w:rPr>
          <m:t>i</m:t>
        </m:r>
        <m:r>
          <m:rPr>
            <m:sty m:val="bi"/>
          </m:rPr>
          <w:rPr>
            <w:rFonts w:ascii="Cambria Math" w:eastAsia="Times New Roman" w:hAnsi="Cambria Math" w:cs="MTGUB"/>
            <w:color w:val="231F20"/>
            <w:sz w:val="24"/>
            <w:szCs w:val="24"/>
            <w:lang w:val="en-AU" w:eastAsia="en-AU"/>
          </w:rPr>
          <m:t>β</m:t>
        </m:r>
        <m:r>
          <m:rPr>
            <m:sty m:val="bi"/>
          </m:rPr>
          <w:rPr>
            <w:rFonts w:ascii="Cambria Math" w:eastAsia="Times New Roman" w:hAnsi="Cambria Math" w:cs="TimesTen-Bold"/>
            <w:color w:val="231F20"/>
            <w:sz w:val="24"/>
            <w:szCs w:val="24"/>
            <w:vertAlign w:val="subscript"/>
            <w:lang w:val="en-AU" w:eastAsia="en-AU"/>
          </w:rPr>
          <m:t>1</m:t>
        </m:r>
        <m:r>
          <m:rPr>
            <m:sty m:val="bi"/>
          </m:rPr>
          <w:rPr>
            <w:rFonts w:ascii="Cambria Math" w:eastAsia="Times New Roman" w:hAnsi="Cambria Math" w:cs="TimesTen-Bold"/>
            <w:color w:val="231F20"/>
            <w:sz w:val="24"/>
            <w:szCs w:val="24"/>
            <w:lang w:val="en-AU" w:eastAsia="en-AU"/>
          </w:rPr>
          <m:t xml:space="preserve"> </m:t>
        </m:r>
        <m:r>
          <w:rPr>
            <w:rFonts w:ascii="Cambria Math" w:eastAsia="MTSYN" w:hAnsi="Cambria Math" w:cs="MTSYN"/>
            <w:color w:val="231F20"/>
            <w:sz w:val="24"/>
            <w:szCs w:val="24"/>
            <w:lang w:val="en-AU" w:eastAsia="en-AU"/>
          </w:rPr>
          <m:t xml:space="preserve">+ </m:t>
        </m:r>
        <m:r>
          <w:rPr>
            <w:rFonts w:ascii="Cambria Math" w:eastAsia="Times New Roman" w:hAnsi="Cambria Math" w:cs="MTMI"/>
            <w:color w:val="231F20"/>
            <w:sz w:val="24"/>
            <w:szCs w:val="24"/>
            <w:lang w:val="en-AU" w:eastAsia="en-AU"/>
          </w:rPr>
          <m:t>σ</m:t>
        </m:r>
        <m:r>
          <w:rPr>
            <w:rFonts w:ascii="Cambria Math" w:eastAsia="Times New Roman" w:hAnsi="Cambria Math" w:cs="TimesTen-Roman"/>
            <w:color w:val="231F20"/>
            <w:sz w:val="24"/>
            <w:szCs w:val="24"/>
            <w:vertAlign w:val="subscript"/>
            <w:lang w:val="en-AU" w:eastAsia="en-AU"/>
          </w:rPr>
          <m:t>1</m:t>
        </m:r>
        <m:r>
          <w:rPr>
            <w:rFonts w:ascii="Cambria Math" w:eastAsia="Times New Roman" w:hAnsi="Cambria Math" w:cs="MTMI"/>
            <w:color w:val="231F20"/>
            <w:sz w:val="24"/>
            <w:szCs w:val="24"/>
            <w:vertAlign w:val="subscript"/>
            <w:lang w:val="en-AU" w:eastAsia="en-AU"/>
          </w:rPr>
          <m:t>η</m:t>
        </m:r>
        <m:r>
          <w:rPr>
            <w:rFonts w:ascii="Cambria Math" w:eastAsia="Times New Roman" w:hAnsi="Cambria Math" w:cs="MTMI"/>
            <w:color w:val="231F20"/>
            <w:sz w:val="24"/>
            <w:szCs w:val="24"/>
            <w:lang w:val="en-AU" w:eastAsia="en-AU"/>
          </w:rPr>
          <m:t>λ</m:t>
        </m:r>
        <m:r>
          <w:rPr>
            <w:rFonts w:ascii="Cambria Math" w:eastAsia="Times New Roman" w:hAnsi="Cambria Math" w:cs="TimesTen-Roman"/>
            <w:color w:val="231F20"/>
            <w:sz w:val="24"/>
            <w:szCs w:val="24"/>
            <w:vertAlign w:val="subscript"/>
            <w:lang w:val="en-AU" w:eastAsia="en-AU"/>
          </w:rPr>
          <m:t>1</m:t>
        </m:r>
        <m:r>
          <w:rPr>
            <w:rFonts w:ascii="Cambria Math" w:eastAsia="Times New Roman" w:hAnsi="Cambria Math" w:cs="TimesTen-Italic"/>
            <w:color w:val="231F20"/>
            <w:sz w:val="24"/>
            <w:szCs w:val="24"/>
            <w:vertAlign w:val="subscript"/>
            <w:lang w:val="en-AU" w:eastAsia="en-AU"/>
          </w:rPr>
          <m:t>i</m:t>
        </m:r>
      </m:oMath>
    </w:p>
    <w:p>
      <w:pPr>
        <w:autoSpaceDE w:val="0"/>
        <w:autoSpaceDN w:val="0"/>
        <w:adjustRightInd w:val="0"/>
        <w:spacing w:after="0" w:line="480" w:lineRule="auto"/>
        <w:rPr>
          <w:rFonts w:ascii="Cambria Math" w:eastAsia="Times New Roman" w:hAnsi="Cambria Math" w:cs="TimesTen-Italic"/>
          <w:color w:val="231F20"/>
          <w:sz w:val="24"/>
          <w:szCs w:val="24"/>
          <w:lang w:val="en-AU" w:eastAsia="en-AU"/>
          <w:oMath/>
        </w:rPr>
      </w:pPr>
      <m:oMathPara>
        <m:oMathParaPr>
          <m:jc m:val="left"/>
        </m:oMathParaPr>
        <m:oMath>
          <m:r>
            <w:rPr>
              <w:rFonts w:ascii="Cambria Math" w:eastAsia="Times New Roman" w:hAnsi="Cambria Math" w:cs="TimesTen-Roman"/>
              <w:color w:val="231F20"/>
              <w:sz w:val="24"/>
              <w:szCs w:val="24"/>
              <w:lang w:val="en-AU" w:eastAsia="en-AU"/>
            </w:rPr>
            <m:t>(</m:t>
          </m:r>
          <m:r>
            <w:rPr>
              <w:rFonts w:ascii="Cambria Math" w:eastAsia="Times New Roman" w:hAnsi="Cambria Math" w:cs="TimesTen-Italic"/>
              <w:color w:val="231F20"/>
              <w:sz w:val="24"/>
              <w:szCs w:val="24"/>
              <w:lang w:val="en-AU" w:eastAsia="en-AU"/>
            </w:rPr>
            <m:t>b</m:t>
          </m:r>
          <m:r>
            <w:rPr>
              <w:rFonts w:ascii="Cambria Math" w:eastAsia="Times New Roman" w:hAnsi="Cambria Math" w:cs="TimesTen-Roman"/>
              <w:color w:val="231F20"/>
              <w:sz w:val="24"/>
              <w:szCs w:val="24"/>
              <w:lang w:val="en-AU" w:eastAsia="en-AU"/>
            </w:rPr>
            <m:t xml:space="preserve">) </m:t>
          </m:r>
          <m:r>
            <w:rPr>
              <w:rFonts w:ascii="Cambria Math" w:eastAsia="Times New Roman" w:hAnsi="Cambria Math" w:cs="TimesTen-Italic"/>
              <w:color w:val="231F20"/>
              <w:sz w:val="24"/>
              <w:szCs w:val="24"/>
              <w:lang w:val="en-AU" w:eastAsia="en-AU"/>
            </w:rPr>
            <m:t>E</m:t>
          </m:r>
          <m:r>
            <w:rPr>
              <w:rFonts w:ascii="Cambria Math" w:eastAsia="Times New Roman" w:hAnsi="Cambria Math" w:cs="MTMI"/>
              <w:color w:val="231F20"/>
              <w:sz w:val="24"/>
              <w:szCs w:val="24"/>
              <w:lang w:val="en-AU" w:eastAsia="en-AU"/>
            </w:rPr>
            <m:t>(</m:t>
          </m:r>
          <m:r>
            <w:rPr>
              <w:rFonts w:ascii="Cambria Math" w:eastAsia="Times New Roman" w:hAnsi="Cambria Math" w:cs="TimesTen-Italic"/>
              <w:color w:val="231F20"/>
              <w:sz w:val="24"/>
              <w:szCs w:val="24"/>
              <w:lang w:val="en-AU" w:eastAsia="en-AU"/>
            </w:rPr>
            <m:t>y</m:t>
          </m:r>
          <m:r>
            <w:rPr>
              <w:rFonts w:ascii="Cambria Math" w:eastAsia="Times New Roman" w:hAnsi="Cambria Math" w:cs="TimesTen-Roman"/>
              <w:color w:val="231F20"/>
              <w:sz w:val="24"/>
              <w:szCs w:val="24"/>
              <w:vertAlign w:val="subscript"/>
              <w:lang w:val="en-AU" w:eastAsia="en-AU"/>
            </w:rPr>
            <m:t>2</m:t>
          </m:r>
          <m:r>
            <w:rPr>
              <w:rFonts w:ascii="Cambria Math" w:eastAsia="Times New Roman" w:hAnsi="Cambria Math" w:cs="TimesTen-Italic"/>
              <w:color w:val="231F20"/>
              <w:sz w:val="24"/>
              <w:szCs w:val="24"/>
              <w:vertAlign w:val="subscript"/>
              <w:lang w:val="en-AU" w:eastAsia="en-AU"/>
            </w:rPr>
            <m:t>i</m:t>
          </m:r>
          <m:r>
            <w:rPr>
              <w:rFonts w:ascii="Cambria Math" w:eastAsia="MTSYN" w:hAnsi="Cambria Math" w:cs="MTSYN"/>
              <w:color w:val="231F20"/>
              <w:sz w:val="24"/>
              <w:szCs w:val="24"/>
              <w:lang w:val="en-AU" w:eastAsia="en-AU"/>
            </w:rPr>
            <m:t>|</m:t>
          </m:r>
          <m:r>
            <w:rPr>
              <w:rFonts w:ascii="Cambria Math" w:eastAsia="Times New Roman" w:hAnsi="Cambria Math" w:cs="TimesTen-Italic"/>
              <w:color w:val="231F20"/>
              <w:sz w:val="24"/>
              <w:szCs w:val="24"/>
              <w:lang w:val="en-AU" w:eastAsia="en-AU"/>
            </w:rPr>
            <m:t>A</m:t>
          </m:r>
          <m:r>
            <w:rPr>
              <w:rFonts w:ascii="Cambria Math" w:eastAsia="Times New Roman" w:hAnsi="Cambria Math" w:cs="TimesTen-Italic"/>
              <w:color w:val="231F20"/>
              <w:sz w:val="24"/>
              <w:szCs w:val="24"/>
              <w:vertAlign w:val="subscript"/>
              <w:lang w:val="en-AU" w:eastAsia="en-AU"/>
            </w:rPr>
            <m:t>i</m:t>
          </m:r>
          <m:r>
            <w:rPr>
              <w:rFonts w:ascii="Cambria Math" w:eastAsia="Times New Roman" w:hAnsi="Cambria Math" w:cs="TimesTen-Italic"/>
              <w:color w:val="231F20"/>
              <w:sz w:val="24"/>
              <w:szCs w:val="24"/>
              <w:lang w:val="en-AU" w:eastAsia="en-AU"/>
            </w:rPr>
            <m:t xml:space="preserve"> </m:t>
          </m:r>
          <m:r>
            <w:rPr>
              <w:rFonts w:ascii="Cambria Math" w:eastAsia="MTSYN" w:hAnsi="Cambria Math" w:cs="MTSYN"/>
              <w:color w:val="231F20"/>
              <w:sz w:val="24"/>
              <w:szCs w:val="24"/>
              <w:lang w:val="en-AU" w:eastAsia="en-AU"/>
            </w:rPr>
            <m:t>=</m:t>
          </m:r>
          <m:r>
            <w:rPr>
              <w:rFonts w:ascii="Cambria Math" w:eastAsia="Times New Roman" w:hAnsi="Cambria Math" w:cs="TimesTen-Roman"/>
              <w:color w:val="231F20"/>
              <w:sz w:val="24"/>
              <w:szCs w:val="24"/>
              <w:lang w:val="en-AU" w:eastAsia="en-AU"/>
            </w:rPr>
            <m:t>0</m:t>
          </m:r>
          <m:r>
            <w:rPr>
              <w:rFonts w:ascii="Cambria Math" w:eastAsia="Times New Roman" w:hAnsi="Cambria Math" w:cs="MTMI"/>
              <w:color w:val="231F20"/>
              <w:sz w:val="24"/>
              <w:szCs w:val="24"/>
              <w:lang w:val="en-AU" w:eastAsia="en-AU"/>
            </w:rPr>
            <m:t>)</m:t>
          </m:r>
          <m:r>
            <w:rPr>
              <w:rFonts w:ascii="Cambria Math" w:eastAsia="MTSYN" w:hAnsi="Cambria Math" w:cs="MTSYN"/>
              <w:color w:val="231F20"/>
              <w:sz w:val="24"/>
              <w:szCs w:val="24"/>
              <w:lang w:val="en-AU" w:eastAsia="en-AU"/>
            </w:rPr>
            <m:t>=</m:t>
          </m:r>
          <m:r>
            <m:rPr>
              <m:sty m:val="bi"/>
            </m:rPr>
            <w:rPr>
              <w:rFonts w:ascii="Cambria Math" w:eastAsia="Times New Roman" w:hAnsi="Cambria Math" w:cs="TimesTen-Bold"/>
              <w:color w:val="231F20"/>
              <w:sz w:val="24"/>
              <w:szCs w:val="24"/>
              <w:lang w:val="en-AU" w:eastAsia="en-AU"/>
            </w:rPr>
            <m:t>X</m:t>
          </m:r>
          <m:r>
            <m:rPr>
              <m:sty m:val="bi"/>
            </m:rPr>
            <w:rPr>
              <w:rFonts w:ascii="Cambria Math" w:eastAsia="Times New Roman" w:hAnsi="Cambria Math" w:cs="TimesTen-Bold"/>
              <w:color w:val="231F20"/>
              <w:sz w:val="24"/>
              <w:szCs w:val="24"/>
              <w:vertAlign w:val="subscript"/>
              <w:lang w:val="en-AU" w:eastAsia="en-AU"/>
            </w:rPr>
            <m:t>2</m:t>
          </m:r>
          <m:r>
            <m:rPr>
              <m:sty m:val="bi"/>
            </m:rPr>
            <w:rPr>
              <w:rFonts w:ascii="Cambria Math" w:eastAsia="Times New Roman" w:hAnsi="Cambria Math" w:cs="TimesTen-Bold"/>
              <w:color w:val="231F20"/>
              <w:sz w:val="24"/>
              <w:szCs w:val="24"/>
              <w:vertAlign w:val="subscript"/>
              <w:lang w:val="en-AU" w:eastAsia="en-AU"/>
            </w:rPr>
            <m:t>i</m:t>
          </m:r>
          <m:r>
            <m:rPr>
              <m:sty m:val="bi"/>
            </m:rPr>
            <w:rPr>
              <w:rFonts w:ascii="Cambria Math" w:eastAsia="Times New Roman" w:hAnsi="Cambria Math" w:cs="MTGUB"/>
              <w:color w:val="231F20"/>
              <w:sz w:val="24"/>
              <w:szCs w:val="24"/>
              <w:lang w:val="en-AU" w:eastAsia="en-AU"/>
            </w:rPr>
            <m:t>β</m:t>
          </m:r>
          <m:r>
            <m:rPr>
              <m:sty m:val="bi"/>
            </m:rPr>
            <w:rPr>
              <w:rFonts w:ascii="Cambria Math" w:eastAsia="Times New Roman" w:hAnsi="Cambria Math" w:cs="TimesTen-Bold"/>
              <w:color w:val="231F20"/>
              <w:sz w:val="24"/>
              <w:szCs w:val="24"/>
              <w:vertAlign w:val="subscript"/>
              <w:lang w:val="en-AU" w:eastAsia="en-AU"/>
            </w:rPr>
            <m:t>2</m:t>
          </m:r>
          <m:r>
            <m:rPr>
              <m:sty m:val="bi"/>
            </m:rPr>
            <w:rPr>
              <w:rFonts w:ascii="Cambria Math" w:eastAsia="Times New Roman" w:hAnsi="Cambria Math" w:cs="TimesTen-Bold"/>
              <w:color w:val="231F20"/>
              <w:sz w:val="24"/>
              <w:szCs w:val="24"/>
              <w:lang w:val="en-AU" w:eastAsia="en-AU"/>
            </w:rPr>
            <m:t xml:space="preserve"> </m:t>
          </m:r>
          <m:r>
            <w:rPr>
              <w:rFonts w:ascii="Cambria Math" w:eastAsia="MTSYN" w:hAnsi="Cambria Math" w:cs="MTSYN"/>
              <w:color w:val="231F20"/>
              <w:sz w:val="24"/>
              <w:szCs w:val="24"/>
              <w:lang w:val="en-AU" w:eastAsia="en-AU"/>
            </w:rPr>
            <m:t xml:space="preserve">+ </m:t>
          </m:r>
          <m:r>
            <w:rPr>
              <w:rFonts w:ascii="Cambria Math" w:eastAsia="Times New Roman" w:hAnsi="Cambria Math" w:cs="MTMI"/>
              <w:color w:val="231F20"/>
              <w:sz w:val="24"/>
              <w:szCs w:val="24"/>
              <w:lang w:val="en-AU" w:eastAsia="en-AU"/>
            </w:rPr>
            <m:t>σ</m:t>
          </m:r>
          <m:r>
            <w:rPr>
              <w:rFonts w:ascii="Cambria Math" w:eastAsia="Times New Roman" w:hAnsi="Cambria Math" w:cs="TimesTen-Roman"/>
              <w:color w:val="231F20"/>
              <w:sz w:val="24"/>
              <w:szCs w:val="24"/>
              <w:vertAlign w:val="subscript"/>
              <w:lang w:val="en-AU" w:eastAsia="en-AU"/>
            </w:rPr>
            <m:t>2</m:t>
          </m:r>
          <m:r>
            <w:rPr>
              <w:rFonts w:ascii="Cambria Math" w:eastAsia="Times New Roman" w:hAnsi="Cambria Math" w:cs="MTMI"/>
              <w:color w:val="231F20"/>
              <w:sz w:val="24"/>
              <w:szCs w:val="24"/>
              <w:vertAlign w:val="subscript"/>
              <w:lang w:val="en-AU" w:eastAsia="en-AU"/>
            </w:rPr>
            <m:t>η</m:t>
          </m:r>
          <m:r>
            <w:rPr>
              <w:rFonts w:ascii="Cambria Math" w:eastAsia="Times New Roman" w:hAnsi="Cambria Math" w:cs="MTMI"/>
              <w:color w:val="231F20"/>
              <w:sz w:val="24"/>
              <w:szCs w:val="24"/>
              <w:lang w:val="en-AU" w:eastAsia="en-AU"/>
            </w:rPr>
            <m:t>λ</m:t>
          </m:r>
          <m:r>
            <w:rPr>
              <w:rFonts w:ascii="Cambria Math" w:eastAsia="Times New Roman" w:hAnsi="Cambria Math" w:cs="TimesTen-Roman"/>
              <w:color w:val="231F20"/>
              <w:sz w:val="24"/>
              <w:szCs w:val="24"/>
              <w:vertAlign w:val="subscript"/>
              <w:lang w:val="en-AU" w:eastAsia="en-AU"/>
            </w:rPr>
            <m:t>2</m:t>
          </m:r>
          <m:r>
            <w:rPr>
              <w:rFonts w:ascii="Cambria Math" w:eastAsia="Times New Roman" w:hAnsi="Cambria Math" w:cs="TimesTen-Italic"/>
              <w:color w:val="231F20"/>
              <w:sz w:val="24"/>
              <w:szCs w:val="24"/>
              <w:vertAlign w:val="subscript"/>
              <w:lang w:val="en-AU" w:eastAsia="en-AU"/>
            </w:rPr>
            <m:t>i</m:t>
          </m:r>
        </m:oMath>
      </m:oMathPara>
    </w:p>
    <w:p>
      <w:pPr>
        <w:autoSpaceDE w:val="0"/>
        <w:autoSpaceDN w:val="0"/>
        <w:adjustRightInd w:val="0"/>
        <w:spacing w:after="0" w:line="480" w:lineRule="auto"/>
        <w:rPr>
          <w:rFonts w:ascii="Cambria Math" w:eastAsia="Times New Roman" w:hAnsi="Cambria Math" w:cs="TimesTen-Italic"/>
          <w:color w:val="231F20"/>
          <w:sz w:val="24"/>
          <w:szCs w:val="24"/>
          <w:lang w:val="en-AU" w:eastAsia="en-AU"/>
          <w:oMath/>
        </w:rPr>
      </w:pPr>
      <m:oMathPara>
        <m:oMathParaPr>
          <m:jc m:val="left"/>
        </m:oMathParaPr>
        <m:oMath>
          <m:r>
            <w:rPr>
              <w:rFonts w:ascii="Cambria Math" w:eastAsia="Times New Roman" w:hAnsi="Cambria Math" w:cs="TimesTen-Roman"/>
              <w:color w:val="231F20"/>
              <w:sz w:val="24"/>
              <w:szCs w:val="24"/>
              <w:lang w:val="en-AU" w:eastAsia="en-AU"/>
            </w:rPr>
            <m:t>(</m:t>
          </m:r>
          <m:r>
            <w:rPr>
              <w:rFonts w:ascii="Cambria Math" w:eastAsia="Times New Roman" w:hAnsi="Cambria Math" w:cs="TimesTen-Italic"/>
              <w:color w:val="231F20"/>
              <w:sz w:val="24"/>
              <w:szCs w:val="24"/>
              <w:lang w:val="en-AU" w:eastAsia="en-AU"/>
            </w:rPr>
            <m:t>c</m:t>
          </m:r>
          <m:r>
            <w:rPr>
              <w:rFonts w:ascii="Cambria Math" w:eastAsia="Times New Roman" w:hAnsi="Cambria Math" w:cs="TimesTen-Roman"/>
              <w:color w:val="231F20"/>
              <w:sz w:val="24"/>
              <w:szCs w:val="24"/>
              <w:lang w:val="en-AU" w:eastAsia="en-AU"/>
            </w:rPr>
            <m:t xml:space="preserve">) </m:t>
          </m:r>
          <m:r>
            <w:rPr>
              <w:rFonts w:ascii="Cambria Math" w:eastAsia="Times New Roman" w:hAnsi="Cambria Math" w:cs="TimesTen-Italic"/>
              <w:color w:val="231F20"/>
              <w:sz w:val="24"/>
              <w:szCs w:val="24"/>
              <w:lang w:val="en-AU" w:eastAsia="en-AU"/>
            </w:rPr>
            <m:t>E</m:t>
          </m:r>
          <m:r>
            <w:rPr>
              <w:rFonts w:ascii="Cambria Math" w:eastAsia="Times New Roman" w:hAnsi="Cambria Math" w:cs="MTMI"/>
              <w:color w:val="231F20"/>
              <w:sz w:val="24"/>
              <w:szCs w:val="24"/>
              <w:lang w:val="en-AU" w:eastAsia="en-AU"/>
            </w:rPr>
            <m:t>(</m:t>
          </m:r>
          <m:r>
            <w:rPr>
              <w:rFonts w:ascii="Cambria Math" w:eastAsia="Times New Roman" w:hAnsi="Cambria Math" w:cs="TimesTen-Italic"/>
              <w:color w:val="231F20"/>
              <w:sz w:val="24"/>
              <w:szCs w:val="24"/>
              <w:lang w:val="en-AU" w:eastAsia="en-AU"/>
            </w:rPr>
            <m:t>y</m:t>
          </m:r>
          <m:r>
            <w:rPr>
              <w:rFonts w:ascii="Cambria Math" w:eastAsia="Times New Roman" w:hAnsi="Cambria Math" w:cs="TimesTen-Roman"/>
              <w:color w:val="231F20"/>
              <w:sz w:val="24"/>
              <w:szCs w:val="24"/>
              <w:vertAlign w:val="subscript"/>
              <w:lang w:val="en-AU" w:eastAsia="en-AU"/>
            </w:rPr>
            <m:t>2</m:t>
          </m:r>
          <m:r>
            <w:rPr>
              <w:rFonts w:ascii="Cambria Math" w:eastAsia="Times New Roman" w:hAnsi="Cambria Math" w:cs="TimesTen-Italic"/>
              <w:color w:val="231F20"/>
              <w:sz w:val="24"/>
              <w:szCs w:val="24"/>
              <w:vertAlign w:val="subscript"/>
              <w:lang w:val="en-AU" w:eastAsia="en-AU"/>
            </w:rPr>
            <m:t>i</m:t>
          </m:r>
          <m:r>
            <w:rPr>
              <w:rFonts w:ascii="Cambria Math" w:eastAsia="MTSYN" w:hAnsi="Cambria Math" w:cs="MTSYN"/>
              <w:color w:val="231F20"/>
              <w:sz w:val="24"/>
              <w:szCs w:val="24"/>
              <w:lang w:val="en-AU" w:eastAsia="en-AU"/>
            </w:rPr>
            <m:t>|</m:t>
          </m:r>
          <m:r>
            <w:rPr>
              <w:rFonts w:ascii="Cambria Math" w:eastAsia="Times New Roman" w:hAnsi="Cambria Math" w:cs="TimesTen-Italic"/>
              <w:color w:val="231F20"/>
              <w:sz w:val="24"/>
              <w:szCs w:val="24"/>
              <w:lang w:val="en-AU" w:eastAsia="en-AU"/>
            </w:rPr>
            <m:t>A</m:t>
          </m:r>
          <m:r>
            <w:rPr>
              <w:rFonts w:ascii="Cambria Math" w:eastAsia="Times New Roman" w:hAnsi="Cambria Math" w:cs="TimesTen-Italic"/>
              <w:color w:val="231F20"/>
              <w:sz w:val="24"/>
              <w:szCs w:val="24"/>
              <w:vertAlign w:val="subscript"/>
              <w:lang w:val="en-AU" w:eastAsia="en-AU"/>
            </w:rPr>
            <m:t>i</m:t>
          </m:r>
          <m:r>
            <w:rPr>
              <w:rFonts w:ascii="Cambria Math" w:eastAsia="Times New Roman" w:hAnsi="Cambria Math" w:cs="TimesTen-Italic"/>
              <w:color w:val="231F20"/>
              <w:sz w:val="24"/>
              <w:szCs w:val="24"/>
              <w:lang w:val="en-AU" w:eastAsia="en-AU"/>
            </w:rPr>
            <m:t xml:space="preserve"> </m:t>
          </m:r>
          <m:r>
            <w:rPr>
              <w:rFonts w:ascii="Cambria Math" w:eastAsia="MTSYN" w:hAnsi="Cambria Math" w:cs="MTSYN"/>
              <w:color w:val="231F20"/>
              <w:sz w:val="24"/>
              <w:szCs w:val="24"/>
              <w:lang w:val="en-AU" w:eastAsia="en-AU"/>
            </w:rPr>
            <m:t>=</m:t>
          </m:r>
          <m:r>
            <w:rPr>
              <w:rFonts w:ascii="Cambria Math" w:eastAsia="Times New Roman" w:hAnsi="Cambria Math" w:cs="TimesTen-Roman"/>
              <w:color w:val="231F20"/>
              <w:sz w:val="24"/>
              <w:szCs w:val="24"/>
              <w:lang w:val="en-AU" w:eastAsia="en-AU"/>
            </w:rPr>
            <m:t>1</m:t>
          </m:r>
          <m:r>
            <w:rPr>
              <w:rFonts w:ascii="Cambria Math" w:eastAsia="Times New Roman" w:hAnsi="Cambria Math" w:cs="MTMI"/>
              <w:color w:val="231F20"/>
              <w:sz w:val="24"/>
              <w:szCs w:val="24"/>
              <w:lang w:val="en-AU" w:eastAsia="en-AU"/>
            </w:rPr>
            <m:t>)</m:t>
          </m:r>
          <m:r>
            <w:rPr>
              <w:rFonts w:ascii="Cambria Math" w:eastAsia="MTSYN" w:hAnsi="Cambria Math" w:cs="MTSYN"/>
              <w:color w:val="231F20"/>
              <w:sz w:val="24"/>
              <w:szCs w:val="24"/>
              <w:lang w:val="en-AU" w:eastAsia="en-AU"/>
            </w:rPr>
            <m:t>=</m:t>
          </m:r>
          <m:r>
            <m:rPr>
              <m:sty m:val="bi"/>
            </m:rPr>
            <w:rPr>
              <w:rFonts w:ascii="Cambria Math" w:eastAsia="Times New Roman" w:hAnsi="Cambria Math" w:cs="TimesTen-Bold"/>
              <w:color w:val="231F20"/>
              <w:sz w:val="24"/>
              <w:szCs w:val="24"/>
              <w:lang w:val="en-AU" w:eastAsia="en-AU"/>
            </w:rPr>
            <m:t>X</m:t>
          </m:r>
          <m:r>
            <m:rPr>
              <m:sty m:val="bi"/>
            </m:rPr>
            <w:rPr>
              <w:rFonts w:ascii="Cambria Math" w:eastAsia="Times New Roman" w:hAnsi="Cambria Math" w:cs="TimesTen-Bold"/>
              <w:color w:val="231F20"/>
              <w:sz w:val="24"/>
              <w:szCs w:val="24"/>
              <w:vertAlign w:val="subscript"/>
              <w:lang w:val="en-AU" w:eastAsia="en-AU"/>
            </w:rPr>
            <m:t>1</m:t>
          </m:r>
          <m:r>
            <m:rPr>
              <m:sty m:val="bi"/>
            </m:rPr>
            <w:rPr>
              <w:rFonts w:ascii="Cambria Math" w:eastAsia="Times New Roman" w:hAnsi="Cambria Math" w:cs="TimesTen-Bold"/>
              <w:color w:val="231F20"/>
              <w:sz w:val="24"/>
              <w:szCs w:val="24"/>
              <w:vertAlign w:val="subscript"/>
              <w:lang w:val="en-AU" w:eastAsia="en-AU"/>
            </w:rPr>
            <m:t>i</m:t>
          </m:r>
          <m:r>
            <m:rPr>
              <m:sty m:val="bi"/>
            </m:rPr>
            <w:rPr>
              <w:rFonts w:ascii="Cambria Math" w:eastAsia="Times New Roman" w:hAnsi="Cambria Math" w:cs="MTGUB"/>
              <w:color w:val="231F20"/>
              <w:sz w:val="24"/>
              <w:szCs w:val="24"/>
              <w:lang w:val="en-AU" w:eastAsia="en-AU"/>
            </w:rPr>
            <m:t>β</m:t>
          </m:r>
          <m:r>
            <m:rPr>
              <m:sty m:val="bi"/>
            </m:rPr>
            <w:rPr>
              <w:rFonts w:ascii="Cambria Math" w:eastAsia="Times New Roman" w:hAnsi="Cambria Math" w:cs="TimesTen-Bold"/>
              <w:color w:val="231F20"/>
              <w:sz w:val="24"/>
              <w:szCs w:val="24"/>
              <w:vertAlign w:val="subscript"/>
              <w:lang w:val="en-AU" w:eastAsia="en-AU"/>
            </w:rPr>
            <m:t>2</m:t>
          </m:r>
          <m:r>
            <m:rPr>
              <m:sty m:val="bi"/>
            </m:rPr>
            <w:rPr>
              <w:rFonts w:ascii="Cambria Math" w:eastAsia="Times New Roman" w:hAnsi="Cambria Math" w:cs="TimesTen-Bold"/>
              <w:color w:val="231F20"/>
              <w:sz w:val="24"/>
              <w:szCs w:val="24"/>
              <w:lang w:val="en-AU" w:eastAsia="en-AU"/>
            </w:rPr>
            <m:t xml:space="preserve"> </m:t>
          </m:r>
          <m:r>
            <w:rPr>
              <w:rFonts w:ascii="Cambria Math" w:eastAsia="MTSYN" w:hAnsi="Cambria Math" w:cs="MTSYN"/>
              <w:color w:val="231F20"/>
              <w:sz w:val="24"/>
              <w:szCs w:val="24"/>
              <w:lang w:val="en-AU" w:eastAsia="en-AU"/>
            </w:rPr>
            <m:t xml:space="preserve">+ </m:t>
          </m:r>
          <m:r>
            <w:rPr>
              <w:rFonts w:ascii="Cambria Math" w:eastAsia="Times New Roman" w:hAnsi="Cambria Math" w:cs="MTMI"/>
              <w:color w:val="231F20"/>
              <w:sz w:val="24"/>
              <w:szCs w:val="24"/>
              <w:lang w:val="en-AU" w:eastAsia="en-AU"/>
            </w:rPr>
            <m:t>σ</m:t>
          </m:r>
          <m:r>
            <w:rPr>
              <w:rFonts w:ascii="Cambria Math" w:eastAsia="Times New Roman" w:hAnsi="Cambria Math" w:cs="TimesTen-Roman"/>
              <w:color w:val="231F20"/>
              <w:sz w:val="24"/>
              <w:szCs w:val="24"/>
              <w:vertAlign w:val="subscript"/>
              <w:lang w:val="en-AU" w:eastAsia="en-AU"/>
            </w:rPr>
            <m:t>2</m:t>
          </m:r>
          <m:r>
            <w:rPr>
              <w:rFonts w:ascii="Cambria Math" w:eastAsia="Times New Roman" w:hAnsi="Cambria Math" w:cs="MTMI"/>
              <w:color w:val="231F20"/>
              <w:sz w:val="24"/>
              <w:szCs w:val="24"/>
              <w:vertAlign w:val="subscript"/>
              <w:lang w:val="en-AU" w:eastAsia="en-AU"/>
            </w:rPr>
            <m:t>η</m:t>
          </m:r>
          <m:r>
            <w:rPr>
              <w:rFonts w:ascii="Cambria Math" w:eastAsia="Times New Roman" w:hAnsi="Cambria Math" w:cs="MTMI"/>
              <w:color w:val="231F20"/>
              <w:sz w:val="24"/>
              <w:szCs w:val="24"/>
              <w:lang w:val="en-AU" w:eastAsia="en-AU"/>
            </w:rPr>
            <m:t>λ</m:t>
          </m:r>
          <m:r>
            <w:rPr>
              <w:rFonts w:ascii="Cambria Math" w:eastAsia="Times New Roman" w:hAnsi="Cambria Math" w:cs="TimesTen-Roman"/>
              <w:color w:val="231F20"/>
              <w:sz w:val="24"/>
              <w:szCs w:val="24"/>
              <w:vertAlign w:val="subscript"/>
              <w:lang w:val="en-AU" w:eastAsia="en-AU"/>
            </w:rPr>
            <m:t>1</m:t>
          </m:r>
          <m:r>
            <w:rPr>
              <w:rFonts w:ascii="Cambria Math" w:eastAsia="Times New Roman" w:hAnsi="Cambria Math" w:cs="TimesTen-Italic"/>
              <w:color w:val="231F20"/>
              <w:sz w:val="24"/>
              <w:szCs w:val="24"/>
              <w:vertAlign w:val="subscript"/>
              <w:lang w:val="en-AU" w:eastAsia="en-AU"/>
            </w:rPr>
            <m:t>i</m:t>
          </m:r>
        </m:oMath>
      </m:oMathPara>
    </w:p>
    <w:p>
      <w:pPr>
        <w:autoSpaceDE w:val="0"/>
        <w:autoSpaceDN w:val="0"/>
        <w:adjustRightInd w:val="0"/>
        <w:spacing w:after="0" w:line="480" w:lineRule="auto"/>
        <w:rPr>
          <w:rFonts w:ascii="Cambria Math" w:eastAsia="Calibri" w:hAnsi="Cambria Math" w:cs="TimesTen-Roman"/>
          <w:color w:val="231F20"/>
          <w:sz w:val="24"/>
          <w:szCs w:val="24"/>
          <w:lang w:val="en-AU" w:eastAsia="en-AU"/>
          <w:oMath/>
        </w:rPr>
      </w:pPr>
      <m:oMathPara>
        <m:oMathParaPr>
          <m:jc m:val="left"/>
        </m:oMathParaPr>
        <m:oMath>
          <m:r>
            <w:rPr>
              <w:rFonts w:ascii="Cambria Math" w:eastAsia="Times New Roman" w:hAnsi="Cambria Math" w:cs="TimesTen-Roman"/>
              <w:color w:val="231F20"/>
              <w:sz w:val="24"/>
              <w:szCs w:val="24"/>
              <w:lang w:val="en-AU" w:eastAsia="en-AU"/>
            </w:rPr>
            <m:t>(</m:t>
          </m:r>
          <m:r>
            <w:rPr>
              <w:rFonts w:ascii="Cambria Math" w:eastAsia="Times New Roman" w:hAnsi="Cambria Math" w:cs="TimesTen-Italic"/>
              <w:color w:val="231F20"/>
              <w:sz w:val="24"/>
              <w:szCs w:val="24"/>
              <w:lang w:val="en-AU" w:eastAsia="en-AU"/>
            </w:rPr>
            <m:t>d</m:t>
          </m:r>
          <m:r>
            <w:rPr>
              <w:rFonts w:ascii="Cambria Math" w:eastAsia="Times New Roman" w:hAnsi="Cambria Math" w:cs="TimesTen-Roman"/>
              <w:color w:val="231F20"/>
              <w:sz w:val="24"/>
              <w:szCs w:val="24"/>
              <w:lang w:val="en-AU" w:eastAsia="en-AU"/>
            </w:rPr>
            <m:t xml:space="preserve">) </m:t>
          </m:r>
          <m:r>
            <w:rPr>
              <w:rFonts w:ascii="Cambria Math" w:eastAsia="Times New Roman" w:hAnsi="Cambria Math" w:cs="TimesTen-Italic"/>
              <w:color w:val="231F20"/>
              <w:sz w:val="24"/>
              <w:szCs w:val="24"/>
              <w:lang w:val="en-AU" w:eastAsia="en-AU"/>
            </w:rPr>
            <m:t>E</m:t>
          </m:r>
          <m:r>
            <w:rPr>
              <w:rFonts w:ascii="Cambria Math" w:eastAsia="Times New Roman" w:hAnsi="Cambria Math" w:cs="MTMI"/>
              <w:color w:val="231F20"/>
              <w:sz w:val="24"/>
              <w:szCs w:val="24"/>
              <w:lang w:val="en-AU" w:eastAsia="en-AU"/>
            </w:rPr>
            <m:t>(</m:t>
          </m:r>
          <m:r>
            <w:rPr>
              <w:rFonts w:ascii="Cambria Math" w:eastAsia="Times New Roman" w:hAnsi="Cambria Math" w:cs="TimesTen-Italic"/>
              <w:color w:val="231F20"/>
              <w:sz w:val="24"/>
              <w:szCs w:val="24"/>
              <w:lang w:val="en-AU" w:eastAsia="en-AU"/>
            </w:rPr>
            <m:t>y</m:t>
          </m:r>
          <m:r>
            <w:rPr>
              <w:rFonts w:ascii="Cambria Math" w:eastAsia="Times New Roman" w:hAnsi="Cambria Math" w:cs="TimesTen-Roman"/>
              <w:color w:val="231F20"/>
              <w:sz w:val="24"/>
              <w:szCs w:val="24"/>
              <w:vertAlign w:val="subscript"/>
              <w:lang w:val="en-AU" w:eastAsia="en-AU"/>
            </w:rPr>
            <m:t>1</m:t>
          </m:r>
          <m:r>
            <w:rPr>
              <w:rFonts w:ascii="Cambria Math" w:eastAsia="Times New Roman" w:hAnsi="Cambria Math" w:cs="TimesTen-Italic"/>
              <w:color w:val="231F20"/>
              <w:sz w:val="24"/>
              <w:szCs w:val="24"/>
              <w:vertAlign w:val="subscript"/>
              <w:lang w:val="en-AU" w:eastAsia="en-AU"/>
            </w:rPr>
            <m:t>i</m:t>
          </m:r>
          <m:r>
            <w:rPr>
              <w:rFonts w:ascii="Cambria Math" w:eastAsia="MTSYN" w:hAnsi="Cambria Math" w:cs="MTSYN"/>
              <w:color w:val="231F20"/>
              <w:sz w:val="24"/>
              <w:szCs w:val="24"/>
              <w:lang w:val="en-AU" w:eastAsia="en-AU"/>
            </w:rPr>
            <m:t>|</m:t>
          </m:r>
          <m:r>
            <w:rPr>
              <w:rFonts w:ascii="Cambria Math" w:eastAsia="Times New Roman" w:hAnsi="Cambria Math" w:cs="TimesTen-Italic"/>
              <w:color w:val="231F20"/>
              <w:sz w:val="24"/>
              <w:szCs w:val="24"/>
              <w:lang w:val="en-AU" w:eastAsia="en-AU"/>
            </w:rPr>
            <m:t>A</m:t>
          </m:r>
          <m:r>
            <w:rPr>
              <w:rFonts w:ascii="Cambria Math" w:eastAsia="Times New Roman" w:hAnsi="Cambria Math" w:cs="TimesTen-Italic"/>
              <w:color w:val="231F20"/>
              <w:sz w:val="24"/>
              <w:szCs w:val="24"/>
              <w:vertAlign w:val="subscript"/>
              <w:lang w:val="en-AU" w:eastAsia="en-AU"/>
            </w:rPr>
            <m:t>i</m:t>
          </m:r>
          <m:r>
            <w:rPr>
              <w:rFonts w:ascii="Cambria Math" w:eastAsia="Times New Roman" w:hAnsi="Cambria Math" w:cs="TimesTen-Italic"/>
              <w:color w:val="231F20"/>
              <w:sz w:val="24"/>
              <w:szCs w:val="24"/>
              <w:lang w:val="en-AU" w:eastAsia="en-AU"/>
            </w:rPr>
            <m:t xml:space="preserve"> </m:t>
          </m:r>
          <m:r>
            <w:rPr>
              <w:rFonts w:ascii="Cambria Math" w:eastAsia="MTSYN" w:hAnsi="Cambria Math" w:cs="MTSYN"/>
              <w:color w:val="231F20"/>
              <w:sz w:val="24"/>
              <w:szCs w:val="24"/>
              <w:lang w:val="en-AU" w:eastAsia="en-AU"/>
            </w:rPr>
            <m:t>=</m:t>
          </m:r>
          <m:r>
            <w:rPr>
              <w:rFonts w:ascii="Cambria Math" w:eastAsia="Times New Roman" w:hAnsi="Cambria Math" w:cs="TimesTen-Roman"/>
              <w:color w:val="231F20"/>
              <w:sz w:val="24"/>
              <w:szCs w:val="24"/>
              <w:lang w:val="en-AU" w:eastAsia="en-AU"/>
            </w:rPr>
            <m:t>0</m:t>
          </m:r>
          <m:r>
            <w:rPr>
              <w:rFonts w:ascii="Cambria Math" w:eastAsia="Times New Roman" w:hAnsi="Cambria Math" w:cs="MTMI"/>
              <w:color w:val="231F20"/>
              <w:sz w:val="24"/>
              <w:szCs w:val="24"/>
              <w:lang w:val="en-AU" w:eastAsia="en-AU"/>
            </w:rPr>
            <m:t>)</m:t>
          </m:r>
          <m:r>
            <w:rPr>
              <w:rFonts w:ascii="Cambria Math" w:eastAsia="MTSYN" w:hAnsi="Cambria Math" w:cs="MTSYN"/>
              <w:color w:val="231F20"/>
              <w:sz w:val="24"/>
              <w:szCs w:val="24"/>
              <w:lang w:val="en-AU" w:eastAsia="en-AU"/>
            </w:rPr>
            <m:t>=</m:t>
          </m:r>
          <m:r>
            <m:rPr>
              <m:sty m:val="bi"/>
            </m:rPr>
            <w:rPr>
              <w:rFonts w:ascii="Cambria Math" w:eastAsia="Times New Roman" w:hAnsi="Cambria Math" w:cs="TimesTen-Bold"/>
              <w:color w:val="231F20"/>
              <w:sz w:val="24"/>
              <w:szCs w:val="24"/>
              <w:lang w:val="en-AU" w:eastAsia="en-AU"/>
            </w:rPr>
            <m:t>X</m:t>
          </m:r>
          <m:r>
            <m:rPr>
              <m:sty m:val="bi"/>
            </m:rPr>
            <w:rPr>
              <w:rFonts w:ascii="Cambria Math" w:eastAsia="Times New Roman" w:hAnsi="Cambria Math" w:cs="TimesTen-Bold"/>
              <w:color w:val="231F20"/>
              <w:sz w:val="24"/>
              <w:szCs w:val="24"/>
              <w:vertAlign w:val="subscript"/>
              <w:lang w:val="en-AU" w:eastAsia="en-AU"/>
            </w:rPr>
            <m:t>2</m:t>
          </m:r>
          <m:r>
            <m:rPr>
              <m:sty m:val="bi"/>
            </m:rPr>
            <w:rPr>
              <w:rFonts w:ascii="Cambria Math" w:eastAsia="Times New Roman" w:hAnsi="Cambria Math" w:cs="TimesTen-Bold"/>
              <w:color w:val="231F20"/>
              <w:sz w:val="24"/>
              <w:szCs w:val="24"/>
              <w:vertAlign w:val="subscript"/>
              <w:lang w:val="en-AU" w:eastAsia="en-AU"/>
            </w:rPr>
            <m:t>i</m:t>
          </m:r>
          <m:r>
            <m:rPr>
              <m:sty m:val="bi"/>
            </m:rPr>
            <w:rPr>
              <w:rFonts w:ascii="Cambria Math" w:eastAsia="Times New Roman" w:hAnsi="Cambria Math" w:cs="MTGUB"/>
              <w:color w:val="231F20"/>
              <w:sz w:val="24"/>
              <w:szCs w:val="24"/>
              <w:lang w:val="en-AU" w:eastAsia="en-AU"/>
            </w:rPr>
            <m:t>β</m:t>
          </m:r>
          <m:r>
            <m:rPr>
              <m:sty m:val="bi"/>
            </m:rPr>
            <w:rPr>
              <w:rFonts w:ascii="Cambria Math" w:eastAsia="Times New Roman" w:hAnsi="Cambria Math" w:cs="TimesTen-Bold"/>
              <w:color w:val="231F20"/>
              <w:sz w:val="24"/>
              <w:szCs w:val="24"/>
              <w:vertAlign w:val="subscript"/>
              <w:lang w:val="en-AU" w:eastAsia="en-AU"/>
            </w:rPr>
            <m:t>1</m:t>
          </m:r>
          <m:r>
            <m:rPr>
              <m:sty m:val="bi"/>
            </m:rPr>
            <w:rPr>
              <w:rFonts w:ascii="Cambria Math" w:eastAsia="Times New Roman" w:hAnsi="Cambria Math" w:cs="TimesTen-Bold"/>
              <w:color w:val="231F20"/>
              <w:sz w:val="24"/>
              <w:szCs w:val="24"/>
              <w:lang w:val="en-AU" w:eastAsia="en-AU"/>
            </w:rPr>
            <m:t xml:space="preserve"> </m:t>
          </m:r>
          <m:r>
            <w:rPr>
              <w:rFonts w:ascii="Cambria Math" w:eastAsia="MTSYN" w:hAnsi="Cambria Math" w:cs="MTSYN"/>
              <w:color w:val="231F20"/>
              <w:sz w:val="24"/>
              <w:szCs w:val="24"/>
              <w:lang w:val="en-AU" w:eastAsia="en-AU"/>
            </w:rPr>
            <m:t xml:space="preserve">+ </m:t>
          </m:r>
          <m:r>
            <w:rPr>
              <w:rFonts w:ascii="Cambria Math" w:eastAsia="Times New Roman" w:hAnsi="Cambria Math" w:cs="MTMI"/>
              <w:color w:val="231F20"/>
              <w:sz w:val="24"/>
              <w:szCs w:val="24"/>
              <w:lang w:val="en-AU" w:eastAsia="en-AU"/>
            </w:rPr>
            <m:t>σ</m:t>
          </m:r>
          <m:r>
            <w:rPr>
              <w:rFonts w:ascii="Cambria Math" w:eastAsia="Times New Roman" w:hAnsi="Cambria Math" w:cs="TimesTen-Roman"/>
              <w:color w:val="231F20"/>
              <w:sz w:val="24"/>
              <w:szCs w:val="24"/>
              <w:vertAlign w:val="subscript"/>
              <w:lang w:val="en-AU" w:eastAsia="en-AU"/>
            </w:rPr>
            <m:t>1</m:t>
          </m:r>
          <m:r>
            <w:rPr>
              <w:rFonts w:ascii="Cambria Math" w:eastAsia="Times New Roman" w:hAnsi="Cambria Math" w:cs="MTMI"/>
              <w:color w:val="231F20"/>
              <w:sz w:val="24"/>
              <w:szCs w:val="24"/>
              <w:vertAlign w:val="subscript"/>
              <w:lang w:val="en-AU" w:eastAsia="en-AU"/>
            </w:rPr>
            <m:t>η</m:t>
          </m:r>
          <m:r>
            <w:rPr>
              <w:rFonts w:ascii="Cambria Math" w:eastAsia="Times New Roman" w:hAnsi="Cambria Math" w:cs="MTMI"/>
              <w:color w:val="231F20"/>
              <w:sz w:val="24"/>
              <w:szCs w:val="24"/>
              <w:lang w:val="en-AU" w:eastAsia="en-AU"/>
            </w:rPr>
            <m:t>λ</m:t>
          </m:r>
          <m:r>
            <w:rPr>
              <w:rFonts w:ascii="Cambria Math" w:eastAsia="Times New Roman" w:hAnsi="Cambria Math" w:cs="TimesTen-Roman"/>
              <w:color w:val="231F20"/>
              <w:sz w:val="24"/>
              <w:szCs w:val="24"/>
              <w:vertAlign w:val="subscript"/>
              <w:lang w:val="en-AU" w:eastAsia="en-AU"/>
            </w:rPr>
            <m:t>2</m:t>
          </m:r>
          <m:r>
            <w:rPr>
              <w:rFonts w:ascii="Cambria Math" w:eastAsia="Times New Roman" w:hAnsi="Cambria Math" w:cs="TimesTen-Italic"/>
              <w:color w:val="231F20"/>
              <w:sz w:val="24"/>
              <w:szCs w:val="24"/>
              <w:vertAlign w:val="subscript"/>
              <w:lang w:val="en-AU" w:eastAsia="en-AU"/>
            </w:rPr>
            <m:t>i</m:t>
          </m:r>
          <m:r>
            <w:rPr>
              <w:rFonts w:ascii="Cambria Math" w:eastAsia="Times New Roman" w:hAnsi="Cambria Math" w:cs="TimesTen-Roman"/>
              <w:color w:val="231F20"/>
              <w:sz w:val="24"/>
              <w:szCs w:val="24"/>
              <w:lang w:val="en-AU" w:eastAsia="en-AU"/>
            </w:rPr>
            <m:t>.</m:t>
          </m:r>
        </m:oMath>
      </m:oMathPara>
    </w:p>
    <w:p>
      <w:pPr>
        <w:autoSpaceDE w:val="0"/>
        <w:autoSpaceDN w:val="0"/>
        <w:adjustRightInd w:val="0"/>
        <w:spacing w:after="0" w:line="480" w:lineRule="auto"/>
        <w:rPr>
          <w:rFonts w:ascii="Cambria Math" w:eastAsia="Calibri" w:hAnsi="Cambria Math" w:cs="TimesTen-Roman"/>
          <w:color w:val="231F20"/>
          <w:sz w:val="24"/>
          <w:szCs w:val="24"/>
          <w:lang w:val="en-AU" w:eastAsia="en-AU"/>
          <w:oMath/>
        </w:rPr>
      </w:pPr>
    </w:p>
    <w:p>
      <w:pPr>
        <w:autoSpaceDE w:val="0"/>
        <w:autoSpaceDN w:val="0"/>
        <w:adjustRightInd w:val="0"/>
        <w:spacing w:after="240" w:line="480" w:lineRule="auto"/>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t>Cases (a) and (b) along the diagonal of Table 1 represent the expectations for the typical farmers in each of the adopter and non-adopter categories respectively based on actual observations in the sample. Cases (c) and (d) represent the counterfactual expected net incomes. Suppose that:</w:t>
      </w:r>
    </w:p>
    <w:p>
      <w:pPr>
        <w:autoSpaceDE w:val="0"/>
        <w:autoSpaceDN w:val="0"/>
        <w:adjustRightInd w:val="0"/>
        <w:spacing w:after="240" w:line="480" w:lineRule="auto"/>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t>TT = treatment effect which measures the effect of the treatment (i.e., adoption) on the treated (i.e., farm households that actually adopted) which, when averaged across all adopter households gives the average treatment effect on the treated (ATT).</w:t>
      </w:r>
    </w:p>
    <w:p>
      <w:pPr>
        <w:autoSpaceDE w:val="0"/>
        <w:autoSpaceDN w:val="0"/>
        <w:adjustRightInd w:val="0"/>
        <w:spacing w:after="240" w:line="480" w:lineRule="auto"/>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t>TU = treatment effect on the untreated which measures the effect of the treatment (i.e., adoption) on the untreated (i.e., farm households that actually did not adopt), which when averaged across all non-adopter households gives the average treatment effect on the untreated (ATU).</w:t>
      </w:r>
    </w:p>
    <w:p>
      <w:pPr>
        <w:autoSpaceDE w:val="0"/>
        <w:autoSpaceDN w:val="0"/>
        <w:adjustRightInd w:val="0"/>
        <w:spacing w:after="240" w:line="480" w:lineRule="auto"/>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t>BHi = the average effect of base heterogeneity for farm households that adopted (i =1), and that did not adopt (i =2)</w:t>
      </w:r>
    </w:p>
    <w:p>
      <w:pPr>
        <w:autoSpaceDE w:val="0"/>
        <w:autoSpaceDN w:val="0"/>
        <w:adjustRightInd w:val="0"/>
        <w:spacing w:before="30" w:after="30" w:line="480" w:lineRule="auto"/>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lastRenderedPageBreak/>
        <w:t>TH= Transitional heterogeneity = BH1-BH2</w:t>
      </w:r>
    </w:p>
    <w:p>
      <w:pPr>
        <w:autoSpaceDE w:val="0"/>
        <w:autoSpaceDN w:val="0"/>
        <w:adjustRightInd w:val="0"/>
        <w:spacing w:before="30" w:after="30" w:line="480" w:lineRule="auto"/>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t>Then, we can estimate each of these effects as follows:</w:t>
      </w:r>
    </w:p>
    <w:p>
      <w:pPr>
        <w:autoSpaceDE w:val="0"/>
        <w:autoSpaceDN w:val="0"/>
        <w:adjustRightInd w:val="0"/>
        <w:spacing w:after="0" w:line="480" w:lineRule="auto"/>
        <w:jc w:val="center"/>
        <w:rPr>
          <w:rFonts w:ascii="MTMI" w:eastAsia="Calibri" w:hAnsi="MTMI" w:cs="MTMI"/>
          <w:i/>
          <w:iCs/>
          <w:color w:val="231F20"/>
          <w:sz w:val="24"/>
          <w:szCs w:val="24"/>
          <w:lang w:val="fr-FR" w:eastAsia="en-AU"/>
        </w:rPr>
      </w:pPr>
      <w:r>
        <w:rPr>
          <w:rFonts w:ascii="TimesTen-Italic" w:eastAsia="Calibri" w:hAnsi="TimesTen-Italic" w:cs="TimesTen-Italic"/>
          <w:i/>
          <w:iCs/>
          <w:color w:val="231F20"/>
          <w:sz w:val="24"/>
          <w:szCs w:val="24"/>
          <w:lang w:val="fr-FR" w:eastAsia="en-AU"/>
        </w:rPr>
        <w:t xml:space="preserve">ATT </w:t>
      </w:r>
      <w:r>
        <w:rPr>
          <w:rFonts w:ascii="MTSYN" w:eastAsia="MTSYN" w:hAnsi="TimesTen-Italic" w:cs="MTSYN" w:hint="eastAsia"/>
          <w:color w:val="231F20"/>
          <w:sz w:val="24"/>
          <w:szCs w:val="24"/>
          <w:lang w:val="fr-FR" w:eastAsia="en-AU"/>
        </w:rPr>
        <w:t>=</w:t>
      </w:r>
      <w:r>
        <w:rPr>
          <w:rFonts w:ascii="TimesTen-Italic" w:eastAsia="Calibri" w:hAnsi="TimesTen-Italic" w:cs="TimesTen-Italic"/>
          <w:i/>
          <w:iCs/>
          <w:color w:val="231F20"/>
          <w:sz w:val="24"/>
          <w:szCs w:val="24"/>
          <w:lang w:val="fr-FR" w:eastAsia="en-AU"/>
        </w:rPr>
        <w:t xml:space="preserve">E </w:t>
      </w:r>
      <w:r>
        <w:rPr>
          <w:rFonts w:ascii="MTMI" w:eastAsia="Calibri" w:hAnsi="MTMI" w:cs="MTMI"/>
          <w:i/>
          <w:iCs/>
          <w:color w:val="231F20"/>
          <w:sz w:val="24"/>
          <w:szCs w:val="24"/>
          <w:lang w:val="fr-FR" w:eastAsia="en-AU"/>
        </w:rPr>
        <w:t>(</w:t>
      </w:r>
      <w:r>
        <w:rPr>
          <w:rFonts w:ascii="TimesTen-Italic" w:eastAsia="Calibri" w:hAnsi="TimesTen-Italic" w:cs="TimesTen-Italic"/>
          <w:i/>
          <w:iCs/>
          <w:color w:val="231F20"/>
          <w:sz w:val="24"/>
          <w:szCs w:val="24"/>
          <w:lang w:val="fr-FR" w:eastAsia="en-AU"/>
        </w:rPr>
        <w:t>y</w:t>
      </w:r>
      <w:r>
        <w:rPr>
          <w:rFonts w:ascii="TimesTen-Roman" w:eastAsia="Calibri" w:hAnsi="TimesTen-Roman" w:cs="TimesTen-Roman"/>
          <w:color w:val="231F20"/>
          <w:sz w:val="24"/>
          <w:szCs w:val="24"/>
          <w:vertAlign w:val="subscript"/>
          <w:lang w:val="fr-FR" w:eastAsia="en-AU"/>
        </w:rPr>
        <w:t>1</w:t>
      </w:r>
      <w:r>
        <w:rPr>
          <w:rFonts w:ascii="TimesTen-Italic" w:eastAsia="Calibri" w:hAnsi="TimesTen-Italic" w:cs="TimesTen-Italic"/>
          <w:i/>
          <w:iCs/>
          <w:color w:val="231F20"/>
          <w:sz w:val="24"/>
          <w:szCs w:val="24"/>
          <w:vertAlign w:val="subscript"/>
          <w:lang w:val="fr-FR" w:eastAsia="en-AU"/>
        </w:rPr>
        <w:t>i</w:t>
      </w:r>
      <w:r>
        <w:rPr>
          <w:rFonts w:ascii="TimesTen-Roman" w:eastAsia="Calibri" w:hAnsi="TimesTen-Roman" w:cs="TimesTen-Roman"/>
          <w:color w:val="231F20"/>
          <w:sz w:val="24"/>
          <w:szCs w:val="24"/>
          <w:lang w:val="fr-FR" w:eastAsia="en-AU"/>
        </w:rPr>
        <w:t xml:space="preserve"> </w:t>
      </w:r>
      <w:r>
        <w:rPr>
          <w:rFonts w:ascii="MTSYN" w:eastAsia="MTSYN" w:hAnsi="TimesTen-Italic" w:cs="MTSYN" w:hint="eastAsia"/>
          <w:color w:val="231F20"/>
          <w:sz w:val="24"/>
          <w:szCs w:val="24"/>
          <w:lang w:val="fr-FR" w:eastAsia="en-AU"/>
        </w:rPr>
        <w:t>|</w:t>
      </w:r>
      <w:r>
        <w:rPr>
          <w:rFonts w:ascii="TimesTen-Italic" w:eastAsia="Calibri" w:hAnsi="TimesTen-Italic" w:cs="TimesTen-Italic"/>
          <w:i/>
          <w:iCs/>
          <w:color w:val="231F20"/>
          <w:sz w:val="24"/>
          <w:szCs w:val="24"/>
          <w:lang w:val="fr-FR" w:eastAsia="en-AU"/>
        </w:rPr>
        <w:t>A</w:t>
      </w:r>
      <w:r>
        <w:rPr>
          <w:rFonts w:ascii="TimesTen-Italic" w:eastAsia="Calibri" w:hAnsi="TimesTen-Italic" w:cs="TimesTen-Italic"/>
          <w:i/>
          <w:iCs/>
          <w:color w:val="231F20"/>
          <w:sz w:val="24"/>
          <w:szCs w:val="24"/>
          <w:vertAlign w:val="subscript"/>
          <w:lang w:val="fr-FR" w:eastAsia="en-AU"/>
        </w:rPr>
        <w:t xml:space="preserve">i </w:t>
      </w:r>
      <w:r>
        <w:rPr>
          <w:rFonts w:ascii="MTSYN" w:eastAsia="MTSYN" w:hAnsi="TimesTen-Italic" w:cs="MTSYN" w:hint="eastAsia"/>
          <w:color w:val="231F20"/>
          <w:sz w:val="24"/>
          <w:szCs w:val="24"/>
          <w:lang w:val="fr-FR" w:eastAsia="en-AU"/>
        </w:rPr>
        <w:t>=</w:t>
      </w:r>
      <w:r>
        <w:rPr>
          <w:rFonts w:ascii="TimesTen-Roman" w:eastAsia="Calibri" w:hAnsi="TimesTen-Roman" w:cs="TimesTen-Roman"/>
          <w:color w:val="231F20"/>
          <w:sz w:val="24"/>
          <w:szCs w:val="24"/>
          <w:lang w:val="fr-FR" w:eastAsia="en-AU"/>
        </w:rPr>
        <w:t>1</w:t>
      </w:r>
      <w:r>
        <w:rPr>
          <w:rFonts w:ascii="MTMI" w:eastAsia="Calibri" w:hAnsi="MTMI" w:cs="MTMI"/>
          <w:i/>
          <w:iCs/>
          <w:color w:val="231F20"/>
          <w:sz w:val="24"/>
          <w:szCs w:val="24"/>
          <w:lang w:val="fr-FR" w:eastAsia="en-AU"/>
        </w:rPr>
        <w:t xml:space="preserve">) </w:t>
      </w:r>
      <w:r>
        <w:rPr>
          <w:rFonts w:ascii="MTSYN" w:eastAsia="MTSYN" w:hAnsi="TimesTen-Italic" w:cs="MTSYN"/>
          <w:color w:val="231F20"/>
          <w:sz w:val="24"/>
          <w:szCs w:val="24"/>
          <w:lang w:val="fr-FR" w:eastAsia="en-AU"/>
        </w:rPr>
        <w:t>–</w:t>
      </w:r>
      <w:r>
        <w:rPr>
          <w:rFonts w:ascii="MTSYN" w:eastAsia="MTSYN" w:hAnsi="TimesTen-Italic" w:cs="MTSYN" w:hint="eastAsia"/>
          <w:color w:val="231F20"/>
          <w:sz w:val="24"/>
          <w:szCs w:val="24"/>
          <w:lang w:val="fr-FR" w:eastAsia="en-AU"/>
        </w:rPr>
        <w:t xml:space="preserve"> </w:t>
      </w:r>
      <w:r>
        <w:rPr>
          <w:rFonts w:ascii="TimesTen-Italic" w:eastAsia="Calibri" w:hAnsi="TimesTen-Italic" w:cs="TimesTen-Italic"/>
          <w:i/>
          <w:iCs/>
          <w:color w:val="231F20"/>
          <w:sz w:val="24"/>
          <w:szCs w:val="24"/>
          <w:lang w:val="fr-FR" w:eastAsia="en-AU"/>
        </w:rPr>
        <w:t xml:space="preserve">E </w:t>
      </w:r>
      <w:r>
        <w:rPr>
          <w:rFonts w:ascii="MTMI" w:eastAsia="Calibri" w:hAnsi="MTMI" w:cs="MTMI"/>
          <w:i/>
          <w:iCs/>
          <w:color w:val="231F20"/>
          <w:sz w:val="24"/>
          <w:szCs w:val="24"/>
          <w:lang w:val="fr-FR" w:eastAsia="en-AU"/>
        </w:rPr>
        <w:t>(</w:t>
      </w:r>
      <w:r>
        <w:rPr>
          <w:rFonts w:ascii="TimesTen-Italic" w:eastAsia="Calibri" w:hAnsi="TimesTen-Italic" w:cs="TimesTen-Italic"/>
          <w:i/>
          <w:iCs/>
          <w:color w:val="231F20"/>
          <w:sz w:val="24"/>
          <w:szCs w:val="24"/>
          <w:lang w:val="fr-FR" w:eastAsia="en-AU"/>
        </w:rPr>
        <w:t>y</w:t>
      </w:r>
      <w:r>
        <w:rPr>
          <w:rFonts w:ascii="TimesTen-Roman" w:eastAsia="Calibri" w:hAnsi="TimesTen-Roman" w:cs="TimesTen-Roman"/>
          <w:color w:val="231F20"/>
          <w:sz w:val="24"/>
          <w:szCs w:val="24"/>
          <w:vertAlign w:val="subscript"/>
          <w:lang w:val="fr-FR" w:eastAsia="en-AU"/>
        </w:rPr>
        <w:t>2</w:t>
      </w:r>
      <w:r>
        <w:rPr>
          <w:rFonts w:ascii="TimesTen-Italic" w:eastAsia="Calibri" w:hAnsi="TimesTen-Italic" w:cs="TimesTen-Italic"/>
          <w:i/>
          <w:iCs/>
          <w:color w:val="231F20"/>
          <w:sz w:val="24"/>
          <w:szCs w:val="24"/>
          <w:vertAlign w:val="subscript"/>
          <w:lang w:val="fr-FR" w:eastAsia="en-AU"/>
        </w:rPr>
        <w:t>i</w:t>
      </w:r>
      <w:r>
        <w:rPr>
          <w:rFonts w:ascii="MTSYN" w:eastAsia="MTSYN" w:hAnsi="TimesTen-Italic" w:cs="MTSYN" w:hint="eastAsia"/>
          <w:color w:val="231F20"/>
          <w:sz w:val="24"/>
          <w:szCs w:val="24"/>
          <w:lang w:val="fr-FR" w:eastAsia="en-AU"/>
        </w:rPr>
        <w:t>|</w:t>
      </w:r>
      <w:r>
        <w:rPr>
          <w:rFonts w:ascii="TimesTen-Italic" w:eastAsia="Calibri" w:hAnsi="TimesTen-Italic" w:cs="TimesTen-Italic"/>
          <w:i/>
          <w:iCs/>
          <w:color w:val="231F20"/>
          <w:sz w:val="24"/>
          <w:szCs w:val="24"/>
          <w:lang w:val="fr-FR" w:eastAsia="en-AU"/>
        </w:rPr>
        <w:t>A</w:t>
      </w:r>
      <w:r>
        <w:rPr>
          <w:rFonts w:ascii="TimesTen-Italic" w:eastAsia="Calibri" w:hAnsi="TimesTen-Italic" w:cs="TimesTen-Italic"/>
          <w:i/>
          <w:iCs/>
          <w:color w:val="231F20"/>
          <w:sz w:val="24"/>
          <w:szCs w:val="24"/>
          <w:vertAlign w:val="subscript"/>
          <w:lang w:val="fr-FR" w:eastAsia="en-AU"/>
        </w:rPr>
        <w:t xml:space="preserve">i </w:t>
      </w:r>
      <w:r>
        <w:rPr>
          <w:rFonts w:ascii="MTSYN" w:eastAsia="MTSYN" w:hAnsi="TimesTen-Italic" w:cs="MTSYN" w:hint="eastAsia"/>
          <w:color w:val="231F20"/>
          <w:sz w:val="24"/>
          <w:szCs w:val="24"/>
          <w:lang w:val="fr-FR" w:eastAsia="en-AU"/>
        </w:rPr>
        <w:t>=</w:t>
      </w:r>
      <w:r>
        <w:rPr>
          <w:rFonts w:ascii="TimesTen-Roman" w:eastAsia="Calibri" w:hAnsi="TimesTen-Roman" w:cs="TimesTen-Roman"/>
          <w:color w:val="231F20"/>
          <w:sz w:val="24"/>
          <w:szCs w:val="24"/>
          <w:lang w:val="fr-FR" w:eastAsia="en-AU"/>
        </w:rPr>
        <w:t>1</w:t>
      </w:r>
      <w:r>
        <w:rPr>
          <w:rFonts w:ascii="MTMI" w:eastAsia="Calibri" w:hAnsi="MTMI" w:cs="MTMI"/>
          <w:i/>
          <w:iCs/>
          <w:color w:val="231F20"/>
          <w:sz w:val="24"/>
          <w:szCs w:val="24"/>
          <w:lang w:val="fr-FR" w:eastAsia="en-AU"/>
        </w:rPr>
        <w:t>)</w:t>
      </w:r>
    </w:p>
    <w:p>
      <w:pPr>
        <w:spacing w:after="200" w:line="480" w:lineRule="auto"/>
        <w:jc w:val="center"/>
        <w:rPr>
          <w:rFonts w:ascii="TimesTen-Roman" w:eastAsia="Calibri" w:hAnsi="TimesTen-Roman" w:cs="TimesTen-Roman"/>
          <w:sz w:val="24"/>
          <w:szCs w:val="24"/>
          <w:lang w:val="fr-FR" w:eastAsia="en-AU"/>
        </w:rPr>
      </w:pPr>
      <w:r>
        <w:rPr>
          <w:rFonts w:ascii="MTSYN" w:eastAsia="MTSYN" w:hAnsi="TimesTen-Italic" w:cs="MTSYN" w:hint="eastAsia"/>
          <w:color w:val="231F20"/>
          <w:sz w:val="24"/>
          <w:szCs w:val="24"/>
          <w:lang w:val="fr-FR" w:eastAsia="en-AU"/>
        </w:rPr>
        <w:t>=</w:t>
      </w:r>
      <w:r>
        <w:rPr>
          <w:rFonts w:ascii="TimesTen-Bold" w:eastAsia="Calibri" w:hAnsi="TimesTen-Bold" w:cs="TimesTen-Bold"/>
          <w:b/>
          <w:bCs/>
          <w:color w:val="231F20"/>
          <w:sz w:val="24"/>
          <w:szCs w:val="24"/>
          <w:lang w:val="fr-FR" w:eastAsia="en-AU"/>
        </w:rPr>
        <w:t>X</w:t>
      </w:r>
      <w:r>
        <w:rPr>
          <w:rFonts w:ascii="TimesTen-Bold" w:eastAsia="Calibri" w:hAnsi="TimesTen-Bold" w:cs="TimesTen-Bold"/>
          <w:b/>
          <w:bCs/>
          <w:color w:val="231F20"/>
          <w:sz w:val="24"/>
          <w:szCs w:val="24"/>
          <w:vertAlign w:val="subscript"/>
          <w:lang w:val="fr-FR" w:eastAsia="en-AU"/>
        </w:rPr>
        <w:t>1i*</w:t>
      </w:r>
      <w:r>
        <w:rPr>
          <w:rFonts w:ascii="MTMI" w:eastAsia="Calibri" w:hAnsi="MTMI" w:cs="MTMI"/>
          <w:i/>
          <w:iCs/>
          <w:color w:val="231F20"/>
          <w:sz w:val="24"/>
          <w:szCs w:val="24"/>
          <w:lang w:val="fr-FR" w:eastAsia="en-AU"/>
        </w:rPr>
        <w:t>(</w:t>
      </w:r>
      <w:r>
        <w:rPr>
          <w:rFonts w:ascii="MTGUB" w:eastAsia="Calibri" w:hAnsi="MTGUB" w:cs="MTGUB"/>
          <w:b/>
          <w:bCs/>
          <w:color w:val="231F20"/>
          <w:sz w:val="24"/>
          <w:szCs w:val="24"/>
          <w:lang w:val="en-AU" w:eastAsia="en-AU"/>
        </w:rPr>
        <w:t>β</w:t>
      </w:r>
      <w:r>
        <w:rPr>
          <w:rFonts w:ascii="TimesTen-Bold" w:eastAsia="Calibri" w:hAnsi="TimesTen-Bold" w:cs="TimesTen-Bold"/>
          <w:b/>
          <w:bCs/>
          <w:color w:val="231F20"/>
          <w:sz w:val="24"/>
          <w:szCs w:val="24"/>
          <w:vertAlign w:val="subscript"/>
          <w:lang w:val="fr-FR" w:eastAsia="en-AU"/>
        </w:rPr>
        <w:t>1</w:t>
      </w:r>
      <w:r>
        <w:rPr>
          <w:rFonts w:ascii="TimesTen-Bold" w:eastAsia="Calibri" w:hAnsi="TimesTen-Bold" w:cs="TimesTen-Bold"/>
          <w:b/>
          <w:bCs/>
          <w:color w:val="231F20"/>
          <w:sz w:val="24"/>
          <w:szCs w:val="24"/>
          <w:lang w:val="fr-FR" w:eastAsia="en-AU"/>
        </w:rPr>
        <w:t xml:space="preserve"> </w:t>
      </w:r>
      <w:r>
        <w:rPr>
          <w:rFonts w:ascii="MTSYN" w:eastAsia="MTSYN" w:hAnsi="TimesTen-Italic" w:cs="MTSYN" w:hint="eastAsia"/>
          <w:color w:val="231F20"/>
          <w:sz w:val="24"/>
          <w:szCs w:val="24"/>
          <w:lang w:val="fr-FR" w:eastAsia="en-AU"/>
        </w:rPr>
        <w:t xml:space="preserve">− </w:t>
      </w:r>
      <w:r>
        <w:rPr>
          <w:rFonts w:ascii="MTGUB" w:eastAsia="Calibri" w:hAnsi="MTGUB" w:cs="MTGUB"/>
          <w:b/>
          <w:bCs/>
          <w:color w:val="231F20"/>
          <w:sz w:val="24"/>
          <w:szCs w:val="24"/>
          <w:lang w:val="en-AU" w:eastAsia="en-AU"/>
        </w:rPr>
        <w:t>β</w:t>
      </w:r>
      <w:r>
        <w:rPr>
          <w:rFonts w:ascii="TimesTen-Bold" w:eastAsia="Calibri" w:hAnsi="TimesTen-Bold" w:cs="TimesTen-Bold"/>
          <w:b/>
          <w:bCs/>
          <w:color w:val="231F20"/>
          <w:sz w:val="24"/>
          <w:szCs w:val="24"/>
          <w:vertAlign w:val="subscript"/>
          <w:lang w:val="fr-FR" w:eastAsia="en-AU"/>
        </w:rPr>
        <w:t>2</w:t>
      </w:r>
      <w:r>
        <w:rPr>
          <w:rFonts w:ascii="MTMI" w:eastAsia="Calibri" w:hAnsi="MTMI" w:cs="MTMI"/>
          <w:i/>
          <w:iCs/>
          <w:color w:val="231F20"/>
          <w:sz w:val="24"/>
          <w:szCs w:val="24"/>
          <w:lang w:val="fr-FR" w:eastAsia="en-AU"/>
        </w:rPr>
        <w:t xml:space="preserve">) </w:t>
      </w:r>
      <w:r>
        <w:rPr>
          <w:rFonts w:ascii="MTSYN" w:eastAsia="MTSYN" w:hAnsi="TimesTen-Italic" w:cs="MTSYN" w:hint="eastAsia"/>
          <w:color w:val="231F20"/>
          <w:sz w:val="24"/>
          <w:szCs w:val="24"/>
          <w:lang w:val="fr-FR" w:eastAsia="en-AU"/>
        </w:rPr>
        <w:t xml:space="preserve">+ </w:t>
      </w:r>
      <w:r>
        <w:rPr>
          <w:rFonts w:ascii="MTMI" w:eastAsia="Calibri" w:hAnsi="MTMI" w:cs="MTMI"/>
          <w:i/>
          <w:iCs/>
          <w:color w:val="231F20"/>
          <w:sz w:val="24"/>
          <w:szCs w:val="24"/>
          <w:lang w:val="fr-FR" w:eastAsia="en-AU"/>
        </w:rPr>
        <w:t>(</w:t>
      </w:r>
      <w:r>
        <w:rPr>
          <w:rFonts w:ascii="MTMI" w:eastAsia="Calibri" w:hAnsi="MTMI" w:cs="MTMI"/>
          <w:i/>
          <w:iCs/>
          <w:color w:val="231F20"/>
          <w:sz w:val="24"/>
          <w:szCs w:val="24"/>
          <w:lang w:val="en-AU" w:eastAsia="en-AU"/>
        </w:rPr>
        <w:t>σ</w:t>
      </w:r>
      <w:r>
        <w:rPr>
          <w:rFonts w:ascii="TimesTen-Roman" w:eastAsia="Calibri" w:hAnsi="TimesTen-Roman" w:cs="TimesTen-Roman"/>
          <w:color w:val="231F20"/>
          <w:sz w:val="24"/>
          <w:szCs w:val="24"/>
          <w:vertAlign w:val="subscript"/>
          <w:lang w:val="fr-FR" w:eastAsia="en-AU"/>
        </w:rPr>
        <w:t>1</w:t>
      </w:r>
      <w:r>
        <w:rPr>
          <w:rFonts w:ascii="MTMI" w:eastAsia="Calibri" w:hAnsi="MTMI" w:cs="MTMI"/>
          <w:i/>
          <w:iCs/>
          <w:color w:val="231F20"/>
          <w:sz w:val="24"/>
          <w:szCs w:val="24"/>
          <w:vertAlign w:val="subscript"/>
          <w:lang w:val="en-AU" w:eastAsia="en-AU"/>
        </w:rPr>
        <w:t>η</w:t>
      </w:r>
      <w:r>
        <w:rPr>
          <w:rFonts w:ascii="MTMI" w:eastAsia="Calibri" w:hAnsi="MTMI" w:cs="MTMI"/>
          <w:i/>
          <w:iCs/>
          <w:color w:val="231F20"/>
          <w:sz w:val="24"/>
          <w:szCs w:val="24"/>
          <w:lang w:val="fr-FR" w:eastAsia="en-AU"/>
        </w:rPr>
        <w:t xml:space="preserve"> </w:t>
      </w:r>
      <w:r>
        <w:rPr>
          <w:rFonts w:ascii="MTSYN" w:eastAsia="MTSYN" w:hAnsi="TimesTen-Italic" w:cs="MTSYN" w:hint="eastAsia"/>
          <w:color w:val="231F20"/>
          <w:sz w:val="24"/>
          <w:szCs w:val="24"/>
          <w:lang w:val="fr-FR" w:eastAsia="en-AU"/>
        </w:rPr>
        <w:t xml:space="preserve">− </w:t>
      </w:r>
      <w:r>
        <w:rPr>
          <w:rFonts w:ascii="MTMI" w:eastAsia="Calibri" w:hAnsi="MTMI" w:cs="MTMI"/>
          <w:i/>
          <w:iCs/>
          <w:color w:val="231F20"/>
          <w:sz w:val="24"/>
          <w:szCs w:val="24"/>
          <w:lang w:val="en-AU" w:eastAsia="en-AU"/>
        </w:rPr>
        <w:t>σ</w:t>
      </w:r>
      <w:r>
        <w:rPr>
          <w:rFonts w:ascii="TimesTen-Roman" w:eastAsia="Calibri" w:hAnsi="TimesTen-Roman" w:cs="TimesTen-Roman"/>
          <w:color w:val="231F20"/>
          <w:sz w:val="24"/>
          <w:szCs w:val="24"/>
          <w:vertAlign w:val="subscript"/>
          <w:lang w:val="fr-FR" w:eastAsia="en-AU"/>
        </w:rPr>
        <w:t>2</w:t>
      </w:r>
      <w:r>
        <w:rPr>
          <w:rFonts w:ascii="MTMI" w:eastAsia="Calibri" w:hAnsi="MTMI" w:cs="MTMI"/>
          <w:i/>
          <w:iCs/>
          <w:color w:val="231F20"/>
          <w:sz w:val="24"/>
          <w:szCs w:val="24"/>
          <w:vertAlign w:val="subscript"/>
          <w:lang w:val="en-AU" w:eastAsia="en-AU"/>
        </w:rPr>
        <w:t>η</w:t>
      </w:r>
      <w:r>
        <w:rPr>
          <w:rFonts w:ascii="MTMI" w:eastAsia="Calibri" w:hAnsi="MTMI" w:cs="MTMI"/>
          <w:i/>
          <w:iCs/>
          <w:color w:val="231F20"/>
          <w:sz w:val="24"/>
          <w:szCs w:val="24"/>
          <w:lang w:val="fr-FR" w:eastAsia="en-AU"/>
        </w:rPr>
        <w:t>)*</w:t>
      </w:r>
      <w:r>
        <w:rPr>
          <w:rFonts w:ascii="MTMI" w:eastAsia="Calibri" w:hAnsi="MTMI" w:cs="MTMI"/>
          <w:i/>
          <w:iCs/>
          <w:color w:val="231F20"/>
          <w:sz w:val="24"/>
          <w:szCs w:val="24"/>
          <w:lang w:val="en-AU" w:eastAsia="en-AU"/>
        </w:rPr>
        <w:t>λ</w:t>
      </w:r>
      <w:r>
        <w:rPr>
          <w:rFonts w:ascii="TimesTen-Roman" w:eastAsia="Calibri" w:hAnsi="TimesTen-Roman" w:cs="TimesTen-Roman"/>
          <w:color w:val="231F20"/>
          <w:sz w:val="24"/>
          <w:szCs w:val="24"/>
          <w:vertAlign w:val="subscript"/>
          <w:lang w:val="fr-FR" w:eastAsia="en-AU"/>
        </w:rPr>
        <w:t>1</w:t>
      </w:r>
      <w:r>
        <w:rPr>
          <w:rFonts w:ascii="TimesTen-Italic" w:eastAsia="Calibri" w:hAnsi="TimesTen-Italic" w:cs="TimesTen-Italic"/>
          <w:i/>
          <w:iCs/>
          <w:color w:val="231F20"/>
          <w:sz w:val="24"/>
          <w:szCs w:val="24"/>
          <w:vertAlign w:val="subscript"/>
          <w:lang w:val="fr-FR" w:eastAsia="en-AU"/>
        </w:rPr>
        <w:t>i</w:t>
      </w:r>
    </w:p>
    <w:p>
      <w:pPr>
        <w:autoSpaceDE w:val="0"/>
        <w:autoSpaceDN w:val="0"/>
        <w:adjustRightInd w:val="0"/>
        <w:spacing w:after="0" w:line="480" w:lineRule="auto"/>
        <w:jc w:val="center"/>
        <w:rPr>
          <w:rFonts w:ascii="MTMI" w:eastAsia="Calibri" w:hAnsi="MTMI" w:cs="MTMI"/>
          <w:i/>
          <w:iCs/>
          <w:color w:val="231F20"/>
          <w:sz w:val="24"/>
          <w:szCs w:val="24"/>
          <w:lang w:val="fr-FR" w:eastAsia="en-AU"/>
        </w:rPr>
      </w:pPr>
      <w:r>
        <w:rPr>
          <w:rFonts w:ascii="TimesTen-Italic" w:eastAsia="Calibri" w:hAnsi="TimesTen-Italic" w:cs="TimesTen-Italic"/>
          <w:i/>
          <w:iCs/>
          <w:color w:val="231F20"/>
          <w:sz w:val="24"/>
          <w:szCs w:val="24"/>
          <w:lang w:val="fr-FR" w:eastAsia="en-AU"/>
        </w:rPr>
        <w:t xml:space="preserve">ATU </w:t>
      </w:r>
      <w:r>
        <w:rPr>
          <w:rFonts w:ascii="MTSYN" w:eastAsia="MTSYN" w:hAnsi="TimesTen-Italic" w:cs="MTSYN" w:hint="eastAsia"/>
          <w:color w:val="231F20"/>
          <w:sz w:val="24"/>
          <w:szCs w:val="24"/>
          <w:lang w:val="fr-FR" w:eastAsia="en-AU"/>
        </w:rPr>
        <w:t>=</w:t>
      </w:r>
      <w:r>
        <w:rPr>
          <w:rFonts w:ascii="TimesTen-Italic" w:eastAsia="Calibri" w:hAnsi="TimesTen-Italic" w:cs="TimesTen-Italic"/>
          <w:i/>
          <w:iCs/>
          <w:color w:val="231F20"/>
          <w:sz w:val="24"/>
          <w:szCs w:val="24"/>
          <w:lang w:val="fr-FR" w:eastAsia="en-AU"/>
        </w:rPr>
        <w:t xml:space="preserve">E </w:t>
      </w:r>
      <w:r>
        <w:rPr>
          <w:rFonts w:ascii="MTMI" w:eastAsia="Calibri" w:hAnsi="MTMI" w:cs="MTMI"/>
          <w:i/>
          <w:iCs/>
          <w:color w:val="231F20"/>
          <w:sz w:val="24"/>
          <w:szCs w:val="24"/>
          <w:lang w:val="fr-FR" w:eastAsia="en-AU"/>
        </w:rPr>
        <w:t>(</w:t>
      </w:r>
      <w:r>
        <w:rPr>
          <w:rFonts w:ascii="TimesTen-Italic" w:eastAsia="Calibri" w:hAnsi="TimesTen-Italic" w:cs="TimesTen-Italic"/>
          <w:i/>
          <w:iCs/>
          <w:color w:val="231F20"/>
          <w:sz w:val="24"/>
          <w:szCs w:val="24"/>
          <w:lang w:val="fr-FR" w:eastAsia="en-AU"/>
        </w:rPr>
        <w:t>y</w:t>
      </w:r>
      <w:r>
        <w:rPr>
          <w:rFonts w:ascii="TimesTen-Roman" w:eastAsia="Calibri" w:hAnsi="TimesTen-Roman" w:cs="TimesTen-Roman"/>
          <w:color w:val="231F20"/>
          <w:sz w:val="24"/>
          <w:szCs w:val="24"/>
          <w:vertAlign w:val="subscript"/>
          <w:lang w:val="fr-FR" w:eastAsia="en-AU"/>
        </w:rPr>
        <w:t>1</w:t>
      </w:r>
      <w:r>
        <w:rPr>
          <w:rFonts w:ascii="TimesTen-Italic" w:eastAsia="Calibri" w:hAnsi="TimesTen-Italic" w:cs="TimesTen-Italic"/>
          <w:i/>
          <w:iCs/>
          <w:color w:val="231F20"/>
          <w:sz w:val="24"/>
          <w:szCs w:val="24"/>
          <w:vertAlign w:val="subscript"/>
          <w:lang w:val="fr-FR" w:eastAsia="en-AU"/>
        </w:rPr>
        <w:t>i</w:t>
      </w:r>
      <w:r>
        <w:rPr>
          <w:rFonts w:ascii="MTSYN" w:eastAsia="MTSYN" w:hAnsi="TimesTen-Italic" w:cs="MTSYN" w:hint="eastAsia"/>
          <w:color w:val="231F20"/>
          <w:sz w:val="24"/>
          <w:szCs w:val="24"/>
          <w:lang w:val="fr-FR" w:eastAsia="en-AU"/>
        </w:rPr>
        <w:t>|</w:t>
      </w:r>
      <w:r>
        <w:rPr>
          <w:rFonts w:ascii="TimesTen-Italic" w:eastAsia="Calibri" w:hAnsi="TimesTen-Italic" w:cs="TimesTen-Italic"/>
          <w:i/>
          <w:iCs/>
          <w:color w:val="231F20"/>
          <w:sz w:val="24"/>
          <w:szCs w:val="24"/>
          <w:lang w:val="fr-FR" w:eastAsia="en-AU"/>
        </w:rPr>
        <w:t>A</w:t>
      </w:r>
      <w:r>
        <w:rPr>
          <w:rFonts w:ascii="TimesTen-Italic" w:eastAsia="Calibri" w:hAnsi="TimesTen-Italic" w:cs="TimesTen-Italic"/>
          <w:i/>
          <w:iCs/>
          <w:color w:val="231F20"/>
          <w:sz w:val="24"/>
          <w:szCs w:val="24"/>
          <w:vertAlign w:val="subscript"/>
          <w:lang w:val="fr-FR" w:eastAsia="en-AU"/>
        </w:rPr>
        <w:t>i</w:t>
      </w:r>
      <w:r>
        <w:rPr>
          <w:rFonts w:ascii="TimesTen-Italic" w:eastAsia="Calibri" w:hAnsi="TimesTen-Italic" w:cs="TimesTen-Italic"/>
          <w:i/>
          <w:iCs/>
          <w:color w:val="231F20"/>
          <w:sz w:val="24"/>
          <w:szCs w:val="24"/>
          <w:lang w:val="fr-FR" w:eastAsia="en-AU"/>
        </w:rPr>
        <w:t xml:space="preserve"> </w:t>
      </w:r>
      <w:r>
        <w:rPr>
          <w:rFonts w:ascii="MTSYN" w:eastAsia="MTSYN" w:hAnsi="TimesTen-Italic" w:cs="MTSYN" w:hint="eastAsia"/>
          <w:color w:val="231F20"/>
          <w:sz w:val="24"/>
          <w:szCs w:val="24"/>
          <w:lang w:val="fr-FR" w:eastAsia="en-AU"/>
        </w:rPr>
        <w:t>=</w:t>
      </w:r>
      <w:r>
        <w:rPr>
          <w:rFonts w:ascii="TimesTen-Roman" w:eastAsia="Calibri" w:hAnsi="TimesTen-Roman" w:cs="TimesTen-Roman"/>
          <w:color w:val="231F20"/>
          <w:sz w:val="24"/>
          <w:szCs w:val="24"/>
          <w:lang w:val="fr-FR" w:eastAsia="en-AU"/>
        </w:rPr>
        <w:t>0</w:t>
      </w:r>
      <w:r>
        <w:rPr>
          <w:rFonts w:ascii="MTMI" w:eastAsia="Calibri" w:hAnsi="MTMI" w:cs="MTMI"/>
          <w:i/>
          <w:iCs/>
          <w:color w:val="231F20"/>
          <w:sz w:val="24"/>
          <w:szCs w:val="24"/>
          <w:lang w:val="fr-FR" w:eastAsia="en-AU"/>
        </w:rPr>
        <w:t xml:space="preserve">) </w:t>
      </w:r>
      <w:r>
        <w:rPr>
          <w:rFonts w:ascii="MTSYN" w:eastAsia="MTSYN" w:hAnsi="TimesTen-Italic" w:cs="MTSYN"/>
          <w:color w:val="231F20"/>
          <w:sz w:val="24"/>
          <w:szCs w:val="24"/>
          <w:lang w:val="fr-FR" w:eastAsia="en-AU"/>
        </w:rPr>
        <w:t>–</w:t>
      </w:r>
      <w:r>
        <w:rPr>
          <w:rFonts w:ascii="MTSYN" w:eastAsia="MTSYN" w:hAnsi="TimesTen-Italic" w:cs="MTSYN" w:hint="eastAsia"/>
          <w:color w:val="231F20"/>
          <w:sz w:val="24"/>
          <w:szCs w:val="24"/>
          <w:lang w:val="fr-FR" w:eastAsia="en-AU"/>
        </w:rPr>
        <w:t xml:space="preserve"> </w:t>
      </w:r>
      <w:r>
        <w:rPr>
          <w:rFonts w:ascii="TimesTen-Italic" w:eastAsia="Calibri" w:hAnsi="TimesTen-Italic" w:cs="TimesTen-Italic"/>
          <w:i/>
          <w:iCs/>
          <w:color w:val="231F20"/>
          <w:sz w:val="24"/>
          <w:szCs w:val="24"/>
          <w:lang w:val="fr-FR" w:eastAsia="en-AU"/>
        </w:rPr>
        <w:t xml:space="preserve">E </w:t>
      </w:r>
      <w:r>
        <w:rPr>
          <w:rFonts w:ascii="MTMI" w:eastAsia="Calibri" w:hAnsi="MTMI" w:cs="MTMI"/>
          <w:i/>
          <w:iCs/>
          <w:color w:val="231F20"/>
          <w:sz w:val="24"/>
          <w:szCs w:val="24"/>
          <w:lang w:val="fr-FR" w:eastAsia="en-AU"/>
        </w:rPr>
        <w:t>(</w:t>
      </w:r>
      <w:r>
        <w:rPr>
          <w:rFonts w:ascii="TimesTen-Italic" w:eastAsia="Calibri" w:hAnsi="TimesTen-Italic" w:cs="TimesTen-Italic"/>
          <w:i/>
          <w:iCs/>
          <w:color w:val="231F20"/>
          <w:sz w:val="24"/>
          <w:szCs w:val="24"/>
          <w:lang w:val="fr-FR" w:eastAsia="en-AU"/>
        </w:rPr>
        <w:t>y</w:t>
      </w:r>
      <w:r>
        <w:rPr>
          <w:rFonts w:ascii="TimesTen-Roman" w:eastAsia="Calibri" w:hAnsi="TimesTen-Roman" w:cs="TimesTen-Roman"/>
          <w:color w:val="231F20"/>
          <w:sz w:val="24"/>
          <w:szCs w:val="24"/>
          <w:vertAlign w:val="subscript"/>
          <w:lang w:val="fr-FR" w:eastAsia="en-AU"/>
        </w:rPr>
        <w:t>2</w:t>
      </w:r>
      <w:r>
        <w:rPr>
          <w:rFonts w:ascii="TimesTen-Italic" w:eastAsia="Calibri" w:hAnsi="TimesTen-Italic" w:cs="TimesTen-Italic"/>
          <w:i/>
          <w:iCs/>
          <w:color w:val="231F20"/>
          <w:sz w:val="24"/>
          <w:szCs w:val="24"/>
          <w:vertAlign w:val="subscript"/>
          <w:lang w:val="fr-FR" w:eastAsia="en-AU"/>
        </w:rPr>
        <w:t>i</w:t>
      </w:r>
      <w:r>
        <w:rPr>
          <w:rFonts w:ascii="MTSYN" w:eastAsia="MTSYN" w:hAnsi="TimesTen-Italic" w:cs="MTSYN" w:hint="eastAsia"/>
          <w:color w:val="231F20"/>
          <w:sz w:val="24"/>
          <w:szCs w:val="24"/>
          <w:lang w:val="fr-FR" w:eastAsia="en-AU"/>
        </w:rPr>
        <w:t>|</w:t>
      </w:r>
      <w:r>
        <w:rPr>
          <w:rFonts w:ascii="TimesTen-Italic" w:eastAsia="Calibri" w:hAnsi="TimesTen-Italic" w:cs="TimesTen-Italic"/>
          <w:i/>
          <w:iCs/>
          <w:color w:val="231F20"/>
          <w:sz w:val="24"/>
          <w:szCs w:val="24"/>
          <w:lang w:val="fr-FR" w:eastAsia="en-AU"/>
        </w:rPr>
        <w:t>A</w:t>
      </w:r>
      <w:r>
        <w:rPr>
          <w:rFonts w:ascii="TimesTen-Italic" w:eastAsia="Calibri" w:hAnsi="TimesTen-Italic" w:cs="TimesTen-Italic"/>
          <w:i/>
          <w:iCs/>
          <w:color w:val="231F20"/>
          <w:sz w:val="24"/>
          <w:szCs w:val="24"/>
          <w:vertAlign w:val="subscript"/>
          <w:lang w:val="fr-FR" w:eastAsia="en-AU"/>
        </w:rPr>
        <w:t>i</w:t>
      </w:r>
      <w:r>
        <w:rPr>
          <w:rFonts w:ascii="TimesTen-Roman" w:eastAsia="Calibri" w:hAnsi="TimesTen-Roman" w:cs="TimesTen-Roman"/>
          <w:color w:val="231F20"/>
          <w:sz w:val="24"/>
          <w:szCs w:val="24"/>
          <w:lang w:val="fr-FR" w:eastAsia="en-AU"/>
        </w:rPr>
        <w:t xml:space="preserve"> </w:t>
      </w:r>
      <w:r>
        <w:rPr>
          <w:rFonts w:ascii="MTSYN" w:eastAsia="MTSYN" w:hAnsi="TimesTen-Italic" w:cs="MTSYN" w:hint="eastAsia"/>
          <w:color w:val="231F20"/>
          <w:sz w:val="24"/>
          <w:szCs w:val="24"/>
          <w:lang w:val="fr-FR" w:eastAsia="en-AU"/>
        </w:rPr>
        <w:t>=</w:t>
      </w:r>
      <w:r>
        <w:rPr>
          <w:rFonts w:ascii="TimesTen-Roman" w:eastAsia="Calibri" w:hAnsi="TimesTen-Roman" w:cs="TimesTen-Roman"/>
          <w:color w:val="231F20"/>
          <w:sz w:val="24"/>
          <w:szCs w:val="24"/>
          <w:lang w:val="fr-FR" w:eastAsia="en-AU"/>
        </w:rPr>
        <w:t>0</w:t>
      </w:r>
      <w:r>
        <w:rPr>
          <w:rFonts w:ascii="MTMI" w:eastAsia="Calibri" w:hAnsi="MTMI" w:cs="MTMI"/>
          <w:i/>
          <w:iCs/>
          <w:color w:val="231F20"/>
          <w:sz w:val="24"/>
          <w:szCs w:val="24"/>
          <w:lang w:val="fr-FR" w:eastAsia="en-AU"/>
        </w:rPr>
        <w:t>)</w:t>
      </w:r>
    </w:p>
    <w:p>
      <w:pPr>
        <w:spacing w:after="200" w:line="480" w:lineRule="auto"/>
        <w:jc w:val="center"/>
        <w:rPr>
          <w:rFonts w:ascii="TimesTen-Roman" w:eastAsia="Calibri" w:hAnsi="TimesTen-Roman" w:cs="TimesTen-Roman"/>
          <w:sz w:val="24"/>
          <w:szCs w:val="24"/>
          <w:lang w:val="en-AU" w:eastAsia="en-AU"/>
        </w:rPr>
      </w:pPr>
      <w:r>
        <w:rPr>
          <w:rFonts w:ascii="MTSYN" w:eastAsia="MTSYN" w:hAnsi="TimesTen-Italic" w:cs="MTSYN" w:hint="eastAsia"/>
          <w:color w:val="231F20"/>
          <w:sz w:val="24"/>
          <w:szCs w:val="24"/>
          <w:lang w:val="en-AU" w:eastAsia="en-AU"/>
        </w:rPr>
        <w:t>=</w:t>
      </w:r>
      <w:r>
        <w:rPr>
          <w:rFonts w:ascii="TimesTen-Bold" w:eastAsia="Calibri" w:hAnsi="TimesTen-Bold" w:cs="TimesTen-Bold"/>
          <w:b/>
          <w:bCs/>
          <w:color w:val="231F20"/>
          <w:sz w:val="24"/>
          <w:szCs w:val="24"/>
          <w:lang w:val="en-AU" w:eastAsia="en-AU"/>
        </w:rPr>
        <w:t>X</w:t>
      </w:r>
      <w:r>
        <w:rPr>
          <w:rFonts w:ascii="TimesTen-Bold" w:eastAsia="Calibri" w:hAnsi="TimesTen-Bold" w:cs="TimesTen-Bold"/>
          <w:b/>
          <w:bCs/>
          <w:color w:val="231F20"/>
          <w:sz w:val="24"/>
          <w:szCs w:val="24"/>
          <w:vertAlign w:val="subscript"/>
          <w:lang w:val="en-AU" w:eastAsia="en-AU"/>
        </w:rPr>
        <w:t>2i*</w:t>
      </w:r>
      <w:r>
        <w:rPr>
          <w:rFonts w:ascii="MTMI" w:eastAsia="Calibri" w:hAnsi="MTMI" w:cs="MTMI"/>
          <w:i/>
          <w:iCs/>
          <w:color w:val="231F20"/>
          <w:sz w:val="24"/>
          <w:szCs w:val="24"/>
          <w:lang w:val="en-AU" w:eastAsia="en-AU"/>
        </w:rPr>
        <w:t>(</w:t>
      </w:r>
      <w:r>
        <w:rPr>
          <w:rFonts w:ascii="MTGUB" w:eastAsia="Calibri" w:hAnsi="MTGUB" w:cs="MTGUB"/>
          <w:b/>
          <w:bCs/>
          <w:color w:val="231F20"/>
          <w:sz w:val="24"/>
          <w:szCs w:val="24"/>
          <w:lang w:val="en-AU" w:eastAsia="en-AU"/>
        </w:rPr>
        <w:t>β</w:t>
      </w:r>
      <w:r>
        <w:rPr>
          <w:rFonts w:ascii="TimesTen-Bold" w:eastAsia="Calibri" w:hAnsi="TimesTen-Bold" w:cs="TimesTen-Bold"/>
          <w:b/>
          <w:bCs/>
          <w:color w:val="231F20"/>
          <w:sz w:val="24"/>
          <w:szCs w:val="24"/>
          <w:vertAlign w:val="subscript"/>
          <w:lang w:val="en-AU" w:eastAsia="en-AU"/>
        </w:rPr>
        <w:t>1</w:t>
      </w:r>
      <w:r>
        <w:rPr>
          <w:rFonts w:ascii="TimesTen-Bold" w:eastAsia="Calibri" w:hAnsi="TimesTen-Bold" w:cs="TimesTen-Bold"/>
          <w:b/>
          <w:bCs/>
          <w:color w:val="231F20"/>
          <w:sz w:val="24"/>
          <w:szCs w:val="24"/>
          <w:lang w:val="en-AU" w:eastAsia="en-AU"/>
        </w:rPr>
        <w:t xml:space="preserve"> </w:t>
      </w:r>
      <w:r>
        <w:rPr>
          <w:rFonts w:ascii="MTSYN" w:eastAsia="MTSYN" w:hAnsi="TimesTen-Italic" w:cs="MTSYN" w:hint="eastAsia"/>
          <w:color w:val="231F20"/>
          <w:sz w:val="24"/>
          <w:szCs w:val="24"/>
          <w:lang w:val="en-AU" w:eastAsia="en-AU"/>
        </w:rPr>
        <w:t xml:space="preserve">− </w:t>
      </w:r>
      <w:r>
        <w:rPr>
          <w:rFonts w:ascii="MTGUB" w:eastAsia="Calibri" w:hAnsi="MTGUB" w:cs="MTGUB"/>
          <w:b/>
          <w:bCs/>
          <w:color w:val="231F20"/>
          <w:sz w:val="24"/>
          <w:szCs w:val="24"/>
          <w:lang w:val="en-AU" w:eastAsia="en-AU"/>
        </w:rPr>
        <w:t>β</w:t>
      </w:r>
      <w:r>
        <w:rPr>
          <w:rFonts w:ascii="TimesTen-Bold" w:eastAsia="Calibri" w:hAnsi="TimesTen-Bold" w:cs="TimesTen-Bold"/>
          <w:b/>
          <w:bCs/>
          <w:color w:val="231F20"/>
          <w:sz w:val="24"/>
          <w:szCs w:val="24"/>
          <w:vertAlign w:val="subscript"/>
          <w:lang w:val="en-AU" w:eastAsia="en-AU"/>
        </w:rPr>
        <w:t>2</w:t>
      </w:r>
      <w:r>
        <w:rPr>
          <w:rFonts w:ascii="MTMI" w:eastAsia="Calibri" w:hAnsi="MTMI" w:cs="MTMI"/>
          <w:i/>
          <w:iCs/>
          <w:color w:val="231F20"/>
          <w:sz w:val="24"/>
          <w:szCs w:val="24"/>
          <w:lang w:val="en-AU" w:eastAsia="en-AU"/>
        </w:rPr>
        <w:t xml:space="preserve">) </w:t>
      </w:r>
      <w:r>
        <w:rPr>
          <w:rFonts w:ascii="MTSYN" w:eastAsia="MTSYN" w:hAnsi="TimesTen-Italic" w:cs="MTSYN" w:hint="eastAsia"/>
          <w:color w:val="231F20"/>
          <w:sz w:val="24"/>
          <w:szCs w:val="24"/>
          <w:lang w:val="en-AU" w:eastAsia="en-AU"/>
        </w:rPr>
        <w:t xml:space="preserve">+ </w:t>
      </w:r>
      <w:r>
        <w:rPr>
          <w:rFonts w:ascii="MTMI" w:eastAsia="Calibri" w:hAnsi="MTMI" w:cs="MTMI"/>
          <w:i/>
          <w:iCs/>
          <w:color w:val="231F20"/>
          <w:sz w:val="24"/>
          <w:szCs w:val="24"/>
          <w:lang w:val="en-AU" w:eastAsia="en-AU"/>
        </w:rPr>
        <w:t>(σ</w:t>
      </w:r>
      <w:r>
        <w:rPr>
          <w:rFonts w:ascii="TimesTen-Roman" w:eastAsia="Calibri" w:hAnsi="TimesTen-Roman" w:cs="TimesTen-Roman"/>
          <w:color w:val="231F20"/>
          <w:sz w:val="24"/>
          <w:szCs w:val="24"/>
          <w:vertAlign w:val="subscript"/>
          <w:lang w:val="en-AU" w:eastAsia="en-AU"/>
        </w:rPr>
        <w:t>1</w:t>
      </w:r>
      <w:r>
        <w:rPr>
          <w:rFonts w:ascii="MTMI" w:eastAsia="Calibri" w:hAnsi="MTMI" w:cs="MTMI"/>
          <w:i/>
          <w:iCs/>
          <w:color w:val="231F20"/>
          <w:sz w:val="24"/>
          <w:szCs w:val="24"/>
          <w:vertAlign w:val="subscript"/>
          <w:lang w:val="en-AU" w:eastAsia="en-AU"/>
        </w:rPr>
        <w:t>η</w:t>
      </w:r>
      <w:r>
        <w:rPr>
          <w:rFonts w:ascii="MTMI" w:eastAsia="Calibri" w:hAnsi="MTMI" w:cs="MTMI"/>
          <w:i/>
          <w:iCs/>
          <w:color w:val="231F20"/>
          <w:sz w:val="24"/>
          <w:szCs w:val="24"/>
          <w:lang w:val="en-AU" w:eastAsia="en-AU"/>
        </w:rPr>
        <w:t xml:space="preserve"> </w:t>
      </w:r>
      <w:r>
        <w:rPr>
          <w:rFonts w:ascii="MTSYN" w:eastAsia="MTSYN" w:hAnsi="TimesTen-Italic" w:cs="MTSYN" w:hint="eastAsia"/>
          <w:color w:val="231F20"/>
          <w:sz w:val="24"/>
          <w:szCs w:val="24"/>
          <w:lang w:val="en-AU" w:eastAsia="en-AU"/>
        </w:rPr>
        <w:t xml:space="preserve">− </w:t>
      </w:r>
      <w:r>
        <w:rPr>
          <w:rFonts w:ascii="MTMI" w:eastAsia="Calibri" w:hAnsi="MTMI" w:cs="MTMI"/>
          <w:i/>
          <w:iCs/>
          <w:color w:val="231F20"/>
          <w:sz w:val="24"/>
          <w:szCs w:val="24"/>
          <w:lang w:val="en-AU" w:eastAsia="en-AU"/>
        </w:rPr>
        <w:t>σ</w:t>
      </w:r>
      <w:r>
        <w:rPr>
          <w:rFonts w:ascii="TimesTen-Roman" w:eastAsia="Calibri" w:hAnsi="TimesTen-Roman" w:cs="TimesTen-Roman"/>
          <w:color w:val="231F20"/>
          <w:sz w:val="24"/>
          <w:szCs w:val="24"/>
          <w:vertAlign w:val="subscript"/>
          <w:lang w:val="en-AU" w:eastAsia="en-AU"/>
        </w:rPr>
        <w:t>2</w:t>
      </w:r>
      <w:r>
        <w:rPr>
          <w:rFonts w:ascii="MTMI" w:eastAsia="Calibri" w:hAnsi="MTMI" w:cs="MTMI"/>
          <w:i/>
          <w:iCs/>
          <w:color w:val="231F20"/>
          <w:sz w:val="24"/>
          <w:szCs w:val="24"/>
          <w:vertAlign w:val="subscript"/>
          <w:lang w:val="en-AU" w:eastAsia="en-AU"/>
        </w:rPr>
        <w:t>η</w:t>
      </w:r>
      <w:r>
        <w:rPr>
          <w:rFonts w:ascii="MTMI" w:eastAsia="Calibri" w:hAnsi="MTMI" w:cs="MTMI"/>
          <w:i/>
          <w:iCs/>
          <w:color w:val="231F20"/>
          <w:sz w:val="24"/>
          <w:szCs w:val="24"/>
          <w:lang w:val="en-AU" w:eastAsia="en-AU"/>
        </w:rPr>
        <w:t>)*λ</w:t>
      </w:r>
      <w:r>
        <w:rPr>
          <w:rFonts w:ascii="TimesTen-Roman" w:eastAsia="Calibri" w:hAnsi="TimesTen-Roman" w:cs="TimesTen-Roman"/>
          <w:color w:val="231F20"/>
          <w:sz w:val="24"/>
          <w:szCs w:val="24"/>
          <w:vertAlign w:val="subscript"/>
          <w:lang w:val="en-AU" w:eastAsia="en-AU"/>
        </w:rPr>
        <w:t>2</w:t>
      </w:r>
      <w:r>
        <w:rPr>
          <w:rFonts w:ascii="TimesTen-Italic" w:eastAsia="Calibri" w:hAnsi="TimesTen-Italic" w:cs="TimesTen-Italic"/>
          <w:i/>
          <w:iCs/>
          <w:color w:val="231F20"/>
          <w:sz w:val="24"/>
          <w:szCs w:val="24"/>
          <w:vertAlign w:val="subscript"/>
          <w:lang w:val="en-AU" w:eastAsia="en-AU"/>
        </w:rPr>
        <w:t>i</w:t>
      </w:r>
      <w:r>
        <w:rPr>
          <w:rFonts w:ascii="TimesTen-Roman" w:eastAsia="Calibri" w:hAnsi="TimesTen-Roman" w:cs="TimesTen-Roman"/>
          <w:color w:val="231F20"/>
          <w:sz w:val="24"/>
          <w:szCs w:val="24"/>
          <w:lang w:val="en-AU" w:eastAsia="en-AU"/>
        </w:rPr>
        <w:t>.</w:t>
      </w:r>
    </w:p>
    <w:p>
      <w:pPr>
        <w:autoSpaceDE w:val="0"/>
        <w:autoSpaceDN w:val="0"/>
        <w:adjustRightInd w:val="0"/>
        <w:spacing w:after="0" w:line="480" w:lineRule="auto"/>
        <w:jc w:val="center"/>
        <w:rPr>
          <w:rFonts w:ascii="MTMI" w:eastAsia="Calibri" w:hAnsi="MTMI" w:cs="MTMI"/>
          <w:i/>
          <w:iCs/>
          <w:color w:val="231F20"/>
          <w:sz w:val="24"/>
          <w:szCs w:val="24"/>
          <w:lang w:val="fr-FR" w:eastAsia="en-AU"/>
        </w:rPr>
      </w:pPr>
      <w:r>
        <w:rPr>
          <w:rFonts w:ascii="TimesTen-Italic" w:eastAsia="Calibri" w:hAnsi="TimesTen-Italic" w:cs="TimesTen-Italic"/>
          <w:i/>
          <w:iCs/>
          <w:color w:val="231F20"/>
          <w:sz w:val="24"/>
          <w:szCs w:val="24"/>
          <w:lang w:val="fr-FR" w:eastAsia="en-AU"/>
        </w:rPr>
        <w:t>BH</w:t>
      </w:r>
      <w:r>
        <w:rPr>
          <w:rFonts w:ascii="TimesTen-Roman" w:eastAsia="Calibri" w:hAnsi="TimesTen-Roman" w:cs="TimesTen-Roman"/>
          <w:color w:val="231F20"/>
          <w:sz w:val="24"/>
          <w:szCs w:val="24"/>
          <w:vertAlign w:val="subscript"/>
          <w:lang w:val="fr-FR" w:eastAsia="en-AU"/>
        </w:rPr>
        <w:t>1</w:t>
      </w:r>
      <w:r>
        <w:rPr>
          <w:rFonts w:ascii="TimesTen-Roman" w:eastAsia="Calibri" w:hAnsi="TimesTen-Roman" w:cs="TimesTen-Roman"/>
          <w:color w:val="231F20"/>
          <w:sz w:val="24"/>
          <w:szCs w:val="24"/>
          <w:lang w:val="fr-FR" w:eastAsia="en-AU"/>
        </w:rPr>
        <w:t xml:space="preserve"> </w:t>
      </w:r>
      <w:r>
        <w:rPr>
          <w:rFonts w:ascii="MTSYN" w:eastAsia="MTSYN" w:hAnsi="TimesTen-Italic" w:cs="MTSYN" w:hint="eastAsia"/>
          <w:color w:val="231F20"/>
          <w:sz w:val="24"/>
          <w:szCs w:val="24"/>
          <w:lang w:val="fr-FR" w:eastAsia="en-AU"/>
        </w:rPr>
        <w:t>=</w:t>
      </w:r>
      <w:r>
        <w:rPr>
          <w:rFonts w:ascii="TimesTen-Italic" w:eastAsia="Calibri" w:hAnsi="TimesTen-Italic" w:cs="TimesTen-Italic"/>
          <w:i/>
          <w:iCs/>
          <w:color w:val="231F20"/>
          <w:sz w:val="24"/>
          <w:szCs w:val="24"/>
          <w:lang w:val="fr-FR" w:eastAsia="en-AU"/>
        </w:rPr>
        <w:t xml:space="preserve">E </w:t>
      </w:r>
      <w:r>
        <w:rPr>
          <w:rFonts w:ascii="MTMI" w:eastAsia="Calibri" w:hAnsi="MTMI" w:cs="MTMI"/>
          <w:i/>
          <w:iCs/>
          <w:color w:val="231F20"/>
          <w:sz w:val="24"/>
          <w:szCs w:val="24"/>
          <w:lang w:val="fr-FR" w:eastAsia="en-AU"/>
        </w:rPr>
        <w:t>(</w:t>
      </w:r>
      <w:r>
        <w:rPr>
          <w:rFonts w:ascii="TimesTen-Italic" w:eastAsia="Calibri" w:hAnsi="TimesTen-Italic" w:cs="TimesTen-Italic"/>
          <w:i/>
          <w:iCs/>
          <w:color w:val="231F20"/>
          <w:sz w:val="24"/>
          <w:szCs w:val="24"/>
          <w:lang w:val="fr-FR" w:eastAsia="en-AU"/>
        </w:rPr>
        <w:t>y</w:t>
      </w:r>
      <w:r>
        <w:rPr>
          <w:rFonts w:ascii="TimesTen-Roman" w:eastAsia="Calibri" w:hAnsi="TimesTen-Roman" w:cs="TimesTen-Roman"/>
          <w:color w:val="231F20"/>
          <w:sz w:val="24"/>
          <w:szCs w:val="24"/>
          <w:vertAlign w:val="subscript"/>
          <w:lang w:val="fr-FR" w:eastAsia="en-AU"/>
        </w:rPr>
        <w:t>1</w:t>
      </w:r>
      <w:r>
        <w:rPr>
          <w:rFonts w:ascii="TimesTen-Italic" w:eastAsia="Calibri" w:hAnsi="TimesTen-Italic" w:cs="TimesTen-Italic"/>
          <w:i/>
          <w:iCs/>
          <w:color w:val="231F20"/>
          <w:sz w:val="24"/>
          <w:szCs w:val="24"/>
          <w:vertAlign w:val="subscript"/>
          <w:lang w:val="fr-FR" w:eastAsia="en-AU"/>
        </w:rPr>
        <w:t>i</w:t>
      </w:r>
      <w:r>
        <w:rPr>
          <w:rFonts w:ascii="MTSYN" w:eastAsia="MTSYN" w:hAnsi="TimesTen-Italic" w:cs="MTSYN" w:hint="eastAsia"/>
          <w:color w:val="231F20"/>
          <w:sz w:val="24"/>
          <w:szCs w:val="24"/>
          <w:lang w:val="fr-FR" w:eastAsia="en-AU"/>
        </w:rPr>
        <w:t>|</w:t>
      </w:r>
      <w:r>
        <w:rPr>
          <w:rFonts w:ascii="TimesTen-Italic" w:eastAsia="Calibri" w:hAnsi="TimesTen-Italic" w:cs="TimesTen-Italic"/>
          <w:i/>
          <w:iCs/>
          <w:color w:val="231F20"/>
          <w:sz w:val="24"/>
          <w:szCs w:val="24"/>
          <w:lang w:val="fr-FR" w:eastAsia="en-AU"/>
        </w:rPr>
        <w:t>A</w:t>
      </w:r>
      <w:r>
        <w:rPr>
          <w:rFonts w:ascii="TimesTen-Italic" w:eastAsia="Calibri" w:hAnsi="TimesTen-Italic" w:cs="TimesTen-Italic"/>
          <w:i/>
          <w:iCs/>
          <w:color w:val="231F20"/>
          <w:sz w:val="24"/>
          <w:szCs w:val="24"/>
          <w:vertAlign w:val="subscript"/>
          <w:lang w:val="fr-FR" w:eastAsia="en-AU"/>
        </w:rPr>
        <w:t>i</w:t>
      </w:r>
      <w:r>
        <w:rPr>
          <w:rFonts w:ascii="TimesTen-Italic" w:eastAsia="Calibri" w:hAnsi="TimesTen-Italic" w:cs="TimesTen-Italic"/>
          <w:i/>
          <w:iCs/>
          <w:color w:val="231F20"/>
          <w:sz w:val="24"/>
          <w:szCs w:val="24"/>
          <w:lang w:val="fr-FR" w:eastAsia="en-AU"/>
        </w:rPr>
        <w:t xml:space="preserve"> </w:t>
      </w:r>
      <w:r>
        <w:rPr>
          <w:rFonts w:ascii="MTSYN" w:eastAsia="MTSYN" w:hAnsi="TimesTen-Italic" w:cs="MTSYN" w:hint="eastAsia"/>
          <w:color w:val="231F20"/>
          <w:sz w:val="24"/>
          <w:szCs w:val="24"/>
          <w:lang w:val="fr-FR" w:eastAsia="en-AU"/>
        </w:rPr>
        <w:t>=</w:t>
      </w:r>
      <w:r>
        <w:rPr>
          <w:rFonts w:ascii="TimesTen-Roman" w:eastAsia="Calibri" w:hAnsi="TimesTen-Roman" w:cs="TimesTen-Roman"/>
          <w:color w:val="231F20"/>
          <w:sz w:val="24"/>
          <w:szCs w:val="24"/>
          <w:lang w:val="fr-FR" w:eastAsia="en-AU"/>
        </w:rPr>
        <w:t>1</w:t>
      </w:r>
      <w:r>
        <w:rPr>
          <w:rFonts w:ascii="MTMI" w:eastAsia="Calibri" w:hAnsi="MTMI" w:cs="MTMI"/>
          <w:i/>
          <w:iCs/>
          <w:color w:val="231F20"/>
          <w:sz w:val="24"/>
          <w:szCs w:val="24"/>
          <w:lang w:val="fr-FR" w:eastAsia="en-AU"/>
        </w:rPr>
        <w:t xml:space="preserve">) </w:t>
      </w:r>
      <w:r>
        <w:rPr>
          <w:rFonts w:ascii="MTSYN" w:eastAsia="MTSYN" w:hAnsi="TimesTen-Italic" w:cs="MTSYN"/>
          <w:color w:val="231F20"/>
          <w:sz w:val="24"/>
          <w:szCs w:val="24"/>
          <w:lang w:val="fr-FR" w:eastAsia="en-AU"/>
        </w:rPr>
        <w:t>–</w:t>
      </w:r>
      <w:r>
        <w:rPr>
          <w:rFonts w:ascii="MTSYN" w:eastAsia="MTSYN" w:hAnsi="TimesTen-Italic" w:cs="MTSYN" w:hint="eastAsia"/>
          <w:color w:val="231F20"/>
          <w:sz w:val="24"/>
          <w:szCs w:val="24"/>
          <w:lang w:val="fr-FR" w:eastAsia="en-AU"/>
        </w:rPr>
        <w:t xml:space="preserve"> </w:t>
      </w:r>
      <w:r>
        <w:rPr>
          <w:rFonts w:ascii="TimesTen-Italic" w:eastAsia="Calibri" w:hAnsi="TimesTen-Italic" w:cs="TimesTen-Italic"/>
          <w:i/>
          <w:iCs/>
          <w:color w:val="231F20"/>
          <w:sz w:val="24"/>
          <w:szCs w:val="24"/>
          <w:lang w:val="fr-FR" w:eastAsia="en-AU"/>
        </w:rPr>
        <w:t xml:space="preserve">E </w:t>
      </w:r>
      <w:r>
        <w:rPr>
          <w:rFonts w:ascii="MTMI" w:eastAsia="Calibri" w:hAnsi="MTMI" w:cs="MTMI"/>
          <w:i/>
          <w:iCs/>
          <w:color w:val="231F20"/>
          <w:sz w:val="24"/>
          <w:szCs w:val="24"/>
          <w:lang w:val="fr-FR" w:eastAsia="en-AU"/>
        </w:rPr>
        <w:t>(</w:t>
      </w:r>
      <w:r>
        <w:rPr>
          <w:rFonts w:ascii="TimesTen-Italic" w:eastAsia="Calibri" w:hAnsi="TimesTen-Italic" w:cs="TimesTen-Italic"/>
          <w:i/>
          <w:iCs/>
          <w:color w:val="231F20"/>
          <w:sz w:val="24"/>
          <w:szCs w:val="24"/>
          <w:lang w:val="fr-FR" w:eastAsia="en-AU"/>
        </w:rPr>
        <w:t>y</w:t>
      </w:r>
      <w:r>
        <w:rPr>
          <w:rFonts w:ascii="TimesTen-Roman" w:eastAsia="Calibri" w:hAnsi="TimesTen-Roman" w:cs="TimesTen-Roman"/>
          <w:color w:val="231F20"/>
          <w:sz w:val="24"/>
          <w:szCs w:val="24"/>
          <w:vertAlign w:val="subscript"/>
          <w:lang w:val="fr-FR" w:eastAsia="en-AU"/>
        </w:rPr>
        <w:t>1</w:t>
      </w:r>
      <w:r>
        <w:rPr>
          <w:rFonts w:ascii="TimesTen-Italic" w:eastAsia="Calibri" w:hAnsi="TimesTen-Italic" w:cs="TimesTen-Italic"/>
          <w:i/>
          <w:iCs/>
          <w:color w:val="231F20"/>
          <w:sz w:val="24"/>
          <w:szCs w:val="24"/>
          <w:vertAlign w:val="subscript"/>
          <w:lang w:val="fr-FR" w:eastAsia="en-AU"/>
        </w:rPr>
        <w:t>i</w:t>
      </w:r>
      <w:r>
        <w:rPr>
          <w:rFonts w:ascii="MTSYN" w:eastAsia="MTSYN" w:hAnsi="TimesTen-Italic" w:cs="MTSYN" w:hint="eastAsia"/>
          <w:color w:val="231F20"/>
          <w:sz w:val="24"/>
          <w:szCs w:val="24"/>
          <w:lang w:val="fr-FR" w:eastAsia="en-AU"/>
        </w:rPr>
        <w:t>|</w:t>
      </w:r>
      <w:r>
        <w:rPr>
          <w:rFonts w:ascii="TimesTen-Italic" w:eastAsia="Calibri" w:hAnsi="TimesTen-Italic" w:cs="TimesTen-Italic"/>
          <w:i/>
          <w:iCs/>
          <w:color w:val="231F20"/>
          <w:sz w:val="24"/>
          <w:szCs w:val="24"/>
          <w:lang w:val="fr-FR" w:eastAsia="en-AU"/>
        </w:rPr>
        <w:t>A</w:t>
      </w:r>
      <w:r>
        <w:rPr>
          <w:rFonts w:ascii="TimesTen-Italic" w:eastAsia="Calibri" w:hAnsi="TimesTen-Italic" w:cs="TimesTen-Italic"/>
          <w:i/>
          <w:iCs/>
          <w:color w:val="231F20"/>
          <w:sz w:val="24"/>
          <w:szCs w:val="24"/>
          <w:vertAlign w:val="subscript"/>
          <w:lang w:val="fr-FR" w:eastAsia="en-AU"/>
        </w:rPr>
        <w:t xml:space="preserve">i </w:t>
      </w:r>
      <w:r>
        <w:rPr>
          <w:rFonts w:ascii="MTSYN" w:eastAsia="MTSYN" w:hAnsi="TimesTen-Italic" w:cs="MTSYN" w:hint="eastAsia"/>
          <w:color w:val="231F20"/>
          <w:sz w:val="24"/>
          <w:szCs w:val="24"/>
          <w:lang w:val="fr-FR" w:eastAsia="en-AU"/>
        </w:rPr>
        <w:t>=</w:t>
      </w:r>
      <w:r>
        <w:rPr>
          <w:rFonts w:ascii="TimesTen-Roman" w:eastAsia="Calibri" w:hAnsi="TimesTen-Roman" w:cs="TimesTen-Roman"/>
          <w:color w:val="231F20"/>
          <w:sz w:val="24"/>
          <w:szCs w:val="24"/>
          <w:lang w:val="fr-FR" w:eastAsia="en-AU"/>
        </w:rPr>
        <w:t>0</w:t>
      </w:r>
      <w:r>
        <w:rPr>
          <w:rFonts w:ascii="MTMI" w:eastAsia="Calibri" w:hAnsi="MTMI" w:cs="MTMI"/>
          <w:i/>
          <w:iCs/>
          <w:color w:val="231F20"/>
          <w:sz w:val="24"/>
          <w:szCs w:val="24"/>
          <w:lang w:val="fr-FR" w:eastAsia="en-AU"/>
        </w:rPr>
        <w:t>)</w:t>
      </w:r>
    </w:p>
    <w:p>
      <w:pPr>
        <w:spacing w:after="200" w:line="480" w:lineRule="auto"/>
        <w:jc w:val="center"/>
        <w:rPr>
          <w:rFonts w:ascii="TimesTen-Roman" w:eastAsia="Calibri" w:hAnsi="TimesTen-Roman" w:cs="TimesTen-Roman"/>
          <w:sz w:val="24"/>
          <w:szCs w:val="24"/>
          <w:lang w:val="en-AU" w:eastAsia="en-AU"/>
        </w:rPr>
      </w:pPr>
      <w:r>
        <w:rPr>
          <w:rFonts w:ascii="MTSYN" w:eastAsia="MTSYN" w:hAnsi="TimesTen-Italic" w:cs="MTSYN" w:hint="eastAsia"/>
          <w:color w:val="231F20"/>
          <w:sz w:val="24"/>
          <w:szCs w:val="24"/>
          <w:lang w:val="en-AU" w:eastAsia="en-AU"/>
        </w:rPr>
        <w:t>=</w:t>
      </w:r>
      <w:r>
        <w:rPr>
          <w:rFonts w:ascii="MTSYN" w:eastAsia="MTSYN" w:hAnsi="TimesTen-Italic" w:cs="MTSYN"/>
          <w:color w:val="231F20"/>
          <w:sz w:val="24"/>
          <w:szCs w:val="24"/>
          <w:lang w:val="en-AU" w:eastAsia="en-AU"/>
        </w:rPr>
        <w:t xml:space="preserve"> </w:t>
      </w:r>
      <w:r>
        <w:rPr>
          <w:rFonts w:ascii="MTMI" w:eastAsia="Calibri" w:hAnsi="MTMI" w:cs="MTMI"/>
          <w:i/>
          <w:iCs/>
          <w:color w:val="231F20"/>
          <w:sz w:val="24"/>
          <w:szCs w:val="24"/>
          <w:lang w:val="en-AU" w:eastAsia="en-AU"/>
        </w:rPr>
        <w:t>(</w:t>
      </w:r>
      <w:r>
        <w:rPr>
          <w:rFonts w:ascii="TimesTen-Bold" w:eastAsia="Calibri" w:hAnsi="TimesTen-Bold" w:cs="TimesTen-Bold"/>
          <w:b/>
          <w:bCs/>
          <w:color w:val="231F20"/>
          <w:sz w:val="24"/>
          <w:szCs w:val="24"/>
          <w:lang w:val="en-AU" w:eastAsia="en-AU"/>
        </w:rPr>
        <w:t>X</w:t>
      </w:r>
      <w:r>
        <w:rPr>
          <w:rFonts w:ascii="TimesTen-Bold" w:eastAsia="Calibri" w:hAnsi="TimesTen-Bold" w:cs="TimesTen-Bold"/>
          <w:b/>
          <w:bCs/>
          <w:color w:val="231F20"/>
          <w:sz w:val="24"/>
          <w:szCs w:val="24"/>
          <w:vertAlign w:val="subscript"/>
          <w:lang w:val="en-AU" w:eastAsia="en-AU"/>
        </w:rPr>
        <w:t>1i</w:t>
      </w:r>
      <w:r>
        <w:rPr>
          <w:rFonts w:ascii="TimesTen-Bold" w:eastAsia="Calibri" w:hAnsi="TimesTen-Bold" w:cs="TimesTen-Bold"/>
          <w:b/>
          <w:bCs/>
          <w:color w:val="231F20"/>
          <w:sz w:val="24"/>
          <w:szCs w:val="24"/>
          <w:lang w:val="en-AU" w:eastAsia="en-AU"/>
        </w:rPr>
        <w:t xml:space="preserve"> </w:t>
      </w:r>
      <w:r>
        <w:rPr>
          <w:rFonts w:ascii="MTSYN" w:eastAsia="MTSYN" w:hAnsi="TimesTen-Italic" w:cs="MTSYN" w:hint="eastAsia"/>
          <w:color w:val="231F20"/>
          <w:sz w:val="24"/>
          <w:szCs w:val="24"/>
          <w:lang w:val="en-AU" w:eastAsia="en-AU"/>
        </w:rPr>
        <w:t xml:space="preserve">− </w:t>
      </w:r>
      <w:r>
        <w:rPr>
          <w:rFonts w:ascii="TimesTen-Bold" w:eastAsia="Calibri" w:hAnsi="TimesTen-Bold" w:cs="TimesTen-Bold"/>
          <w:b/>
          <w:bCs/>
          <w:color w:val="231F20"/>
          <w:sz w:val="24"/>
          <w:szCs w:val="24"/>
          <w:lang w:val="en-AU" w:eastAsia="en-AU"/>
        </w:rPr>
        <w:t>X</w:t>
      </w:r>
      <w:r>
        <w:rPr>
          <w:rFonts w:ascii="TimesTen-Bold" w:eastAsia="Calibri" w:hAnsi="TimesTen-Bold" w:cs="TimesTen-Bold"/>
          <w:b/>
          <w:bCs/>
          <w:color w:val="231F20"/>
          <w:sz w:val="24"/>
          <w:szCs w:val="24"/>
          <w:vertAlign w:val="subscript"/>
          <w:lang w:val="en-AU" w:eastAsia="en-AU"/>
        </w:rPr>
        <w:t>2i</w:t>
      </w:r>
      <w:r>
        <w:rPr>
          <w:rFonts w:ascii="MTMI" w:eastAsia="Calibri" w:hAnsi="MTMI" w:cs="MTMI"/>
          <w:i/>
          <w:iCs/>
          <w:color w:val="231F20"/>
          <w:sz w:val="24"/>
          <w:szCs w:val="24"/>
          <w:lang w:val="en-AU" w:eastAsia="en-AU"/>
        </w:rPr>
        <w:t>)*</w:t>
      </w:r>
      <w:r>
        <w:rPr>
          <w:rFonts w:ascii="MTGUB" w:eastAsia="Calibri" w:hAnsi="MTGUB" w:cs="MTGUB"/>
          <w:b/>
          <w:bCs/>
          <w:color w:val="231F20"/>
          <w:sz w:val="24"/>
          <w:szCs w:val="24"/>
          <w:lang w:val="en-AU" w:eastAsia="en-AU"/>
        </w:rPr>
        <w:t>β</w:t>
      </w:r>
      <w:r>
        <w:rPr>
          <w:rFonts w:ascii="TimesTen-Bold" w:eastAsia="Calibri" w:hAnsi="TimesTen-Bold" w:cs="TimesTen-Bold"/>
          <w:b/>
          <w:bCs/>
          <w:color w:val="231F20"/>
          <w:sz w:val="24"/>
          <w:szCs w:val="24"/>
          <w:vertAlign w:val="subscript"/>
          <w:lang w:val="en-AU" w:eastAsia="en-AU"/>
        </w:rPr>
        <w:t>1i</w:t>
      </w:r>
      <w:r>
        <w:rPr>
          <w:rFonts w:ascii="TimesTen-Bold" w:eastAsia="Calibri" w:hAnsi="TimesTen-Bold" w:cs="TimesTen-Bold"/>
          <w:b/>
          <w:bCs/>
          <w:color w:val="231F20"/>
          <w:sz w:val="24"/>
          <w:szCs w:val="24"/>
          <w:lang w:val="en-AU" w:eastAsia="en-AU"/>
        </w:rPr>
        <w:t xml:space="preserve"> </w:t>
      </w:r>
      <w:r>
        <w:rPr>
          <w:rFonts w:ascii="MTSYN" w:eastAsia="MTSYN" w:hAnsi="TimesTen-Italic" w:cs="MTSYN" w:hint="eastAsia"/>
          <w:color w:val="231F20"/>
          <w:sz w:val="24"/>
          <w:szCs w:val="24"/>
          <w:lang w:val="en-AU" w:eastAsia="en-AU"/>
        </w:rPr>
        <w:t xml:space="preserve">+ </w:t>
      </w:r>
      <w:r>
        <w:rPr>
          <w:rFonts w:ascii="MTMI" w:eastAsia="Calibri" w:hAnsi="MTMI" w:cs="MTMI"/>
          <w:i/>
          <w:iCs/>
          <w:color w:val="231F20"/>
          <w:sz w:val="24"/>
          <w:szCs w:val="24"/>
          <w:lang w:val="en-AU" w:eastAsia="en-AU"/>
        </w:rPr>
        <w:t>σ</w:t>
      </w:r>
      <w:r>
        <w:rPr>
          <w:rFonts w:ascii="TimesTen-Roman" w:eastAsia="Calibri" w:hAnsi="TimesTen-Roman" w:cs="TimesTen-Roman"/>
          <w:color w:val="231F20"/>
          <w:sz w:val="24"/>
          <w:szCs w:val="24"/>
          <w:vertAlign w:val="subscript"/>
          <w:lang w:val="en-AU" w:eastAsia="en-AU"/>
        </w:rPr>
        <w:t>1</w:t>
      </w:r>
      <w:r>
        <w:rPr>
          <w:rFonts w:ascii="MTMI" w:eastAsia="Calibri" w:hAnsi="MTMI" w:cs="MTMI"/>
          <w:i/>
          <w:iCs/>
          <w:color w:val="231F20"/>
          <w:sz w:val="24"/>
          <w:szCs w:val="24"/>
          <w:vertAlign w:val="subscript"/>
          <w:lang w:val="en-AU" w:eastAsia="en-AU"/>
        </w:rPr>
        <w:t>η</w:t>
      </w:r>
      <w:r>
        <w:rPr>
          <w:rFonts w:ascii="MTMI" w:eastAsia="Calibri" w:hAnsi="MTMI" w:cs="MTMI"/>
          <w:i/>
          <w:iCs/>
          <w:color w:val="231F20"/>
          <w:sz w:val="24"/>
          <w:szCs w:val="24"/>
          <w:lang w:val="en-AU" w:eastAsia="en-AU"/>
        </w:rPr>
        <w:t>*(λ</w:t>
      </w:r>
      <w:r>
        <w:rPr>
          <w:rFonts w:ascii="TimesTen-Roman" w:eastAsia="Calibri" w:hAnsi="TimesTen-Roman" w:cs="TimesTen-Roman"/>
          <w:color w:val="231F20"/>
          <w:sz w:val="24"/>
          <w:szCs w:val="24"/>
          <w:vertAlign w:val="subscript"/>
          <w:lang w:val="en-AU" w:eastAsia="en-AU"/>
        </w:rPr>
        <w:t>1</w:t>
      </w:r>
      <w:r>
        <w:rPr>
          <w:rFonts w:ascii="TimesTen-Italic" w:eastAsia="Calibri" w:hAnsi="TimesTen-Italic" w:cs="TimesTen-Italic"/>
          <w:i/>
          <w:iCs/>
          <w:color w:val="231F20"/>
          <w:sz w:val="24"/>
          <w:szCs w:val="24"/>
          <w:vertAlign w:val="subscript"/>
          <w:lang w:val="en-AU" w:eastAsia="en-AU"/>
        </w:rPr>
        <w:t>i</w:t>
      </w:r>
      <w:r>
        <w:rPr>
          <w:rFonts w:ascii="TimesTen-Italic" w:eastAsia="Calibri" w:hAnsi="TimesTen-Italic" w:cs="TimesTen-Italic"/>
          <w:i/>
          <w:iCs/>
          <w:color w:val="231F20"/>
          <w:sz w:val="24"/>
          <w:szCs w:val="24"/>
          <w:lang w:val="en-AU" w:eastAsia="en-AU"/>
        </w:rPr>
        <w:t xml:space="preserve"> </w:t>
      </w:r>
      <w:r>
        <w:rPr>
          <w:rFonts w:ascii="MTSYN" w:eastAsia="MTSYN" w:hAnsi="TimesTen-Italic" w:cs="MTSYN" w:hint="eastAsia"/>
          <w:color w:val="231F20"/>
          <w:sz w:val="24"/>
          <w:szCs w:val="24"/>
          <w:lang w:val="en-AU" w:eastAsia="en-AU"/>
        </w:rPr>
        <w:t xml:space="preserve">− </w:t>
      </w:r>
      <w:r>
        <w:rPr>
          <w:rFonts w:ascii="MTMI" w:eastAsia="Calibri" w:hAnsi="MTMI" w:cs="MTMI"/>
          <w:i/>
          <w:iCs/>
          <w:color w:val="231F20"/>
          <w:sz w:val="24"/>
          <w:szCs w:val="24"/>
          <w:lang w:val="en-AU" w:eastAsia="en-AU"/>
        </w:rPr>
        <w:t>λ</w:t>
      </w:r>
      <w:r>
        <w:rPr>
          <w:rFonts w:ascii="TimesTen-Roman" w:eastAsia="Calibri" w:hAnsi="TimesTen-Roman" w:cs="TimesTen-Roman"/>
          <w:color w:val="231F20"/>
          <w:sz w:val="24"/>
          <w:szCs w:val="24"/>
          <w:vertAlign w:val="subscript"/>
          <w:lang w:val="en-AU" w:eastAsia="en-AU"/>
        </w:rPr>
        <w:t>2</w:t>
      </w:r>
      <w:r>
        <w:rPr>
          <w:rFonts w:ascii="TimesTen-Italic" w:eastAsia="Calibri" w:hAnsi="TimesTen-Italic" w:cs="TimesTen-Italic"/>
          <w:i/>
          <w:iCs/>
          <w:color w:val="231F20"/>
          <w:sz w:val="24"/>
          <w:szCs w:val="24"/>
          <w:vertAlign w:val="subscript"/>
          <w:lang w:val="en-AU" w:eastAsia="en-AU"/>
        </w:rPr>
        <w:t>i</w:t>
      </w:r>
      <w:r>
        <w:rPr>
          <w:rFonts w:ascii="MTMI" w:eastAsia="Calibri" w:hAnsi="MTMI" w:cs="MTMI"/>
          <w:i/>
          <w:iCs/>
          <w:color w:val="231F20"/>
          <w:sz w:val="24"/>
          <w:szCs w:val="24"/>
          <w:lang w:val="en-AU" w:eastAsia="en-AU"/>
        </w:rPr>
        <w:t>)</w:t>
      </w:r>
      <w:r>
        <w:rPr>
          <w:rFonts w:ascii="TimesTen-Roman" w:eastAsia="Calibri" w:hAnsi="TimesTen-Roman" w:cs="TimesTen-Roman"/>
          <w:color w:val="231F20"/>
          <w:sz w:val="24"/>
          <w:szCs w:val="24"/>
          <w:lang w:val="en-AU" w:eastAsia="en-AU"/>
        </w:rPr>
        <w:t>.</w:t>
      </w:r>
    </w:p>
    <w:p>
      <w:pPr>
        <w:autoSpaceDE w:val="0"/>
        <w:autoSpaceDN w:val="0"/>
        <w:adjustRightInd w:val="0"/>
        <w:spacing w:after="0" w:line="480" w:lineRule="auto"/>
        <w:jc w:val="center"/>
        <w:rPr>
          <w:rFonts w:ascii="MTMI" w:eastAsia="Calibri" w:hAnsi="MTMI" w:cs="MTMI"/>
          <w:i/>
          <w:iCs/>
          <w:sz w:val="24"/>
          <w:szCs w:val="24"/>
          <w:lang w:val="fr-FR" w:eastAsia="en-AU"/>
        </w:rPr>
      </w:pPr>
      <w:r>
        <w:rPr>
          <w:rFonts w:ascii="TimesTen-Italic" w:eastAsia="Calibri" w:hAnsi="TimesTen-Italic" w:cs="TimesTen-Italic"/>
          <w:i/>
          <w:iCs/>
          <w:sz w:val="24"/>
          <w:szCs w:val="24"/>
          <w:lang w:val="fr-FR" w:eastAsia="en-AU"/>
        </w:rPr>
        <w:t>BH</w:t>
      </w:r>
      <w:r>
        <w:rPr>
          <w:rFonts w:ascii="TimesTen-Roman" w:eastAsia="Calibri" w:hAnsi="TimesTen-Roman" w:cs="TimesTen-Roman"/>
          <w:sz w:val="24"/>
          <w:szCs w:val="24"/>
          <w:vertAlign w:val="subscript"/>
          <w:lang w:val="fr-FR" w:eastAsia="en-AU"/>
        </w:rPr>
        <w:t>2</w:t>
      </w:r>
      <w:r>
        <w:rPr>
          <w:rFonts w:ascii="TimesTen-Roman" w:eastAsia="Calibri" w:hAnsi="TimesTen-Roman" w:cs="TimesTen-Roman"/>
          <w:sz w:val="24"/>
          <w:szCs w:val="24"/>
          <w:lang w:val="fr-FR" w:eastAsia="en-AU"/>
        </w:rPr>
        <w:t xml:space="preserve"> </w:t>
      </w:r>
      <w:r>
        <w:rPr>
          <w:rFonts w:ascii="MTSYN" w:eastAsia="MTSYN" w:hAnsi="TimesTen-Italic" w:cs="MTSYN" w:hint="eastAsia"/>
          <w:sz w:val="24"/>
          <w:szCs w:val="24"/>
          <w:lang w:val="fr-FR" w:eastAsia="en-AU"/>
        </w:rPr>
        <w:t>=</w:t>
      </w:r>
      <w:r>
        <w:rPr>
          <w:rFonts w:ascii="TimesTen-Italic" w:eastAsia="Calibri" w:hAnsi="TimesTen-Italic" w:cs="TimesTen-Italic"/>
          <w:i/>
          <w:iCs/>
          <w:sz w:val="24"/>
          <w:szCs w:val="24"/>
          <w:lang w:val="fr-FR" w:eastAsia="en-AU"/>
        </w:rPr>
        <w:t xml:space="preserve">E </w:t>
      </w:r>
      <w:r>
        <w:rPr>
          <w:rFonts w:ascii="MTMI" w:eastAsia="Calibri" w:hAnsi="MTMI" w:cs="MTMI"/>
          <w:i/>
          <w:iCs/>
          <w:sz w:val="24"/>
          <w:szCs w:val="24"/>
          <w:lang w:val="fr-FR" w:eastAsia="en-AU"/>
        </w:rPr>
        <w:t>(</w:t>
      </w:r>
      <w:r>
        <w:rPr>
          <w:rFonts w:ascii="TimesTen-Italic" w:eastAsia="Calibri" w:hAnsi="TimesTen-Italic" w:cs="TimesTen-Italic"/>
          <w:i/>
          <w:iCs/>
          <w:sz w:val="24"/>
          <w:szCs w:val="24"/>
          <w:lang w:val="fr-FR" w:eastAsia="en-AU"/>
        </w:rPr>
        <w:t>y</w:t>
      </w:r>
      <w:r>
        <w:rPr>
          <w:rFonts w:ascii="TimesTen-Roman" w:eastAsia="Calibri" w:hAnsi="TimesTen-Roman" w:cs="TimesTen-Roman"/>
          <w:sz w:val="24"/>
          <w:szCs w:val="24"/>
          <w:vertAlign w:val="subscript"/>
          <w:lang w:val="fr-FR" w:eastAsia="en-AU"/>
        </w:rPr>
        <w:t>2</w:t>
      </w:r>
      <w:r>
        <w:rPr>
          <w:rFonts w:ascii="TimesTen-Italic" w:eastAsia="Calibri" w:hAnsi="TimesTen-Italic" w:cs="TimesTen-Italic"/>
          <w:i/>
          <w:iCs/>
          <w:sz w:val="24"/>
          <w:szCs w:val="24"/>
          <w:vertAlign w:val="subscript"/>
          <w:lang w:val="fr-FR" w:eastAsia="en-AU"/>
        </w:rPr>
        <w:t>i</w:t>
      </w:r>
      <w:r>
        <w:rPr>
          <w:rFonts w:ascii="MTSYN" w:eastAsia="MTSYN" w:hAnsi="TimesTen-Italic" w:cs="MTSYN" w:hint="eastAsia"/>
          <w:sz w:val="24"/>
          <w:szCs w:val="24"/>
          <w:lang w:val="fr-FR" w:eastAsia="en-AU"/>
        </w:rPr>
        <w:t>|</w:t>
      </w:r>
      <w:r>
        <w:rPr>
          <w:rFonts w:ascii="TimesTen-Italic" w:eastAsia="Calibri" w:hAnsi="TimesTen-Italic" w:cs="TimesTen-Italic"/>
          <w:i/>
          <w:iCs/>
          <w:sz w:val="24"/>
          <w:szCs w:val="24"/>
          <w:lang w:val="fr-FR" w:eastAsia="en-AU"/>
        </w:rPr>
        <w:t>A</w:t>
      </w:r>
      <w:r>
        <w:rPr>
          <w:rFonts w:ascii="TimesTen-Italic" w:eastAsia="Calibri" w:hAnsi="TimesTen-Italic" w:cs="TimesTen-Italic"/>
          <w:i/>
          <w:iCs/>
          <w:sz w:val="24"/>
          <w:szCs w:val="24"/>
          <w:vertAlign w:val="subscript"/>
          <w:lang w:val="fr-FR" w:eastAsia="en-AU"/>
        </w:rPr>
        <w:t>i</w:t>
      </w:r>
      <w:r>
        <w:rPr>
          <w:rFonts w:ascii="TimesTen-Italic" w:eastAsia="Calibri" w:hAnsi="TimesTen-Italic" w:cs="TimesTen-Italic"/>
          <w:i/>
          <w:iCs/>
          <w:sz w:val="24"/>
          <w:szCs w:val="24"/>
          <w:lang w:val="fr-FR" w:eastAsia="en-AU"/>
        </w:rPr>
        <w:t xml:space="preserve"> </w:t>
      </w:r>
      <w:r>
        <w:rPr>
          <w:rFonts w:ascii="MTSYN" w:eastAsia="MTSYN" w:hAnsi="TimesTen-Italic" w:cs="MTSYN" w:hint="eastAsia"/>
          <w:sz w:val="24"/>
          <w:szCs w:val="24"/>
          <w:lang w:val="fr-FR" w:eastAsia="en-AU"/>
        </w:rPr>
        <w:t>=</w:t>
      </w:r>
      <w:r>
        <w:rPr>
          <w:rFonts w:ascii="TimesTen-Roman" w:eastAsia="Calibri" w:hAnsi="TimesTen-Roman" w:cs="TimesTen-Roman"/>
          <w:sz w:val="24"/>
          <w:szCs w:val="24"/>
          <w:lang w:val="fr-FR" w:eastAsia="en-AU"/>
        </w:rPr>
        <w:t>1</w:t>
      </w:r>
      <w:r>
        <w:rPr>
          <w:rFonts w:ascii="MTMI" w:eastAsia="Calibri" w:hAnsi="MTMI" w:cs="MTMI"/>
          <w:i/>
          <w:iCs/>
          <w:sz w:val="24"/>
          <w:szCs w:val="24"/>
          <w:lang w:val="fr-FR" w:eastAsia="en-AU"/>
        </w:rPr>
        <w:t xml:space="preserve">) </w:t>
      </w:r>
      <w:r>
        <w:rPr>
          <w:rFonts w:ascii="MTSYN" w:eastAsia="MTSYN" w:hAnsi="TimesTen-Italic" w:cs="MTSYN"/>
          <w:sz w:val="24"/>
          <w:szCs w:val="24"/>
          <w:lang w:val="fr-FR" w:eastAsia="en-AU"/>
        </w:rPr>
        <w:t>–</w:t>
      </w:r>
      <w:r>
        <w:rPr>
          <w:rFonts w:ascii="MTSYN" w:eastAsia="MTSYN" w:hAnsi="TimesTen-Italic" w:cs="MTSYN" w:hint="eastAsia"/>
          <w:sz w:val="24"/>
          <w:szCs w:val="24"/>
          <w:lang w:val="fr-FR" w:eastAsia="en-AU"/>
        </w:rPr>
        <w:t xml:space="preserve"> </w:t>
      </w:r>
      <w:r>
        <w:rPr>
          <w:rFonts w:ascii="TimesTen-Italic" w:eastAsia="Calibri" w:hAnsi="TimesTen-Italic" w:cs="TimesTen-Italic"/>
          <w:i/>
          <w:iCs/>
          <w:sz w:val="24"/>
          <w:szCs w:val="24"/>
          <w:lang w:val="fr-FR" w:eastAsia="en-AU"/>
        </w:rPr>
        <w:t xml:space="preserve">E </w:t>
      </w:r>
      <w:r>
        <w:rPr>
          <w:rFonts w:ascii="MTMI" w:eastAsia="Calibri" w:hAnsi="MTMI" w:cs="MTMI"/>
          <w:i/>
          <w:iCs/>
          <w:sz w:val="24"/>
          <w:szCs w:val="24"/>
          <w:lang w:val="fr-FR" w:eastAsia="en-AU"/>
        </w:rPr>
        <w:t>(</w:t>
      </w:r>
      <w:r>
        <w:rPr>
          <w:rFonts w:ascii="TimesTen-Italic" w:eastAsia="Calibri" w:hAnsi="TimesTen-Italic" w:cs="TimesTen-Italic"/>
          <w:i/>
          <w:iCs/>
          <w:sz w:val="24"/>
          <w:szCs w:val="24"/>
          <w:lang w:val="fr-FR" w:eastAsia="en-AU"/>
        </w:rPr>
        <w:t>y</w:t>
      </w:r>
      <w:r>
        <w:rPr>
          <w:rFonts w:ascii="TimesTen-Roman" w:eastAsia="Calibri" w:hAnsi="TimesTen-Roman" w:cs="TimesTen-Roman"/>
          <w:sz w:val="24"/>
          <w:szCs w:val="24"/>
          <w:vertAlign w:val="subscript"/>
          <w:lang w:val="fr-FR" w:eastAsia="en-AU"/>
        </w:rPr>
        <w:t>2</w:t>
      </w:r>
      <w:r>
        <w:rPr>
          <w:rFonts w:ascii="TimesTen-Italic" w:eastAsia="Calibri" w:hAnsi="TimesTen-Italic" w:cs="TimesTen-Italic"/>
          <w:i/>
          <w:iCs/>
          <w:sz w:val="24"/>
          <w:szCs w:val="24"/>
          <w:vertAlign w:val="subscript"/>
          <w:lang w:val="fr-FR" w:eastAsia="en-AU"/>
        </w:rPr>
        <w:t>i</w:t>
      </w:r>
      <w:r>
        <w:rPr>
          <w:rFonts w:ascii="MTSYN" w:eastAsia="MTSYN" w:hAnsi="TimesTen-Italic" w:cs="MTSYN" w:hint="eastAsia"/>
          <w:sz w:val="24"/>
          <w:szCs w:val="24"/>
          <w:lang w:val="fr-FR" w:eastAsia="en-AU"/>
        </w:rPr>
        <w:t>|</w:t>
      </w:r>
      <w:r>
        <w:rPr>
          <w:rFonts w:ascii="TimesTen-Italic" w:eastAsia="Calibri" w:hAnsi="TimesTen-Italic" w:cs="TimesTen-Italic"/>
          <w:i/>
          <w:iCs/>
          <w:sz w:val="24"/>
          <w:szCs w:val="24"/>
          <w:lang w:val="fr-FR" w:eastAsia="en-AU"/>
        </w:rPr>
        <w:t>A</w:t>
      </w:r>
      <w:r>
        <w:rPr>
          <w:rFonts w:ascii="TimesTen-Italic" w:eastAsia="Calibri" w:hAnsi="TimesTen-Italic" w:cs="TimesTen-Italic"/>
          <w:i/>
          <w:iCs/>
          <w:sz w:val="24"/>
          <w:szCs w:val="24"/>
          <w:vertAlign w:val="subscript"/>
          <w:lang w:val="fr-FR" w:eastAsia="en-AU"/>
        </w:rPr>
        <w:t>i</w:t>
      </w:r>
      <w:r>
        <w:rPr>
          <w:rFonts w:ascii="TimesTen-Roman" w:eastAsia="Calibri" w:hAnsi="TimesTen-Roman" w:cs="TimesTen-Roman"/>
          <w:sz w:val="24"/>
          <w:szCs w:val="24"/>
          <w:lang w:val="fr-FR" w:eastAsia="en-AU"/>
        </w:rPr>
        <w:t xml:space="preserve"> </w:t>
      </w:r>
      <w:r>
        <w:rPr>
          <w:rFonts w:ascii="MTSYN" w:eastAsia="MTSYN" w:hAnsi="TimesTen-Italic" w:cs="MTSYN" w:hint="eastAsia"/>
          <w:sz w:val="24"/>
          <w:szCs w:val="24"/>
          <w:lang w:val="fr-FR" w:eastAsia="en-AU"/>
        </w:rPr>
        <w:t>=</w:t>
      </w:r>
      <w:r>
        <w:rPr>
          <w:rFonts w:ascii="TimesTen-Roman" w:eastAsia="Calibri" w:hAnsi="TimesTen-Roman" w:cs="TimesTen-Roman"/>
          <w:sz w:val="24"/>
          <w:szCs w:val="24"/>
          <w:lang w:val="fr-FR" w:eastAsia="en-AU"/>
        </w:rPr>
        <w:t>0</w:t>
      </w:r>
      <w:r>
        <w:rPr>
          <w:rFonts w:ascii="MTMI" w:eastAsia="Calibri" w:hAnsi="MTMI" w:cs="MTMI"/>
          <w:i/>
          <w:iCs/>
          <w:sz w:val="24"/>
          <w:szCs w:val="24"/>
          <w:lang w:val="fr-FR" w:eastAsia="en-AU"/>
        </w:rPr>
        <w:t>)</w:t>
      </w:r>
    </w:p>
    <w:p>
      <w:pPr>
        <w:spacing w:after="200" w:line="480" w:lineRule="auto"/>
        <w:jc w:val="center"/>
        <w:rPr>
          <w:rFonts w:ascii="TimesTen-Roman" w:eastAsia="Calibri" w:hAnsi="TimesTen-Roman" w:cs="TimesTen-Roman"/>
          <w:sz w:val="24"/>
          <w:szCs w:val="24"/>
          <w:lang w:val="en-AU" w:eastAsia="en-AU"/>
        </w:rPr>
      </w:pPr>
      <w:r>
        <w:rPr>
          <w:rFonts w:ascii="MTSYN" w:eastAsia="MTSYN" w:hAnsi="TimesTen-Italic" w:cs="MTSYN" w:hint="eastAsia"/>
          <w:sz w:val="24"/>
          <w:szCs w:val="24"/>
          <w:lang w:val="en-AU" w:eastAsia="en-AU"/>
        </w:rPr>
        <w:t>=</w:t>
      </w:r>
      <w:r>
        <w:rPr>
          <w:rFonts w:ascii="MTSYN" w:eastAsia="MTSYN" w:hAnsi="TimesTen-Italic" w:cs="MTSYN"/>
          <w:sz w:val="24"/>
          <w:szCs w:val="24"/>
          <w:lang w:val="en-AU" w:eastAsia="en-AU"/>
        </w:rPr>
        <w:t xml:space="preserve"> </w:t>
      </w:r>
      <w:r>
        <w:rPr>
          <w:rFonts w:ascii="MTMI" w:eastAsia="Calibri" w:hAnsi="MTMI" w:cs="MTMI"/>
          <w:i/>
          <w:iCs/>
          <w:sz w:val="24"/>
          <w:szCs w:val="24"/>
          <w:lang w:val="en-AU" w:eastAsia="en-AU"/>
        </w:rPr>
        <w:t>(</w:t>
      </w:r>
      <w:r>
        <w:rPr>
          <w:rFonts w:ascii="TimesTen-Bold" w:eastAsia="Calibri" w:hAnsi="TimesTen-Bold" w:cs="TimesTen-Bold"/>
          <w:b/>
          <w:bCs/>
          <w:sz w:val="24"/>
          <w:szCs w:val="24"/>
          <w:lang w:val="en-AU" w:eastAsia="en-AU"/>
        </w:rPr>
        <w:t>X</w:t>
      </w:r>
      <w:r>
        <w:rPr>
          <w:rFonts w:ascii="TimesTen-Bold" w:eastAsia="Calibri" w:hAnsi="TimesTen-Bold" w:cs="TimesTen-Bold"/>
          <w:b/>
          <w:bCs/>
          <w:sz w:val="24"/>
          <w:szCs w:val="24"/>
          <w:vertAlign w:val="subscript"/>
          <w:lang w:val="en-AU" w:eastAsia="en-AU"/>
        </w:rPr>
        <w:t xml:space="preserve">1i </w:t>
      </w:r>
      <w:r>
        <w:rPr>
          <w:rFonts w:ascii="MTSYN" w:eastAsia="MTSYN" w:hAnsi="TimesTen-Italic" w:cs="MTSYN" w:hint="eastAsia"/>
          <w:sz w:val="24"/>
          <w:szCs w:val="24"/>
          <w:lang w:val="en-AU" w:eastAsia="en-AU"/>
        </w:rPr>
        <w:t xml:space="preserve">− </w:t>
      </w:r>
      <w:r>
        <w:rPr>
          <w:rFonts w:ascii="TimesTen-Bold" w:eastAsia="Calibri" w:hAnsi="TimesTen-Bold" w:cs="TimesTen-Bold"/>
          <w:b/>
          <w:bCs/>
          <w:sz w:val="24"/>
          <w:szCs w:val="24"/>
          <w:lang w:val="en-AU" w:eastAsia="en-AU"/>
        </w:rPr>
        <w:t>X</w:t>
      </w:r>
      <w:r>
        <w:rPr>
          <w:rFonts w:ascii="TimesTen-Bold" w:eastAsia="Calibri" w:hAnsi="TimesTen-Bold" w:cs="TimesTen-Bold"/>
          <w:b/>
          <w:bCs/>
          <w:sz w:val="24"/>
          <w:szCs w:val="24"/>
          <w:vertAlign w:val="subscript"/>
          <w:lang w:val="en-AU" w:eastAsia="en-AU"/>
        </w:rPr>
        <w:t>2i</w:t>
      </w:r>
      <w:r>
        <w:rPr>
          <w:rFonts w:ascii="MTMI" w:eastAsia="Calibri" w:hAnsi="MTMI" w:cs="MTMI"/>
          <w:i/>
          <w:iCs/>
          <w:sz w:val="24"/>
          <w:szCs w:val="24"/>
          <w:lang w:val="en-AU" w:eastAsia="en-AU"/>
        </w:rPr>
        <w:t>)*</w:t>
      </w:r>
      <w:r>
        <w:rPr>
          <w:rFonts w:ascii="MTGUB" w:eastAsia="Calibri" w:hAnsi="MTGUB" w:cs="MTGUB"/>
          <w:b/>
          <w:bCs/>
          <w:sz w:val="24"/>
          <w:szCs w:val="24"/>
          <w:lang w:val="en-AU" w:eastAsia="en-AU"/>
        </w:rPr>
        <w:t>β</w:t>
      </w:r>
      <w:r>
        <w:rPr>
          <w:rFonts w:ascii="TimesTen-Bold" w:eastAsia="Calibri" w:hAnsi="TimesTen-Bold" w:cs="TimesTen-Bold"/>
          <w:b/>
          <w:bCs/>
          <w:sz w:val="24"/>
          <w:szCs w:val="24"/>
          <w:vertAlign w:val="subscript"/>
          <w:lang w:val="en-AU" w:eastAsia="en-AU"/>
        </w:rPr>
        <w:t>2i</w:t>
      </w:r>
      <w:r>
        <w:rPr>
          <w:rFonts w:ascii="TimesTen-Bold" w:eastAsia="Calibri" w:hAnsi="TimesTen-Bold" w:cs="TimesTen-Bold"/>
          <w:b/>
          <w:bCs/>
          <w:sz w:val="24"/>
          <w:szCs w:val="24"/>
          <w:lang w:val="en-AU" w:eastAsia="en-AU"/>
        </w:rPr>
        <w:t xml:space="preserve"> </w:t>
      </w:r>
      <w:r>
        <w:rPr>
          <w:rFonts w:ascii="MTSYN" w:eastAsia="MTSYN" w:hAnsi="TimesTen-Italic" w:cs="MTSYN" w:hint="eastAsia"/>
          <w:sz w:val="24"/>
          <w:szCs w:val="24"/>
          <w:lang w:val="en-AU" w:eastAsia="en-AU"/>
        </w:rPr>
        <w:t xml:space="preserve">+ </w:t>
      </w:r>
      <w:r>
        <w:rPr>
          <w:rFonts w:ascii="MTMI" w:eastAsia="Calibri" w:hAnsi="MTMI" w:cs="MTMI"/>
          <w:i/>
          <w:iCs/>
          <w:sz w:val="24"/>
          <w:szCs w:val="24"/>
          <w:lang w:val="en-AU" w:eastAsia="en-AU"/>
        </w:rPr>
        <w:t>σ</w:t>
      </w:r>
      <w:r>
        <w:rPr>
          <w:rFonts w:ascii="TimesTen-Roman" w:eastAsia="Calibri" w:hAnsi="TimesTen-Roman" w:cs="TimesTen-Roman"/>
          <w:sz w:val="24"/>
          <w:szCs w:val="24"/>
          <w:vertAlign w:val="subscript"/>
          <w:lang w:val="en-AU" w:eastAsia="en-AU"/>
        </w:rPr>
        <w:t>2</w:t>
      </w:r>
      <w:r>
        <w:rPr>
          <w:rFonts w:ascii="MTMI" w:eastAsia="Calibri" w:hAnsi="MTMI" w:cs="MTMI"/>
          <w:i/>
          <w:iCs/>
          <w:sz w:val="24"/>
          <w:szCs w:val="24"/>
          <w:vertAlign w:val="subscript"/>
          <w:lang w:val="en-AU" w:eastAsia="en-AU"/>
        </w:rPr>
        <w:t>η</w:t>
      </w:r>
      <w:r>
        <w:rPr>
          <w:rFonts w:ascii="MTMI" w:eastAsia="Calibri" w:hAnsi="MTMI" w:cs="MTMI"/>
          <w:i/>
          <w:iCs/>
          <w:sz w:val="24"/>
          <w:szCs w:val="24"/>
          <w:lang w:val="en-AU" w:eastAsia="en-AU"/>
        </w:rPr>
        <w:t>*(λ</w:t>
      </w:r>
      <w:r>
        <w:rPr>
          <w:rFonts w:ascii="TimesTen-Roman" w:eastAsia="Calibri" w:hAnsi="TimesTen-Roman" w:cs="TimesTen-Roman"/>
          <w:sz w:val="24"/>
          <w:szCs w:val="24"/>
          <w:vertAlign w:val="subscript"/>
          <w:lang w:val="en-AU" w:eastAsia="en-AU"/>
        </w:rPr>
        <w:t>1</w:t>
      </w:r>
      <w:r>
        <w:rPr>
          <w:rFonts w:ascii="TimesTen-Italic" w:eastAsia="Calibri" w:hAnsi="TimesTen-Italic" w:cs="TimesTen-Italic"/>
          <w:i/>
          <w:iCs/>
          <w:sz w:val="24"/>
          <w:szCs w:val="24"/>
          <w:vertAlign w:val="subscript"/>
          <w:lang w:val="en-AU" w:eastAsia="en-AU"/>
        </w:rPr>
        <w:t>i</w:t>
      </w:r>
      <w:r>
        <w:rPr>
          <w:rFonts w:ascii="TimesTen-Italic" w:eastAsia="Calibri" w:hAnsi="TimesTen-Italic" w:cs="TimesTen-Italic"/>
          <w:i/>
          <w:iCs/>
          <w:sz w:val="24"/>
          <w:szCs w:val="24"/>
          <w:lang w:val="en-AU" w:eastAsia="en-AU"/>
        </w:rPr>
        <w:t xml:space="preserve"> </w:t>
      </w:r>
      <w:r>
        <w:rPr>
          <w:rFonts w:ascii="MTSYN" w:eastAsia="MTSYN" w:hAnsi="TimesTen-Italic" w:cs="MTSYN" w:hint="eastAsia"/>
          <w:sz w:val="24"/>
          <w:szCs w:val="24"/>
          <w:lang w:val="en-AU" w:eastAsia="en-AU"/>
        </w:rPr>
        <w:t xml:space="preserve">− </w:t>
      </w:r>
      <w:r>
        <w:rPr>
          <w:rFonts w:ascii="MTMI" w:eastAsia="Calibri" w:hAnsi="MTMI" w:cs="MTMI"/>
          <w:i/>
          <w:iCs/>
          <w:sz w:val="24"/>
          <w:szCs w:val="24"/>
          <w:lang w:val="en-AU" w:eastAsia="en-AU"/>
        </w:rPr>
        <w:t>λ</w:t>
      </w:r>
      <w:r>
        <w:rPr>
          <w:rFonts w:ascii="TimesTen-Roman" w:eastAsia="Calibri" w:hAnsi="TimesTen-Roman" w:cs="TimesTen-Roman"/>
          <w:sz w:val="24"/>
          <w:szCs w:val="24"/>
          <w:vertAlign w:val="subscript"/>
          <w:lang w:val="en-AU" w:eastAsia="en-AU"/>
        </w:rPr>
        <w:t>2</w:t>
      </w:r>
      <w:r>
        <w:rPr>
          <w:rFonts w:ascii="TimesTen-Italic" w:eastAsia="Calibri" w:hAnsi="TimesTen-Italic" w:cs="TimesTen-Italic"/>
          <w:i/>
          <w:iCs/>
          <w:sz w:val="24"/>
          <w:szCs w:val="24"/>
          <w:vertAlign w:val="subscript"/>
          <w:lang w:val="en-AU" w:eastAsia="en-AU"/>
        </w:rPr>
        <w:t>i</w:t>
      </w:r>
      <w:r>
        <w:rPr>
          <w:rFonts w:ascii="MTMI" w:eastAsia="Calibri" w:hAnsi="MTMI" w:cs="MTMI"/>
          <w:i/>
          <w:iCs/>
          <w:sz w:val="24"/>
          <w:szCs w:val="24"/>
          <w:lang w:val="en-AU" w:eastAsia="en-AU"/>
        </w:rPr>
        <w:t>)</w:t>
      </w:r>
      <w:r>
        <w:rPr>
          <w:rFonts w:ascii="TimesTen-Roman" w:eastAsia="Calibri" w:hAnsi="TimesTen-Roman" w:cs="TimesTen-Roman"/>
          <w:sz w:val="24"/>
          <w:szCs w:val="24"/>
          <w:lang w:val="en-AU" w:eastAsia="en-AU"/>
        </w:rPr>
        <w:t>.</w:t>
      </w:r>
    </w:p>
    <w:p>
      <w:pPr>
        <w:spacing w:after="200" w:line="480" w:lineRule="auto"/>
        <w:rPr>
          <w:rFonts w:ascii="Times New Roman" w:eastAsia="Times New Roman" w:hAnsi="Times New Roman" w:cs="Times New Roman"/>
          <w:sz w:val="24"/>
          <w:szCs w:val="24"/>
          <w:lang w:val="en-AU" w:eastAsia="en-AU"/>
        </w:rPr>
      </w:pPr>
      <w:r>
        <w:rPr>
          <w:rFonts w:ascii="TimesTen-Bold" w:eastAsia="Times New Roman" w:hAnsi="TimesTen-Bold" w:cs="TimesTen-Bold"/>
          <w:bCs/>
          <w:sz w:val="20"/>
          <w:szCs w:val="20"/>
          <w:lang w:val="en-AU" w:eastAsia="en-AU"/>
        </w:rPr>
        <w:t>Where</w:t>
      </w:r>
      <m:oMath>
        <m:r>
          <w:rPr>
            <w:rFonts w:ascii="Cambria Math" w:eastAsia="Times New Roman" w:hAnsi="Cambria Math" w:cs="Times New Roman"/>
            <w:sz w:val="24"/>
            <w:szCs w:val="24"/>
            <w:lang w:val="en-AU" w:eastAsia="en-AU"/>
          </w:rPr>
          <m:t>Ai =1</m:t>
        </m:r>
      </m:oMath>
      <w:r>
        <w:rPr>
          <w:rFonts w:ascii="Times New Roman" w:eastAsia="Times New Roman" w:hAnsi="Times New Roman" w:cs="Times New Roman"/>
          <w:sz w:val="24"/>
          <w:szCs w:val="24"/>
          <w:lang w:val="en-AU" w:eastAsia="en-AU"/>
        </w:rPr>
        <w:t xml:space="preserve"> If farm households actually adopted improved </w:t>
      </w:r>
      <w:r>
        <w:rPr>
          <w:rFonts w:ascii="Times New Roman" w:hAnsi="Times New Roman" w:cs="Times New Roman"/>
          <w:color w:val="000000" w:themeColor="text1"/>
          <w:sz w:val="24"/>
          <w:lang w:val="en-US"/>
        </w:rPr>
        <w:t>faba bean</w:t>
      </w:r>
      <w:r>
        <w:rPr>
          <w:rFonts w:ascii="Times New Roman" w:eastAsia="Times New Roman" w:hAnsi="Times New Roman" w:cs="Times New Roman"/>
          <w:sz w:val="24"/>
          <w:szCs w:val="24"/>
          <w:lang w:val="en-AU" w:eastAsia="en-AU"/>
        </w:rPr>
        <w:t>;</w:t>
      </w:r>
      <m:oMath>
        <m:r>
          <w:rPr>
            <w:rFonts w:ascii="Cambria Math" w:eastAsia="Times New Roman" w:hAnsi="Cambria Math" w:cs="Times New Roman"/>
            <w:sz w:val="24"/>
            <w:szCs w:val="24"/>
            <w:lang w:val="en-AU" w:eastAsia="en-AU"/>
          </w:rPr>
          <m:t xml:space="preserve"> Ai =0</m:t>
        </m:r>
      </m:oMath>
      <w:r>
        <w:rPr>
          <w:rFonts w:ascii="Times New Roman" w:eastAsia="Times New Roman" w:hAnsi="Times New Roman" w:cs="Times New Roman"/>
          <w:sz w:val="24"/>
          <w:szCs w:val="24"/>
          <w:lang w:val="en-AU" w:eastAsia="en-AU"/>
        </w:rPr>
        <w:t xml:space="preserve"> if farm households did not actually adopt;</w:t>
      </w:r>
    </w:p>
    <w:p>
      <w:pPr>
        <w:spacing w:after="200" w:line="480" w:lineRule="auto"/>
        <w:rPr>
          <w:rFonts w:ascii="Times New Roman" w:eastAsia="Times New Roman" w:hAnsi="Times New Roman" w:cs="Times New Roman"/>
          <w:sz w:val="24"/>
          <w:szCs w:val="24"/>
          <w:lang w:val="en-AU" w:eastAsia="en-AU"/>
        </w:rPr>
      </w:pPr>
      <m:oMath>
        <m:r>
          <w:rPr>
            <w:rFonts w:ascii="Cambria Math" w:eastAsia="Times New Roman" w:hAnsi="Cambria Math" w:cs="Times New Roman"/>
            <w:sz w:val="24"/>
            <w:szCs w:val="24"/>
            <w:lang w:val="en-AU" w:eastAsia="en-AU"/>
          </w:rPr>
          <m:t>Y1i</m:t>
        </m:r>
      </m:oMath>
      <w:r>
        <w:rPr>
          <w:rFonts w:ascii="Times New Roman" w:eastAsia="Times New Roman" w:hAnsi="Times New Roman" w:cs="Times New Roman"/>
          <w:sz w:val="24"/>
          <w:szCs w:val="24"/>
          <w:lang w:val="en-AU" w:eastAsia="en-AU"/>
        </w:rPr>
        <w:t xml:space="preserve"> : Net income if farm households were to adopt;</w:t>
      </w:r>
    </w:p>
    <w:p>
      <w:pPr>
        <w:spacing w:after="200" w:line="480" w:lineRule="auto"/>
        <w:rPr>
          <w:rFonts w:ascii="Times New Roman" w:eastAsia="Times New Roman" w:hAnsi="Times New Roman" w:cs="Times New Roman"/>
          <w:sz w:val="24"/>
          <w:szCs w:val="24"/>
          <w:lang w:val="en-AU" w:eastAsia="en-AU"/>
        </w:rPr>
      </w:pPr>
      <m:oMath>
        <m:r>
          <w:rPr>
            <w:rFonts w:ascii="Cambria Math" w:eastAsia="Times New Roman" w:hAnsi="Cambria Math" w:cs="Times New Roman"/>
            <w:sz w:val="24"/>
            <w:szCs w:val="24"/>
            <w:lang w:val="en-AU" w:eastAsia="en-AU"/>
          </w:rPr>
          <m:t xml:space="preserve">Y2i </m:t>
        </m:r>
      </m:oMath>
      <w:r>
        <w:rPr>
          <w:rFonts w:ascii="Times New Roman" w:eastAsia="Times New Roman" w:hAnsi="Times New Roman" w:cs="Times New Roman"/>
          <w:sz w:val="24"/>
          <w:szCs w:val="24"/>
          <w:lang w:val="en-AU" w:eastAsia="en-AU"/>
        </w:rPr>
        <w:t>: Net income if farm households were to not adopt;</w:t>
      </w:r>
    </w:p>
    <w:p>
      <w:pPr>
        <w:spacing w:after="200" w:line="480" w:lineRule="auto"/>
        <w:rPr>
          <w:rFonts w:ascii="TimesTen-Bold" w:eastAsia="Times New Roman" w:hAnsi="TimesTen-Bold" w:cs="TimesTen-Bold"/>
          <w:b/>
          <w:bCs/>
          <w:sz w:val="20"/>
          <w:szCs w:val="20"/>
          <w:lang w:val="en-AU" w:eastAsia="en-AU"/>
        </w:rPr>
      </w:pPr>
    </w:p>
    <w:p>
      <w:pPr>
        <w:spacing w:after="200" w:line="480" w:lineRule="auto"/>
        <w:rPr>
          <w:rFonts w:ascii="TimesTen-Bold" w:eastAsia="Times New Roman" w:hAnsi="TimesTen-Bold" w:cs="TimesTen-Bold"/>
          <w:b/>
          <w:bCs/>
          <w:sz w:val="20"/>
          <w:szCs w:val="20"/>
          <w:lang w:val="en-AU" w:eastAsia="en-AU"/>
        </w:rPr>
      </w:pPr>
    </w:p>
    <w:p>
      <w:pPr>
        <w:spacing w:after="200" w:line="480" w:lineRule="auto"/>
        <w:rPr>
          <w:rFonts w:ascii="TimesTen-Bold" w:eastAsia="Times New Roman" w:hAnsi="TimesTen-Bold" w:cs="TimesTen-Bold"/>
          <w:b/>
          <w:bCs/>
          <w:sz w:val="20"/>
          <w:szCs w:val="20"/>
          <w:lang w:val="en-AU" w:eastAsia="en-AU"/>
        </w:rPr>
      </w:pPr>
    </w:p>
    <w:p>
      <w:pPr>
        <w:spacing w:after="200" w:line="480" w:lineRule="auto"/>
        <w:rPr>
          <w:rFonts w:ascii="TimesTen-Bold" w:eastAsia="Times New Roman" w:hAnsi="TimesTen-Bold" w:cs="TimesTen-Bold"/>
          <w:b/>
          <w:bCs/>
          <w:sz w:val="20"/>
          <w:szCs w:val="20"/>
          <w:lang w:val="en-AU" w:eastAsia="en-AU"/>
        </w:rPr>
      </w:pPr>
    </w:p>
    <w:p>
      <w:pPr>
        <w:spacing w:after="200" w:line="480" w:lineRule="auto"/>
        <w:rPr>
          <w:rFonts w:ascii="TimesTen-Bold" w:eastAsia="Times New Roman" w:hAnsi="TimesTen-Bold" w:cs="TimesTen-Bold"/>
          <w:b/>
          <w:bCs/>
          <w:sz w:val="20"/>
          <w:szCs w:val="20"/>
          <w:lang w:val="en-AU" w:eastAsia="en-AU"/>
        </w:rPr>
      </w:pPr>
      <w:r>
        <w:rPr>
          <w:rFonts w:ascii="TimesTen-Bold" w:eastAsia="Times New Roman" w:hAnsi="TimesTen-Bold" w:cs="TimesTen-Bold"/>
          <w:b/>
          <w:bCs/>
          <w:sz w:val="20"/>
          <w:szCs w:val="20"/>
          <w:lang w:val="en-AU" w:eastAsia="en-AU"/>
        </w:rPr>
        <w:lastRenderedPageBreak/>
        <w:t>Table (1) Average Expected Net income (SP/ha); Treatment and Heterogeneity Effects</w:t>
      </w:r>
    </w:p>
    <w:tbl>
      <w:tblPr>
        <w:tblStyle w:val="TableGrid"/>
        <w:tblW w:w="5367" w:type="pct"/>
        <w:jc w:val="center"/>
        <w:tblLook w:val="04A0" w:firstRow="1" w:lastRow="0" w:firstColumn="1" w:lastColumn="0" w:noHBand="0" w:noVBand="1"/>
      </w:tblPr>
      <w:tblGrid>
        <w:gridCol w:w="3268"/>
        <w:gridCol w:w="2125"/>
        <w:gridCol w:w="2160"/>
        <w:gridCol w:w="1352"/>
      </w:tblGrid>
      <w:tr>
        <w:trPr>
          <w:trHeight w:val="432"/>
          <w:jc w:val="center"/>
        </w:trPr>
        <w:tc>
          <w:tcPr>
            <w:tcW w:w="1835" w:type="pct"/>
          </w:tcPr>
          <w:p>
            <w:pPr>
              <w:spacing w:line="480" w:lineRule="auto"/>
              <w:rPr>
                <w:sz w:val="24"/>
              </w:rPr>
            </w:pPr>
          </w:p>
        </w:tc>
        <w:tc>
          <w:tcPr>
            <w:tcW w:w="2405" w:type="pct"/>
            <w:gridSpan w:val="2"/>
          </w:tcPr>
          <w:p>
            <w:pPr>
              <w:spacing w:line="480" w:lineRule="auto"/>
              <w:jc w:val="center"/>
              <w:rPr>
                <w:sz w:val="24"/>
              </w:rPr>
            </w:pPr>
            <w:r>
              <w:rPr>
                <w:sz w:val="24"/>
              </w:rPr>
              <w:t>Decision Stage</w:t>
            </w:r>
          </w:p>
        </w:tc>
        <w:tc>
          <w:tcPr>
            <w:tcW w:w="759" w:type="pct"/>
          </w:tcPr>
          <w:p>
            <w:pPr>
              <w:spacing w:line="480" w:lineRule="auto"/>
              <w:rPr>
                <w:sz w:val="24"/>
              </w:rPr>
            </w:pPr>
          </w:p>
        </w:tc>
      </w:tr>
      <w:tr>
        <w:trPr>
          <w:trHeight w:val="432"/>
          <w:jc w:val="center"/>
        </w:trPr>
        <w:tc>
          <w:tcPr>
            <w:tcW w:w="1835" w:type="pct"/>
          </w:tcPr>
          <w:p>
            <w:pPr>
              <w:spacing w:line="480" w:lineRule="auto"/>
              <w:rPr>
                <w:sz w:val="24"/>
              </w:rPr>
            </w:pPr>
            <w:r>
              <w:rPr>
                <w:sz w:val="24"/>
              </w:rPr>
              <w:t>Subsamples Effects</w:t>
            </w:r>
          </w:p>
        </w:tc>
        <w:tc>
          <w:tcPr>
            <w:tcW w:w="1193" w:type="pct"/>
          </w:tcPr>
          <w:p>
            <w:pPr>
              <w:spacing w:line="480" w:lineRule="auto"/>
              <w:rPr>
                <w:sz w:val="24"/>
              </w:rPr>
            </w:pPr>
            <w:r>
              <w:rPr>
                <w:sz w:val="24"/>
              </w:rPr>
              <w:t>To Adopt</w:t>
            </w:r>
          </w:p>
        </w:tc>
        <w:tc>
          <w:tcPr>
            <w:tcW w:w="1213" w:type="pct"/>
          </w:tcPr>
          <w:p>
            <w:pPr>
              <w:spacing w:line="480" w:lineRule="auto"/>
              <w:rPr>
                <w:sz w:val="24"/>
              </w:rPr>
            </w:pPr>
            <w:r>
              <w:rPr>
                <w:sz w:val="24"/>
              </w:rPr>
              <w:t>Not to Adopt</w:t>
            </w:r>
          </w:p>
        </w:tc>
        <w:tc>
          <w:tcPr>
            <w:tcW w:w="759" w:type="pct"/>
          </w:tcPr>
          <w:p>
            <w:pPr>
              <w:spacing w:line="480" w:lineRule="auto"/>
              <w:rPr>
                <w:sz w:val="24"/>
              </w:rPr>
            </w:pPr>
            <w:r>
              <w:rPr>
                <w:sz w:val="24"/>
              </w:rPr>
              <w:t>Treatment</w:t>
            </w:r>
          </w:p>
        </w:tc>
      </w:tr>
      <w:tr>
        <w:trPr>
          <w:trHeight w:val="432"/>
          <w:jc w:val="center"/>
        </w:trPr>
        <w:tc>
          <w:tcPr>
            <w:tcW w:w="1835" w:type="pct"/>
          </w:tcPr>
          <w:p>
            <w:pPr>
              <w:spacing w:line="480" w:lineRule="auto"/>
              <w:rPr>
                <w:sz w:val="24"/>
              </w:rPr>
            </w:pPr>
            <w:r>
              <w:rPr>
                <w:sz w:val="24"/>
              </w:rPr>
              <w:t>Farm households that adopted</w:t>
            </w:r>
          </w:p>
        </w:tc>
        <w:tc>
          <w:tcPr>
            <w:tcW w:w="1193" w:type="pct"/>
            <w:vAlign w:val="center"/>
          </w:tcPr>
          <w:p>
            <w:pPr>
              <w:spacing w:line="480" w:lineRule="auto"/>
              <w:rPr>
                <w:sz w:val="24"/>
              </w:rPr>
            </w:pPr>
            <w:r>
              <w:rPr>
                <w:sz w:val="24"/>
              </w:rPr>
              <w:t>(a)</w:t>
            </w:r>
            <m:oMath>
              <m:r>
                <w:rPr>
                  <w:rFonts w:ascii="Cambria Math" w:hAnsi="Cambria Math"/>
                  <w:sz w:val="24"/>
                </w:rPr>
                <m:t xml:space="preserve"> E(y1i</m:t>
              </m:r>
              <m:r>
                <w:rPr>
                  <w:rFonts w:ascii="Cambria Math" w:eastAsia="MTSYN" w:hAnsi="Cambria Math"/>
                  <w:sz w:val="24"/>
                </w:rPr>
                <m:t>|</m:t>
              </m:r>
              <m:r>
                <w:rPr>
                  <w:rFonts w:ascii="Cambria Math" w:hAnsi="Cambria Math"/>
                  <w:sz w:val="24"/>
                </w:rPr>
                <m:t xml:space="preserve">Ai </m:t>
              </m:r>
              <m:r>
                <w:rPr>
                  <w:rFonts w:ascii="Cambria Math" w:eastAsia="MTSYN" w:hAnsi="Cambria Math"/>
                  <w:sz w:val="24"/>
                </w:rPr>
                <m:t>=</m:t>
              </m:r>
              <m:r>
                <w:rPr>
                  <w:rFonts w:ascii="Cambria Math" w:hAnsi="Cambria Math"/>
                  <w:sz w:val="24"/>
                </w:rPr>
                <m:t>1)</m:t>
              </m:r>
            </m:oMath>
          </w:p>
        </w:tc>
        <w:tc>
          <w:tcPr>
            <w:tcW w:w="1213" w:type="pct"/>
            <w:vAlign w:val="center"/>
          </w:tcPr>
          <w:p>
            <w:pPr>
              <w:spacing w:line="480" w:lineRule="auto"/>
              <w:rPr>
                <w:sz w:val="24"/>
              </w:rPr>
            </w:pPr>
            <w:r>
              <w:rPr>
                <w:sz w:val="24"/>
              </w:rPr>
              <w:t>(c)</w:t>
            </w:r>
            <m:oMath>
              <m:r>
                <w:rPr>
                  <w:rFonts w:ascii="Cambria Math" w:hAnsi="Cambria Math"/>
                  <w:sz w:val="24"/>
                </w:rPr>
                <m:t>E(y2i</m:t>
              </m:r>
              <m:r>
                <w:rPr>
                  <w:rFonts w:ascii="Cambria Math" w:eastAsia="MTSYN" w:hAnsi="Cambria Math"/>
                  <w:sz w:val="24"/>
                </w:rPr>
                <m:t>|</m:t>
              </m:r>
              <m:r>
                <w:rPr>
                  <w:rFonts w:ascii="Cambria Math" w:hAnsi="Cambria Math"/>
                  <w:sz w:val="24"/>
                </w:rPr>
                <m:t xml:space="preserve">Ai </m:t>
              </m:r>
              <m:r>
                <w:rPr>
                  <w:rFonts w:ascii="Cambria Math" w:eastAsia="MTSYN" w:hAnsi="Cambria Math"/>
                  <w:sz w:val="24"/>
                </w:rPr>
                <m:t>=</m:t>
              </m:r>
              <m:r>
                <w:rPr>
                  <w:rFonts w:ascii="Cambria Math" w:hAnsi="Cambria Math"/>
                  <w:sz w:val="24"/>
                </w:rPr>
                <m:t>1)</m:t>
              </m:r>
            </m:oMath>
          </w:p>
        </w:tc>
        <w:tc>
          <w:tcPr>
            <w:tcW w:w="759" w:type="pct"/>
          </w:tcPr>
          <w:p>
            <w:pPr>
              <w:spacing w:line="480" w:lineRule="auto"/>
              <w:jc w:val="center"/>
              <w:rPr>
                <w:sz w:val="24"/>
              </w:rPr>
            </w:pPr>
            <w:r>
              <w:rPr>
                <w:sz w:val="24"/>
              </w:rPr>
              <w:t>TT</w:t>
            </w:r>
          </w:p>
        </w:tc>
      </w:tr>
      <w:tr>
        <w:trPr>
          <w:trHeight w:val="432"/>
          <w:jc w:val="center"/>
        </w:trPr>
        <w:tc>
          <w:tcPr>
            <w:tcW w:w="1835" w:type="pct"/>
          </w:tcPr>
          <w:p>
            <w:pPr>
              <w:spacing w:line="480" w:lineRule="auto"/>
              <w:rPr>
                <w:sz w:val="24"/>
              </w:rPr>
            </w:pPr>
            <w:r>
              <w:rPr>
                <w:sz w:val="24"/>
              </w:rPr>
              <w:t>Farm households that did not adopt</w:t>
            </w:r>
          </w:p>
        </w:tc>
        <w:tc>
          <w:tcPr>
            <w:tcW w:w="1193" w:type="pct"/>
            <w:vAlign w:val="center"/>
          </w:tcPr>
          <w:p>
            <w:pPr>
              <w:spacing w:line="480" w:lineRule="auto"/>
              <w:rPr>
                <w:sz w:val="24"/>
              </w:rPr>
            </w:pPr>
            <w:r>
              <w:rPr>
                <w:sz w:val="24"/>
              </w:rPr>
              <w:t>(d)</w:t>
            </w:r>
            <m:oMath>
              <m:r>
                <w:rPr>
                  <w:rFonts w:ascii="Cambria Math" w:hAnsi="Cambria Math"/>
                  <w:sz w:val="24"/>
                </w:rPr>
                <m:t>E(y1i</m:t>
              </m:r>
              <m:r>
                <w:rPr>
                  <w:rFonts w:ascii="Cambria Math" w:eastAsia="MTSYN" w:hAnsi="Cambria Math"/>
                  <w:sz w:val="24"/>
                </w:rPr>
                <m:t>|</m:t>
              </m:r>
              <m:r>
                <w:rPr>
                  <w:rFonts w:ascii="Cambria Math" w:hAnsi="Cambria Math"/>
                  <w:sz w:val="24"/>
                </w:rPr>
                <m:t xml:space="preserve">Ai </m:t>
              </m:r>
              <m:r>
                <w:rPr>
                  <w:rFonts w:ascii="Cambria Math" w:eastAsia="MTSYN" w:hAnsi="Cambria Math"/>
                  <w:sz w:val="24"/>
                </w:rPr>
                <m:t>=</m:t>
              </m:r>
              <m:r>
                <w:rPr>
                  <w:rFonts w:ascii="Cambria Math" w:hAnsi="Cambria Math"/>
                  <w:sz w:val="24"/>
                </w:rPr>
                <m:t>0)</m:t>
              </m:r>
            </m:oMath>
          </w:p>
        </w:tc>
        <w:tc>
          <w:tcPr>
            <w:tcW w:w="1213" w:type="pct"/>
            <w:vAlign w:val="center"/>
          </w:tcPr>
          <w:p>
            <w:pPr>
              <w:spacing w:line="480" w:lineRule="auto"/>
              <w:rPr>
                <w:sz w:val="24"/>
              </w:rPr>
            </w:pPr>
            <w:r>
              <w:rPr>
                <w:sz w:val="24"/>
              </w:rPr>
              <w:t>(b)</w:t>
            </w:r>
            <m:oMath>
              <m:r>
                <w:rPr>
                  <w:rFonts w:ascii="Cambria Math" w:hAnsi="Cambria Math"/>
                  <w:sz w:val="24"/>
                </w:rPr>
                <m:t>E(y2i</m:t>
              </m:r>
              <m:r>
                <w:rPr>
                  <w:rFonts w:ascii="Cambria Math" w:eastAsia="MTSYN" w:hAnsi="Cambria Math"/>
                  <w:sz w:val="24"/>
                </w:rPr>
                <m:t>|</m:t>
              </m:r>
              <m:r>
                <w:rPr>
                  <w:rFonts w:ascii="Cambria Math" w:hAnsi="Cambria Math"/>
                  <w:sz w:val="24"/>
                </w:rPr>
                <m:t xml:space="preserve">Ai </m:t>
              </m:r>
              <m:r>
                <w:rPr>
                  <w:rFonts w:ascii="Cambria Math" w:eastAsia="MTSYN" w:hAnsi="Cambria Math"/>
                  <w:sz w:val="24"/>
                </w:rPr>
                <m:t>=</m:t>
              </m:r>
              <m:r>
                <w:rPr>
                  <w:rFonts w:ascii="Cambria Math" w:hAnsi="Cambria Math"/>
                  <w:sz w:val="24"/>
                </w:rPr>
                <m:t>0)</m:t>
              </m:r>
            </m:oMath>
          </w:p>
        </w:tc>
        <w:tc>
          <w:tcPr>
            <w:tcW w:w="759" w:type="pct"/>
          </w:tcPr>
          <w:p>
            <w:pPr>
              <w:spacing w:line="480" w:lineRule="auto"/>
              <w:jc w:val="center"/>
              <w:rPr>
                <w:sz w:val="24"/>
              </w:rPr>
            </w:pPr>
            <w:r>
              <w:rPr>
                <w:sz w:val="24"/>
              </w:rPr>
              <w:t>TU</w:t>
            </w:r>
          </w:p>
        </w:tc>
      </w:tr>
      <w:tr>
        <w:trPr>
          <w:trHeight w:val="432"/>
          <w:jc w:val="center"/>
        </w:trPr>
        <w:tc>
          <w:tcPr>
            <w:tcW w:w="1835" w:type="pct"/>
          </w:tcPr>
          <w:p>
            <w:pPr>
              <w:spacing w:line="480" w:lineRule="auto"/>
              <w:rPr>
                <w:sz w:val="24"/>
              </w:rPr>
            </w:pPr>
            <w:r>
              <w:rPr>
                <w:sz w:val="24"/>
              </w:rPr>
              <w:t>Heterogeneity effects</w:t>
            </w:r>
          </w:p>
        </w:tc>
        <w:tc>
          <w:tcPr>
            <w:tcW w:w="1193" w:type="pct"/>
          </w:tcPr>
          <w:p>
            <w:pPr>
              <w:spacing w:line="480" w:lineRule="auto"/>
              <w:rPr>
                <w:sz w:val="24"/>
              </w:rPr>
            </w:pPr>
            <w:r>
              <w:rPr>
                <w:sz w:val="24"/>
              </w:rPr>
              <w:t>BH1</w:t>
            </w:r>
          </w:p>
        </w:tc>
        <w:tc>
          <w:tcPr>
            <w:tcW w:w="1213" w:type="pct"/>
          </w:tcPr>
          <w:p>
            <w:pPr>
              <w:spacing w:line="480" w:lineRule="auto"/>
              <w:rPr>
                <w:sz w:val="24"/>
              </w:rPr>
            </w:pPr>
            <w:r>
              <w:rPr>
                <w:sz w:val="24"/>
              </w:rPr>
              <w:t>BH2</w:t>
            </w:r>
          </w:p>
        </w:tc>
        <w:tc>
          <w:tcPr>
            <w:tcW w:w="759" w:type="pct"/>
          </w:tcPr>
          <w:p>
            <w:pPr>
              <w:spacing w:line="480" w:lineRule="auto"/>
              <w:jc w:val="center"/>
              <w:rPr>
                <w:sz w:val="24"/>
              </w:rPr>
            </w:pPr>
            <w:r>
              <w:rPr>
                <w:sz w:val="24"/>
              </w:rPr>
              <w:t>TH</w:t>
            </w:r>
          </w:p>
        </w:tc>
      </w:tr>
    </w:tbl>
    <w:p>
      <w:pPr>
        <w:spacing w:after="200" w:line="480" w:lineRule="auto"/>
        <w:rPr>
          <w:rFonts w:ascii="Calibri" w:eastAsia="Times New Roman" w:hAnsi="Calibri" w:cs="Arial"/>
          <w:lang w:val="en-AU" w:eastAsia="en-AU"/>
        </w:rPr>
      </w:pPr>
    </w:p>
    <w:p>
      <w:pPr>
        <w:spacing w:after="200" w:line="480" w:lineRule="auto"/>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Note: (a) and (b) represent the expected net income (SP/ha) of the typical adopter and the typical non-adopter respectively; (c) and (d) represent the counterfactual expected net incomes (SP/ha) of the typical adopter if they didn’t adopt and the typical non-adopter if instead they were to adopt respectively.</w:t>
      </w:r>
    </w:p>
    <w:p>
      <w:pPr>
        <w:autoSpaceDE w:val="0"/>
        <w:autoSpaceDN w:val="0"/>
        <w:adjustRightInd w:val="0"/>
        <w:spacing w:after="240" w:line="480" w:lineRule="auto"/>
        <w:jc w:val="both"/>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The Stata software (Stata, 2009) was used for all econometric estimation in this study.</w:t>
      </w:r>
    </w:p>
    <w:p>
      <w:pPr>
        <w:autoSpaceDE w:val="0"/>
        <w:autoSpaceDN w:val="0"/>
        <w:adjustRightInd w:val="0"/>
        <w:spacing w:after="240" w:line="480" w:lineRule="auto"/>
        <w:jc w:val="both"/>
        <w:rPr>
          <w:rFonts w:ascii="Times New Roman" w:eastAsia="Times New Roman" w:hAnsi="Times New Roman" w:cs="Times New Roman"/>
          <w:sz w:val="24"/>
          <w:szCs w:val="24"/>
          <w:lang w:val="en-AU" w:eastAsia="en-AU"/>
        </w:rPr>
      </w:pPr>
    </w:p>
    <w:p>
      <w:pPr>
        <w:widowControl w:val="0"/>
        <w:spacing w:after="0" w:line="480" w:lineRule="auto"/>
        <w:jc w:val="both"/>
        <w:rPr>
          <w:rFonts w:ascii="Times New Roman" w:eastAsia="Times New Roman" w:hAnsi="Times New Roman" w:cs="Times New Roman"/>
          <w:b/>
          <w:bCs/>
          <w:snapToGrid w:val="0"/>
          <w:sz w:val="24"/>
          <w:szCs w:val="24"/>
        </w:rPr>
      </w:pPr>
      <w:r>
        <w:rPr>
          <w:rFonts w:ascii="Times New Roman" w:eastAsia="Times New Roman" w:hAnsi="Times New Roman" w:cs="Times New Roman"/>
          <w:b/>
          <w:bCs/>
          <w:snapToGrid w:val="0"/>
          <w:sz w:val="24"/>
          <w:szCs w:val="24"/>
        </w:rPr>
        <w:t>3. Results and Discussions</w:t>
      </w:r>
    </w:p>
    <w:p>
      <w:pPr>
        <w:spacing w:after="0" w:line="480" w:lineRule="auto"/>
        <w:jc w:val="both"/>
        <w:rPr>
          <w:rFonts w:ascii="Times New Roman" w:hAnsi="Times New Roman" w:cs="Times New Roman"/>
          <w:color w:val="000000"/>
          <w:sz w:val="24"/>
          <w:szCs w:val="24"/>
        </w:rPr>
      </w:pPr>
      <w:r>
        <w:rPr>
          <w:rFonts w:ascii="Times New Roman" w:eastAsia="Times New Roman" w:hAnsi="Times New Roman" w:cs="Times New Roman"/>
          <w:b/>
          <w:bCs/>
          <w:snapToGrid w:val="0"/>
          <w:sz w:val="24"/>
          <w:szCs w:val="24"/>
        </w:rPr>
        <w:t xml:space="preserve">3.1 Factors affecting the decision and intensity of adoption </w:t>
      </w:r>
    </w:p>
    <w:p>
      <w:pPr>
        <w:spacing w:after="0" w:line="480" w:lineRule="auto"/>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The coefficients of the inverse mills ratios in the area under the new faba bean varieties equation has been found to be significant at 1%. The VIF and condition indices were also low showing that multicollinearity is not a problem. As a result, it is concluded that the Heckman selection model is appropriate for this equation.</w:t>
      </w:r>
    </w:p>
    <w:p>
      <w:pPr>
        <w:spacing w:after="0" w:line="480" w:lineRule="auto"/>
        <w:jc w:val="both"/>
        <w:rPr>
          <w:rFonts w:ascii="Times New Roman" w:eastAsia="Times New Roman" w:hAnsi="Times New Roman" w:cs="Times New Roman"/>
          <w:snapToGrid w:val="0"/>
          <w:sz w:val="24"/>
          <w:szCs w:val="24"/>
        </w:rPr>
      </w:pPr>
    </w:p>
    <w:p>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Model results show that size of area dedicated to faba bean has a significantly role in affecting farmers’ decision to whether adopt improved varieties of faba bean or not.  </w:t>
      </w:r>
    </w:p>
    <w:p>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Number of years of education and being active or leader in the community have positive and significant effect on the decision whether or not to adoption.  These results are valid as educated farmers are likely to better understand the benefits and also have the knowledge and skills to better manage new technology packages such as faba bean and other associated management practices including fertilization. </w:t>
      </w:r>
    </w:p>
    <w:p>
      <w:pPr>
        <w:spacing w:after="0" w:line="480" w:lineRule="auto"/>
        <w:jc w:val="both"/>
        <w:rPr>
          <w:rFonts w:ascii="Times New Roman" w:hAnsi="Times New Roman" w:cs="Times New Roman"/>
          <w:color w:val="000000" w:themeColor="text1"/>
          <w:sz w:val="24"/>
          <w:szCs w:val="24"/>
        </w:rPr>
      </w:pPr>
    </w:p>
    <w:p>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Farmers who are located in the favorable and intermediate zones of Morocco have higher propensity to adopt improved faba bean varieties than those in the unfavorable south or mountainous zones. Naturally, investment on new technologies are likely to lead to higher returns in favorable areas than unfavorable areas and hence these results don’t come by surprise. </w:t>
      </w:r>
    </w:p>
    <w:p>
      <w:pPr>
        <w:spacing w:after="0" w:line="480" w:lineRule="auto"/>
        <w:jc w:val="both"/>
        <w:rPr>
          <w:rFonts w:ascii="Times New Roman" w:hAnsi="Times New Roman" w:cs="Times New Roman"/>
          <w:color w:val="000000" w:themeColor="text1"/>
          <w:sz w:val="24"/>
          <w:szCs w:val="24"/>
        </w:rPr>
      </w:pPr>
    </w:p>
    <w:p>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Farmers who purchase certified seed are found to have higher tendency to adopt improved varieties than those who use uncertified seeds. This shows that certified seeds constitute more of improved varieties which are not too old than seeds which are uncertified. </w:t>
      </w:r>
    </w:p>
    <w:p>
      <w:pPr>
        <w:spacing w:after="0" w:line="480" w:lineRule="auto"/>
        <w:jc w:val="both"/>
        <w:rPr>
          <w:rFonts w:ascii="Times New Roman" w:hAnsi="Times New Roman" w:cs="Times New Roman"/>
          <w:color w:val="000000" w:themeColor="text1"/>
          <w:sz w:val="24"/>
          <w:szCs w:val="24"/>
        </w:rPr>
      </w:pPr>
    </w:p>
    <w:p>
      <w:pPr>
        <w:spacing w:after="0" w:line="480" w:lineRule="auto"/>
        <w:jc w:val="both"/>
        <w:rPr>
          <w:rFonts w:ascii="Times New Roman" w:hAnsi="Times New Roman" w:cs="Times New Roman"/>
          <w:color w:val="000000" w:themeColor="text1"/>
          <w:sz w:val="24"/>
          <w:szCs w:val="24"/>
        </w:rPr>
      </w:pPr>
    </w:p>
    <w:p>
      <w:pPr>
        <w:spacing w:after="0" w:line="480" w:lineRule="auto"/>
        <w:jc w:val="both"/>
        <w:rPr>
          <w:rFonts w:ascii="Times New Roman" w:hAnsi="Times New Roman" w:cs="Times New Roman"/>
          <w:color w:val="000000" w:themeColor="text1"/>
          <w:sz w:val="24"/>
          <w:szCs w:val="24"/>
        </w:rPr>
      </w:pPr>
    </w:p>
    <w:p>
      <w:pPr>
        <w:spacing w:after="0" w:line="480" w:lineRule="auto"/>
        <w:jc w:val="both"/>
        <w:rPr>
          <w:rFonts w:ascii="Times New Roman" w:hAnsi="Times New Roman" w:cs="Times New Roman"/>
          <w:color w:val="000000" w:themeColor="text1"/>
          <w:sz w:val="24"/>
          <w:szCs w:val="24"/>
        </w:rPr>
      </w:pPr>
    </w:p>
    <w:p>
      <w:pPr>
        <w:spacing w:before="100" w:beforeAutospacing="1" w:after="100" w:afterAutospacing="1" w:line="480" w:lineRule="auto"/>
        <w:outlineLvl w:val="0"/>
        <w:rPr>
          <w:rFonts w:ascii="Times New Roman" w:eastAsia="Times New Roman" w:hAnsi="Times New Roman" w:cs="Times New Roman"/>
          <w:snapToGrid w:val="0"/>
          <w:sz w:val="24"/>
          <w:szCs w:val="24"/>
        </w:rPr>
        <w:sectPr>
          <w:footerReference w:type="default" r:id="rId13"/>
          <w:pgSz w:w="11906" w:h="16838"/>
          <w:pgMar w:top="1440" w:right="1800" w:bottom="1440" w:left="1800" w:header="708" w:footer="708" w:gutter="0"/>
          <w:lnNumType w:countBy="1" w:restart="continuous"/>
          <w:cols w:space="708"/>
          <w:docGrid w:linePitch="360"/>
        </w:sectPr>
      </w:pPr>
    </w:p>
    <w:p>
      <w:pPr>
        <w:spacing w:before="100" w:beforeAutospacing="1" w:after="100" w:afterAutospacing="1" w:line="480" w:lineRule="auto"/>
        <w:outlineLvl w:val="0"/>
        <w:rPr>
          <w:rFonts w:ascii="Times New Roman" w:eastAsia="Times New Roman" w:hAnsi="Times New Roman" w:cs="Times New Roman"/>
          <w:snapToGrid w:val="0"/>
          <w:sz w:val="24"/>
          <w:szCs w:val="24"/>
          <w:lang w:val="en-US" w:bidi="ar-SY"/>
        </w:rPr>
      </w:pPr>
      <w:r>
        <w:rPr>
          <w:rFonts w:ascii="Times New Roman" w:eastAsia="Times New Roman" w:hAnsi="Times New Roman" w:cs="Times New Roman"/>
          <w:snapToGrid w:val="0"/>
          <w:sz w:val="24"/>
          <w:szCs w:val="24"/>
        </w:rPr>
        <w:lastRenderedPageBreak/>
        <w:t>Table 1: Coefficient estimates of</w:t>
      </w:r>
      <w:r>
        <w:rPr>
          <w:rFonts w:ascii="Times New Roman" w:eastAsia="Times New Roman" w:hAnsi="Times New Roman" w:cs="Times New Roman"/>
          <w:snapToGrid w:val="0"/>
          <w:sz w:val="24"/>
          <w:szCs w:val="24"/>
          <w:lang w:val="en-US"/>
        </w:rPr>
        <w:t xml:space="preserve"> the Heckman selection model</w:t>
      </w:r>
      <w:r>
        <w:rPr>
          <w:rFonts w:ascii="Times New Roman" w:eastAsia="Times New Roman" w:hAnsi="Times New Roman" w:cs="Times New Roman"/>
          <w:snapToGrid w:val="0"/>
          <w:sz w:val="24"/>
          <w:szCs w:val="24"/>
          <w:lang w:val="en-US" w:bidi="ar-SY"/>
        </w:rPr>
        <w:t>.</w:t>
      </w:r>
    </w:p>
    <w:tbl>
      <w:tblPr>
        <w:tblpPr w:leftFromText="187" w:rightFromText="187" w:vertAnchor="text" w:horzAnchor="margin" w:tblpXSpec="center" w:tblpY="1"/>
        <w:tblOverlap w:val="never"/>
        <w:tblW w:w="9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4169"/>
        <w:gridCol w:w="873"/>
        <w:gridCol w:w="1418"/>
        <w:gridCol w:w="1080"/>
        <w:gridCol w:w="871"/>
        <w:gridCol w:w="992"/>
      </w:tblGrid>
      <w:tr>
        <w:trPr>
          <w:trHeight w:val="20"/>
        </w:trPr>
        <w:tc>
          <w:tcPr>
            <w:tcW w:w="4169" w:type="dxa"/>
            <w:vMerge w:val="restart"/>
            <w:shd w:val="clear" w:color="auto" w:fill="auto"/>
            <w:noWrap/>
            <w:tcMar>
              <w:left w:w="29" w:type="dxa"/>
              <w:right w:w="29" w:type="dxa"/>
            </w:tcMar>
            <w:vAlign w:val="bottom"/>
            <w:hideMark/>
          </w:tcPr>
          <w:p>
            <w:pPr>
              <w:widowControl w:val="0"/>
              <w:spacing w:after="0" w:line="360" w:lineRule="auto"/>
              <w:jc w:val="center"/>
              <w:rPr>
                <w:rFonts w:ascii="Times New Roman" w:eastAsia="Times New Roman" w:hAnsi="Times New Roman" w:cs="Times New Roman"/>
                <w:bCs/>
                <w:snapToGrid w:val="0"/>
                <w:color w:val="000000"/>
                <w:sz w:val="20"/>
                <w:szCs w:val="20"/>
                <w:lang w:val="en-US"/>
              </w:rPr>
            </w:pPr>
            <w:r>
              <w:rPr>
                <w:rFonts w:ascii="Times New Roman" w:eastAsia="Times New Roman" w:hAnsi="Times New Roman" w:cs="Times New Roman"/>
                <w:bCs/>
                <w:snapToGrid w:val="0"/>
                <w:color w:val="000000"/>
                <w:sz w:val="20"/>
                <w:szCs w:val="20"/>
                <w:lang w:val="en-US"/>
              </w:rPr>
              <w:t>Variables</w:t>
            </w:r>
          </w:p>
        </w:tc>
        <w:tc>
          <w:tcPr>
            <w:tcW w:w="2291" w:type="dxa"/>
            <w:gridSpan w:val="2"/>
          </w:tcPr>
          <w:p>
            <w:pPr>
              <w:widowControl w:val="0"/>
              <w:spacing w:after="0" w:line="360" w:lineRule="auto"/>
              <w:jc w:val="center"/>
              <w:rPr>
                <w:rFonts w:ascii="Times New Roman" w:eastAsia="Times New Roman" w:hAnsi="Times New Roman" w:cs="Times New Roman"/>
                <w:bCs/>
                <w:snapToGrid w:val="0"/>
                <w:color w:val="000000"/>
                <w:sz w:val="20"/>
                <w:szCs w:val="20"/>
                <w:lang w:val="en-US"/>
              </w:rPr>
            </w:pPr>
            <w:r>
              <w:rPr>
                <w:rFonts w:ascii="Times New Roman" w:eastAsia="Times New Roman" w:hAnsi="Times New Roman" w:cs="Times New Roman"/>
                <w:bCs/>
                <w:snapToGrid w:val="0"/>
                <w:color w:val="000000"/>
                <w:sz w:val="20"/>
                <w:szCs w:val="20"/>
                <w:lang w:val="en-US"/>
              </w:rPr>
              <w:t>Outcome Equations</w:t>
            </w:r>
          </w:p>
        </w:tc>
        <w:tc>
          <w:tcPr>
            <w:tcW w:w="1951" w:type="dxa"/>
            <w:gridSpan w:val="2"/>
            <w:tcMar>
              <w:left w:w="29" w:type="dxa"/>
              <w:right w:w="29" w:type="dxa"/>
            </w:tcMar>
            <w:vAlign w:val="center"/>
          </w:tcPr>
          <w:p>
            <w:pPr>
              <w:widowControl w:val="0"/>
              <w:spacing w:after="0" w:line="360" w:lineRule="auto"/>
              <w:rPr>
                <w:rFonts w:ascii="Times New Roman" w:eastAsia="Times New Roman" w:hAnsi="Times New Roman" w:cs="Times New Roman"/>
                <w:bCs/>
                <w:snapToGrid w:val="0"/>
                <w:color w:val="000000"/>
                <w:sz w:val="20"/>
                <w:szCs w:val="20"/>
                <w:lang w:val="en-US"/>
              </w:rPr>
            </w:pPr>
            <w:r>
              <w:rPr>
                <w:rFonts w:ascii="Times New Roman" w:eastAsia="Times New Roman" w:hAnsi="Times New Roman" w:cs="Times New Roman"/>
                <w:bCs/>
                <w:snapToGrid w:val="0"/>
                <w:color w:val="000000"/>
                <w:sz w:val="20"/>
                <w:szCs w:val="20"/>
                <w:lang w:val="en-US"/>
              </w:rPr>
              <w:t>Selection equation</w:t>
            </w:r>
          </w:p>
        </w:tc>
        <w:tc>
          <w:tcPr>
            <w:tcW w:w="992" w:type="dxa"/>
            <w:vAlign w:val="center"/>
          </w:tcPr>
          <w:p>
            <w:pPr>
              <w:widowControl w:val="0"/>
              <w:spacing w:after="0" w:line="360" w:lineRule="auto"/>
              <w:jc w:val="center"/>
              <w:rPr>
                <w:rFonts w:ascii="Times New Roman" w:eastAsia="Times New Roman" w:hAnsi="Times New Roman" w:cs="Times New Roman"/>
                <w:bCs/>
                <w:snapToGrid w:val="0"/>
                <w:color w:val="000000"/>
                <w:sz w:val="20"/>
                <w:szCs w:val="20"/>
                <w:lang w:val="en-US"/>
              </w:rPr>
            </w:pPr>
            <w:r>
              <w:rPr>
                <w:rFonts w:ascii="Times New Roman" w:eastAsia="Times New Roman" w:hAnsi="Times New Roman" w:cs="Times New Roman"/>
                <w:bCs/>
                <w:snapToGrid w:val="0"/>
                <w:color w:val="000000"/>
                <w:sz w:val="20"/>
                <w:szCs w:val="20"/>
                <w:lang w:val="en-US"/>
              </w:rPr>
              <w:t>Marginal effects</w:t>
            </w:r>
          </w:p>
        </w:tc>
      </w:tr>
      <w:tr>
        <w:trPr>
          <w:trHeight w:val="20"/>
        </w:trPr>
        <w:tc>
          <w:tcPr>
            <w:tcW w:w="4169" w:type="dxa"/>
            <w:vMerge/>
            <w:shd w:val="clear" w:color="auto" w:fill="auto"/>
            <w:noWrap/>
            <w:tcMar>
              <w:left w:w="29" w:type="dxa"/>
              <w:right w:w="29" w:type="dxa"/>
            </w:tcMar>
            <w:vAlign w:val="center"/>
            <w:hideMark/>
          </w:tcPr>
          <w:p>
            <w:pPr>
              <w:widowControl w:val="0"/>
              <w:spacing w:after="0" w:line="360" w:lineRule="auto"/>
              <w:rPr>
                <w:rFonts w:ascii="Times New Roman" w:eastAsia="Times New Roman" w:hAnsi="Times New Roman" w:cs="Times New Roman"/>
                <w:bCs/>
                <w:snapToGrid w:val="0"/>
                <w:color w:val="000000"/>
                <w:sz w:val="20"/>
                <w:szCs w:val="20"/>
                <w:lang w:val="en-US"/>
              </w:rPr>
            </w:pPr>
          </w:p>
        </w:tc>
        <w:tc>
          <w:tcPr>
            <w:tcW w:w="2291" w:type="dxa"/>
            <w:gridSpan w:val="2"/>
            <w:shd w:val="clear" w:color="auto" w:fill="auto"/>
            <w:noWrap/>
            <w:tcMar>
              <w:left w:w="29" w:type="dxa"/>
              <w:right w:w="29" w:type="dxa"/>
            </w:tcMar>
            <w:vAlign w:val="bottom"/>
            <w:hideMark/>
          </w:tcPr>
          <w:p>
            <w:pPr>
              <w:widowControl w:val="0"/>
              <w:spacing w:after="0" w:line="360" w:lineRule="auto"/>
              <w:jc w:val="center"/>
              <w:rPr>
                <w:rFonts w:ascii="Times New Roman" w:eastAsia="Times New Roman" w:hAnsi="Times New Roman" w:cs="Times New Roman"/>
                <w:bCs/>
                <w:snapToGrid w:val="0"/>
                <w:color w:val="000000"/>
                <w:sz w:val="20"/>
                <w:szCs w:val="20"/>
                <w:lang w:val="en-US"/>
              </w:rPr>
            </w:pPr>
            <w:r>
              <w:rPr>
                <w:rFonts w:ascii="Times New Roman" w:eastAsia="Times New Roman" w:hAnsi="Times New Roman" w:cs="Times New Roman"/>
                <w:snapToGrid w:val="0"/>
                <w:color w:val="000000"/>
                <w:sz w:val="20"/>
                <w:szCs w:val="20"/>
                <w:lang w:val="en-US"/>
              </w:rPr>
              <w:t>Area under the new varieties</w:t>
            </w:r>
          </w:p>
        </w:tc>
        <w:tc>
          <w:tcPr>
            <w:tcW w:w="1951" w:type="dxa"/>
            <w:gridSpan w:val="2"/>
            <w:tcMar>
              <w:left w:w="29" w:type="dxa"/>
              <w:right w:w="29" w:type="dxa"/>
            </w:tcMar>
            <w:vAlign w:val="bottom"/>
          </w:tcPr>
          <w:p>
            <w:pPr>
              <w:widowControl w:val="0"/>
              <w:spacing w:after="0" w:line="360" w:lineRule="auto"/>
              <w:jc w:val="center"/>
              <w:rPr>
                <w:rFonts w:ascii="Times New Roman" w:eastAsia="Times New Roman" w:hAnsi="Times New Roman" w:cs="Times New Roman"/>
                <w:bCs/>
                <w:snapToGrid w:val="0"/>
                <w:color w:val="000000"/>
                <w:sz w:val="20"/>
                <w:szCs w:val="20"/>
                <w:lang w:val="en-US"/>
              </w:rPr>
            </w:pPr>
            <w:r>
              <w:rPr>
                <w:rFonts w:ascii="Times New Roman" w:eastAsia="Times New Roman" w:hAnsi="Times New Roman" w:cs="Times New Roman"/>
                <w:bCs/>
                <w:snapToGrid w:val="0"/>
                <w:color w:val="000000"/>
                <w:sz w:val="20"/>
                <w:szCs w:val="20"/>
                <w:lang w:val="en-US"/>
              </w:rPr>
              <w:t>Adoption dummy</w:t>
            </w:r>
          </w:p>
        </w:tc>
        <w:tc>
          <w:tcPr>
            <w:tcW w:w="992" w:type="dxa"/>
            <w:vMerge w:val="restart"/>
          </w:tcPr>
          <w:p>
            <w:pPr>
              <w:widowControl w:val="0"/>
              <w:spacing w:after="0" w:line="360" w:lineRule="auto"/>
              <w:jc w:val="center"/>
              <w:rPr>
                <w:rFonts w:ascii="Times New Roman" w:eastAsia="Times New Roman" w:hAnsi="Times New Roman" w:cs="Times New Roman"/>
                <w:bCs/>
                <w:snapToGrid w:val="0"/>
                <w:color w:val="000000"/>
                <w:sz w:val="20"/>
                <w:szCs w:val="20"/>
                <w:lang w:val="en-US"/>
              </w:rPr>
            </w:pPr>
          </w:p>
        </w:tc>
      </w:tr>
      <w:tr>
        <w:trPr>
          <w:trHeight w:val="20"/>
        </w:trPr>
        <w:tc>
          <w:tcPr>
            <w:tcW w:w="4169" w:type="dxa"/>
            <w:vMerge/>
            <w:shd w:val="clear" w:color="auto" w:fill="auto"/>
            <w:noWrap/>
            <w:tcMar>
              <w:left w:w="29" w:type="dxa"/>
              <w:right w:w="29" w:type="dxa"/>
            </w:tcMar>
            <w:vAlign w:val="center"/>
            <w:hideMark/>
          </w:tcPr>
          <w:p>
            <w:pPr>
              <w:widowControl w:val="0"/>
              <w:spacing w:after="0" w:line="360" w:lineRule="auto"/>
              <w:rPr>
                <w:rFonts w:ascii="Times New Roman" w:eastAsia="Times New Roman" w:hAnsi="Times New Roman" w:cs="Times New Roman"/>
                <w:bCs/>
                <w:snapToGrid w:val="0"/>
                <w:color w:val="000000"/>
                <w:sz w:val="20"/>
                <w:szCs w:val="20"/>
                <w:lang w:val="en-US"/>
              </w:rPr>
            </w:pPr>
          </w:p>
        </w:tc>
        <w:tc>
          <w:tcPr>
            <w:tcW w:w="873" w:type="dxa"/>
            <w:shd w:val="clear" w:color="auto" w:fill="auto"/>
            <w:noWrap/>
            <w:tcMar>
              <w:left w:w="29" w:type="dxa"/>
              <w:right w:w="29" w:type="dxa"/>
            </w:tcMar>
            <w:vAlign w:val="center"/>
            <w:hideMark/>
          </w:tcPr>
          <w:p>
            <w:pPr>
              <w:widowControl w:val="0"/>
              <w:suppressAutoHyphens/>
              <w:spacing w:after="0" w:line="360" w:lineRule="auto"/>
              <w:rPr>
                <w:rFonts w:ascii="Times New Roman" w:eastAsia="Times New Roman" w:hAnsi="Times New Roman" w:cs="Times New Roman"/>
                <w:bCs/>
                <w:snapToGrid w:val="0"/>
                <w:color w:val="000000"/>
                <w:sz w:val="20"/>
                <w:szCs w:val="20"/>
                <w:lang w:val="en-US"/>
              </w:rPr>
            </w:pPr>
            <w:r>
              <w:rPr>
                <w:rFonts w:ascii="Times New Roman" w:eastAsia="Times New Roman" w:hAnsi="Times New Roman" w:cs="Times New Roman"/>
                <w:bCs/>
                <w:snapToGrid w:val="0"/>
                <w:color w:val="000000"/>
                <w:sz w:val="20"/>
                <w:szCs w:val="20"/>
                <w:lang w:val="en-US"/>
              </w:rPr>
              <w:t>Coef.</w:t>
            </w:r>
          </w:p>
        </w:tc>
        <w:tc>
          <w:tcPr>
            <w:tcW w:w="1418" w:type="dxa"/>
            <w:shd w:val="clear" w:color="auto" w:fill="auto"/>
            <w:noWrap/>
            <w:tcMar>
              <w:left w:w="29" w:type="dxa"/>
              <w:right w:w="29" w:type="dxa"/>
            </w:tcMar>
            <w:vAlign w:val="center"/>
            <w:hideMark/>
          </w:tcPr>
          <w:p>
            <w:pPr>
              <w:widowControl w:val="0"/>
              <w:suppressAutoHyphens/>
              <w:spacing w:after="0" w:line="360" w:lineRule="auto"/>
              <w:rPr>
                <w:rFonts w:ascii="Times New Roman" w:eastAsia="Times New Roman" w:hAnsi="Times New Roman" w:cs="Times New Roman"/>
                <w:bCs/>
                <w:snapToGrid w:val="0"/>
                <w:color w:val="000000"/>
                <w:sz w:val="20"/>
                <w:szCs w:val="20"/>
                <w:lang w:val="en-US"/>
              </w:rPr>
            </w:pPr>
            <w:r>
              <w:rPr>
                <w:rFonts w:ascii="Times New Roman" w:eastAsia="Times New Roman" w:hAnsi="Times New Roman" w:cs="Times New Roman"/>
                <w:bCs/>
                <w:snapToGrid w:val="0"/>
                <w:color w:val="000000"/>
                <w:sz w:val="20"/>
                <w:szCs w:val="20"/>
                <w:lang w:val="en-US"/>
              </w:rPr>
              <w:t>Std.Er.</w:t>
            </w:r>
          </w:p>
        </w:tc>
        <w:tc>
          <w:tcPr>
            <w:tcW w:w="1080" w:type="dxa"/>
            <w:tcMar>
              <w:left w:w="29" w:type="dxa"/>
              <w:right w:w="29" w:type="dxa"/>
            </w:tcMar>
            <w:vAlign w:val="center"/>
          </w:tcPr>
          <w:p>
            <w:pPr>
              <w:widowControl w:val="0"/>
              <w:suppressAutoHyphens/>
              <w:spacing w:after="0" w:line="360" w:lineRule="auto"/>
              <w:rPr>
                <w:rFonts w:ascii="Times New Roman" w:eastAsia="Times New Roman" w:hAnsi="Times New Roman" w:cs="Times New Roman"/>
                <w:bCs/>
                <w:snapToGrid w:val="0"/>
                <w:color w:val="000000"/>
                <w:sz w:val="20"/>
                <w:szCs w:val="20"/>
                <w:lang w:val="en-US"/>
              </w:rPr>
            </w:pPr>
            <w:r>
              <w:rPr>
                <w:rFonts w:ascii="Times New Roman" w:eastAsia="Times New Roman" w:hAnsi="Times New Roman" w:cs="Times New Roman"/>
                <w:bCs/>
                <w:snapToGrid w:val="0"/>
                <w:color w:val="000000"/>
                <w:sz w:val="20"/>
                <w:szCs w:val="20"/>
                <w:lang w:val="en-US"/>
              </w:rPr>
              <w:t>Coef.</w:t>
            </w:r>
          </w:p>
        </w:tc>
        <w:tc>
          <w:tcPr>
            <w:tcW w:w="871" w:type="dxa"/>
            <w:tcMar>
              <w:left w:w="29" w:type="dxa"/>
              <w:right w:w="29" w:type="dxa"/>
            </w:tcMar>
            <w:vAlign w:val="center"/>
          </w:tcPr>
          <w:p>
            <w:pPr>
              <w:widowControl w:val="0"/>
              <w:suppressAutoHyphens/>
              <w:spacing w:after="0" w:line="360" w:lineRule="auto"/>
              <w:rPr>
                <w:rFonts w:ascii="Times New Roman" w:eastAsia="Times New Roman" w:hAnsi="Times New Roman" w:cs="Times New Roman"/>
                <w:bCs/>
                <w:snapToGrid w:val="0"/>
                <w:color w:val="000000"/>
                <w:sz w:val="20"/>
                <w:szCs w:val="20"/>
                <w:lang w:val="en-US"/>
              </w:rPr>
            </w:pPr>
            <w:r>
              <w:rPr>
                <w:rFonts w:ascii="Times New Roman" w:eastAsia="Times New Roman" w:hAnsi="Times New Roman" w:cs="Times New Roman"/>
                <w:bCs/>
                <w:snapToGrid w:val="0"/>
                <w:color w:val="000000"/>
                <w:sz w:val="20"/>
                <w:szCs w:val="20"/>
                <w:lang w:val="en-US"/>
              </w:rPr>
              <w:t>Std.Er.</w:t>
            </w:r>
          </w:p>
        </w:tc>
        <w:tc>
          <w:tcPr>
            <w:tcW w:w="992" w:type="dxa"/>
            <w:vMerge/>
          </w:tcPr>
          <w:p>
            <w:pPr>
              <w:widowControl w:val="0"/>
              <w:suppressAutoHyphens/>
              <w:spacing w:after="0" w:line="360" w:lineRule="auto"/>
              <w:rPr>
                <w:rFonts w:ascii="Times New Roman" w:eastAsia="Times New Roman" w:hAnsi="Times New Roman" w:cs="Times New Roman"/>
                <w:bCs/>
                <w:snapToGrid w:val="0"/>
                <w:color w:val="000000"/>
                <w:sz w:val="20"/>
                <w:szCs w:val="20"/>
                <w:lang w:val="en-US"/>
              </w:rPr>
            </w:pPr>
          </w:p>
        </w:tc>
      </w:tr>
      <w:tr>
        <w:trPr>
          <w:trHeight w:val="20"/>
        </w:trPr>
        <w:tc>
          <w:tcPr>
            <w:tcW w:w="4169" w:type="dxa"/>
            <w:shd w:val="clear" w:color="auto" w:fill="auto"/>
            <w:noWrap/>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Age (Years)</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-0.113</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0.060</w:t>
            </w:r>
            <w:r>
              <w:rPr>
                <w:vertAlign w:val="superscript"/>
              </w:rPr>
              <w:t>*</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0.005</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0.015</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0.000</w:t>
            </w:r>
          </w:p>
        </w:tc>
      </w:tr>
      <w:tr>
        <w:trPr>
          <w:trHeight w:val="20"/>
        </w:trPr>
        <w:tc>
          <w:tcPr>
            <w:tcW w:w="4169" w:type="dxa"/>
            <w:shd w:val="clear" w:color="auto" w:fill="auto"/>
            <w:noWrap/>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Number of years of education</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0.140</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0.037</w:t>
            </w:r>
            <w:r>
              <w:rPr>
                <w:vertAlign w:val="superscript"/>
              </w:rPr>
              <w:t>***</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0.626</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0.299</w:t>
            </w:r>
            <w:r>
              <w:rPr>
                <w:vertAlign w:val="superscript"/>
              </w:rPr>
              <w:t>**</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0.036</w:t>
            </w:r>
          </w:p>
        </w:tc>
      </w:tr>
      <w:tr>
        <w:trPr>
          <w:trHeight w:val="20"/>
        </w:trPr>
        <w:tc>
          <w:tcPr>
            <w:tcW w:w="4169" w:type="dxa"/>
            <w:shd w:val="clear" w:color="auto" w:fill="auto"/>
            <w:noWrap/>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Number of family members working on own farm (Person days/ha)</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-0.010</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0.033</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-0.026</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0.110</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-0.002</w:t>
            </w:r>
          </w:p>
        </w:tc>
      </w:tr>
      <w:tr>
        <w:trPr>
          <w:trHeight w:val="20"/>
        </w:trPr>
        <w:tc>
          <w:tcPr>
            <w:tcW w:w="4169" w:type="dxa"/>
            <w:shd w:val="clear" w:color="auto" w:fill="auto"/>
            <w:noWrap/>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Get a credit from a bank {1=yes, 0=No}</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0.018</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0.029</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0.493</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0.419</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0.028</w:t>
            </w:r>
          </w:p>
        </w:tc>
      </w:tr>
      <w:tr>
        <w:trPr>
          <w:trHeight w:val="20"/>
        </w:trPr>
        <w:tc>
          <w:tcPr>
            <w:tcW w:w="4169" w:type="dxa"/>
            <w:shd w:val="clear" w:color="auto" w:fill="auto"/>
            <w:noWrap/>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Off-farm employment {1=yes, 0=No}</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-0.001</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0.040</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0.394</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0.459</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0.023</w:t>
            </w:r>
          </w:p>
        </w:tc>
      </w:tr>
      <w:tr>
        <w:trPr>
          <w:trHeight w:val="20"/>
        </w:trPr>
        <w:tc>
          <w:tcPr>
            <w:tcW w:w="4169" w:type="dxa"/>
            <w:shd w:val="clear" w:color="auto" w:fill="auto"/>
            <w:noWrap/>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 xml:space="preserve">Faba bean area (Ha)  </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0.579</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0.039</w:t>
            </w:r>
            <w:r>
              <w:rPr>
                <w:vertAlign w:val="superscript"/>
              </w:rPr>
              <w:t>***</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1.448</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0.238</w:t>
            </w:r>
            <w:r>
              <w:rPr>
                <w:vertAlign w:val="superscript"/>
              </w:rPr>
              <w:t>***</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0.083</w:t>
            </w:r>
          </w:p>
        </w:tc>
      </w:tr>
      <w:tr>
        <w:trPr>
          <w:trHeight w:val="20"/>
        </w:trPr>
        <w:tc>
          <w:tcPr>
            <w:tcW w:w="4169" w:type="dxa"/>
            <w:shd w:val="clear" w:color="auto" w:fill="auto"/>
            <w:noWrap/>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Total cropped area (Ha)</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-0.088</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0.049</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0.040</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0.061</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0.002</w:t>
            </w:r>
          </w:p>
        </w:tc>
      </w:tr>
      <w:tr>
        <w:trPr>
          <w:trHeight w:val="20"/>
        </w:trPr>
        <w:tc>
          <w:tcPr>
            <w:tcW w:w="4169" w:type="dxa"/>
            <w:shd w:val="clear" w:color="auto" w:fill="auto"/>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Walking distance from seed sources (km)</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0.012</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0.018</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-0.011</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0.013</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-0.000</w:t>
            </w:r>
          </w:p>
        </w:tc>
      </w:tr>
      <w:tr>
        <w:trPr>
          <w:trHeight w:val="20"/>
        </w:trPr>
        <w:tc>
          <w:tcPr>
            <w:tcW w:w="4169" w:type="dxa"/>
            <w:shd w:val="clear" w:color="auto" w:fill="auto"/>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Was the seed you used certified? {1=yes, 0=No}</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0.288</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0.051</w:t>
            </w:r>
            <w:r>
              <w:rPr>
                <w:vertAlign w:val="superscript"/>
              </w:rPr>
              <w:t>***</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1.989</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0.505</w:t>
            </w:r>
            <w:r>
              <w:rPr>
                <w:vertAlign w:val="superscript"/>
              </w:rPr>
              <w:t>***</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0.076</w:t>
            </w:r>
          </w:p>
        </w:tc>
      </w:tr>
      <w:tr>
        <w:trPr>
          <w:trHeight w:val="20"/>
        </w:trPr>
        <w:tc>
          <w:tcPr>
            <w:tcW w:w="4169" w:type="dxa"/>
            <w:shd w:val="clear" w:color="auto" w:fill="auto"/>
            <w:noWrap/>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Price of seed</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-0.004</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0.050</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-0.001</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0.017</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-0.000</w:t>
            </w:r>
          </w:p>
        </w:tc>
      </w:tr>
      <w:tr>
        <w:trPr>
          <w:trHeight w:val="20"/>
        </w:trPr>
        <w:tc>
          <w:tcPr>
            <w:tcW w:w="4169" w:type="dxa"/>
            <w:shd w:val="clear" w:color="auto" w:fill="auto"/>
            <w:noWrap/>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Farm in favorable zone{1=yes, 0=No}</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0.076</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0.034</w:t>
            </w:r>
            <w:r>
              <w:rPr>
                <w:vertAlign w:val="superscript"/>
              </w:rPr>
              <w:t>**</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0.995</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0.528</w:t>
            </w:r>
            <w:r>
              <w:rPr>
                <w:vertAlign w:val="superscript"/>
              </w:rPr>
              <w:t>**</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0.057</w:t>
            </w:r>
          </w:p>
        </w:tc>
      </w:tr>
      <w:tr>
        <w:trPr>
          <w:trHeight w:val="320"/>
        </w:trPr>
        <w:tc>
          <w:tcPr>
            <w:tcW w:w="4169" w:type="dxa"/>
            <w:shd w:val="clear" w:color="auto" w:fill="auto"/>
            <w:noWrap/>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Farm in intermediate zone {1=yes, 0=No}</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0.112</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0.038</w:t>
            </w:r>
            <w:r>
              <w:rPr>
                <w:vertAlign w:val="superscript"/>
              </w:rPr>
              <w:t>***</w:t>
            </w: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1.257</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0.510</w:t>
            </w:r>
            <w:r>
              <w:rPr>
                <w:vertAlign w:val="superscript"/>
              </w:rPr>
              <w:t>***</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0.072</w:t>
            </w:r>
          </w:p>
        </w:tc>
      </w:tr>
      <w:tr>
        <w:trPr>
          <w:trHeight w:val="320"/>
        </w:trPr>
        <w:tc>
          <w:tcPr>
            <w:tcW w:w="4169" w:type="dxa"/>
            <w:shd w:val="clear" w:color="auto" w:fill="auto"/>
            <w:noWrap/>
            <w:tcMar>
              <w:left w:w="29" w:type="dxa"/>
              <w:right w:w="29" w:type="dxa"/>
            </w:tcMar>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color w:val="000000"/>
                <w:sz w:val="20"/>
                <w:szCs w:val="20"/>
                <w:lang w:val="en-US"/>
              </w:rPr>
              <w:t>Are you active or leader in the community</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p>
        </w:tc>
        <w:tc>
          <w:tcPr>
            <w:tcW w:w="1080"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1.672</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0.442</w:t>
            </w:r>
            <w:r>
              <w:rPr>
                <w:vertAlign w:val="superscript"/>
              </w:rPr>
              <w:t>***</w:t>
            </w:r>
          </w:p>
        </w:tc>
        <w:tc>
          <w:tcPr>
            <w:tcW w:w="992" w:type="dxa"/>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0.096</w:t>
            </w:r>
          </w:p>
        </w:tc>
      </w:tr>
      <w:tr>
        <w:trPr>
          <w:trHeight w:val="20"/>
        </w:trPr>
        <w:tc>
          <w:tcPr>
            <w:tcW w:w="4169" w:type="dxa"/>
            <w:shd w:val="clear" w:color="auto" w:fill="auto"/>
            <w:noWrap/>
            <w:tcMar>
              <w:left w:w="29" w:type="dxa"/>
              <w:right w:w="29" w:type="dxa"/>
            </w:tcMar>
            <w:hideMark/>
          </w:tcPr>
          <w:p>
            <w:pPr>
              <w:widowControl w:val="0"/>
              <w:spacing w:after="0" w:line="360" w:lineRule="auto"/>
              <w:rPr>
                <w:rFonts w:ascii="Times New Roman" w:eastAsia="Times New Roman" w:hAnsi="Times New Roman" w:cs="Times New Roman"/>
                <w:snapToGrid w:val="0"/>
                <w:sz w:val="20"/>
                <w:szCs w:val="20"/>
                <w:lang w:val="en-US"/>
              </w:rPr>
            </w:pPr>
            <w:r>
              <w:rPr>
                <w:rFonts w:ascii="Times New Roman" w:eastAsia="Times New Roman" w:hAnsi="Times New Roman" w:cs="Times New Roman"/>
                <w:snapToGrid w:val="0"/>
                <w:sz w:val="20"/>
                <w:szCs w:val="20"/>
                <w:lang w:val="en-US"/>
              </w:rPr>
              <w:t>Inverse mills ratio (λ)</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0.362</w:t>
            </w:r>
          </w:p>
        </w:tc>
        <w:tc>
          <w:tcPr>
            <w:tcW w:w="1418"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0.058</w:t>
            </w:r>
            <w:r>
              <w:rPr>
                <w:vertAlign w:val="superscript"/>
              </w:rPr>
              <w:t>***</w:t>
            </w:r>
          </w:p>
        </w:tc>
        <w:tc>
          <w:tcPr>
            <w:tcW w:w="1080" w:type="dxa"/>
            <w:tcMar>
              <w:left w:w="29" w:type="dxa"/>
              <w:right w:w="29" w:type="dxa"/>
            </w:tcMar>
            <w:vAlign w:val="bottom"/>
          </w:tcPr>
          <w:p>
            <w:pPr>
              <w:widowControl w:val="0"/>
              <w:suppressAutoHyphens/>
              <w:spacing w:after="0" w:line="360" w:lineRule="auto"/>
              <w:jc w:val="center"/>
              <w:rPr>
                <w:rFonts w:ascii="Times New Roman" w:eastAsia="Times New Roman" w:hAnsi="Times New Roman" w:cs="Times New Roman"/>
                <w:snapToGrid w:val="0"/>
                <w:color w:val="000000"/>
                <w:sz w:val="20"/>
                <w:szCs w:val="20"/>
                <w:lang w:val="en-US"/>
              </w:rPr>
            </w:pPr>
          </w:p>
        </w:tc>
        <w:tc>
          <w:tcPr>
            <w:tcW w:w="871" w:type="dxa"/>
            <w:tcMar>
              <w:left w:w="29" w:type="dxa"/>
              <w:right w:w="29" w:type="dxa"/>
            </w:tcMar>
            <w:vAlign w:val="bottom"/>
          </w:tcPr>
          <w:p>
            <w:pPr>
              <w:widowControl w:val="0"/>
              <w:suppressAutoHyphens/>
              <w:spacing w:after="0" w:line="360" w:lineRule="auto"/>
              <w:jc w:val="center"/>
              <w:rPr>
                <w:rFonts w:ascii="Times New Roman" w:eastAsia="Times New Roman" w:hAnsi="Times New Roman" w:cs="Times New Roman"/>
                <w:snapToGrid w:val="0"/>
                <w:color w:val="000000"/>
                <w:sz w:val="20"/>
                <w:szCs w:val="20"/>
                <w:lang w:val="en-US"/>
              </w:rPr>
            </w:pPr>
          </w:p>
        </w:tc>
        <w:tc>
          <w:tcPr>
            <w:tcW w:w="992" w:type="dxa"/>
          </w:tcPr>
          <w:p>
            <w:pPr>
              <w:widowControl w:val="0"/>
              <w:suppressAutoHyphens/>
              <w:spacing w:after="0" w:line="360" w:lineRule="auto"/>
              <w:jc w:val="center"/>
              <w:rPr>
                <w:rFonts w:ascii="Times New Roman" w:eastAsia="Times New Roman" w:hAnsi="Times New Roman" w:cs="Times New Roman"/>
                <w:snapToGrid w:val="0"/>
                <w:color w:val="000000"/>
                <w:sz w:val="20"/>
                <w:szCs w:val="20"/>
                <w:lang w:val="en-US"/>
              </w:rPr>
            </w:pPr>
          </w:p>
        </w:tc>
      </w:tr>
      <w:tr>
        <w:trPr>
          <w:trHeight w:val="20"/>
        </w:trPr>
        <w:tc>
          <w:tcPr>
            <w:tcW w:w="4169" w:type="dxa"/>
            <w:shd w:val="clear" w:color="auto" w:fill="auto"/>
            <w:noWrap/>
            <w:tcMar>
              <w:left w:w="29" w:type="dxa"/>
              <w:right w:w="29" w:type="dxa"/>
            </w:tcMar>
            <w:vAlign w:val="center"/>
            <w:hideMark/>
          </w:tcPr>
          <w:p>
            <w:pPr>
              <w:widowControl w:val="0"/>
              <w:suppressAutoHyphens/>
              <w:spacing w:after="0" w:line="360" w:lineRule="auto"/>
              <w:rPr>
                <w:rFonts w:ascii="Times New Roman" w:eastAsia="Times New Roman" w:hAnsi="Times New Roman" w:cs="Times New Roman"/>
                <w:snapToGrid w:val="0"/>
                <w:color w:val="000000"/>
                <w:sz w:val="20"/>
                <w:szCs w:val="20"/>
                <w:lang w:val="en-US"/>
              </w:rPr>
            </w:pPr>
            <w:r>
              <w:rPr>
                <w:rFonts w:ascii="Times New Roman" w:eastAsia="Times New Roman" w:hAnsi="Times New Roman" w:cs="Times New Roman"/>
                <w:snapToGrid w:val="0"/>
                <w:color w:val="000000"/>
                <w:sz w:val="20"/>
                <w:szCs w:val="20"/>
                <w:lang w:val="en-US"/>
              </w:rPr>
              <w:t>Constant</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0.255</w:t>
            </w:r>
          </w:p>
        </w:tc>
        <w:tc>
          <w:tcPr>
            <w:tcW w:w="1418" w:type="dxa"/>
            <w:shd w:val="clear" w:color="auto" w:fill="auto"/>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0.292</w:t>
            </w:r>
          </w:p>
        </w:tc>
        <w:tc>
          <w:tcPr>
            <w:tcW w:w="1080"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-8.163</w:t>
            </w:r>
          </w:p>
        </w:tc>
        <w:tc>
          <w:tcPr>
            <w:tcW w:w="871" w:type="dxa"/>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t>1.838</w:t>
            </w:r>
            <w:r>
              <w:rPr>
                <w:vertAlign w:val="superscript"/>
              </w:rPr>
              <w:t>***</w:t>
            </w:r>
          </w:p>
        </w:tc>
        <w:tc>
          <w:tcPr>
            <w:tcW w:w="992" w:type="dxa"/>
          </w:tcPr>
          <w:p>
            <w:pPr>
              <w:widowControl w:val="0"/>
              <w:spacing w:after="0" w:line="360" w:lineRule="auto"/>
              <w:jc w:val="center"/>
              <w:rPr>
                <w:rFonts w:ascii="Times New Roman" w:eastAsia="Times New Roman" w:hAnsi="Times New Roman" w:cs="Times New Roman"/>
                <w:snapToGrid w:val="0"/>
                <w:color w:val="000000"/>
                <w:sz w:val="20"/>
                <w:szCs w:val="20"/>
                <w:lang w:val="en-US"/>
              </w:rPr>
            </w:pPr>
          </w:p>
        </w:tc>
      </w:tr>
      <w:tr>
        <w:trPr>
          <w:trHeight w:val="20"/>
        </w:trPr>
        <w:tc>
          <w:tcPr>
            <w:tcW w:w="4169" w:type="dxa"/>
            <w:shd w:val="clear" w:color="auto" w:fill="auto"/>
            <w:noWrap/>
            <w:tcMar>
              <w:left w:w="29" w:type="dxa"/>
              <w:right w:w="29" w:type="dxa"/>
            </w:tcMar>
            <w:vAlign w:val="center"/>
            <w:hideMark/>
          </w:tcPr>
          <w:p>
            <w:pPr>
              <w:widowControl w:val="0"/>
              <w:spacing w:after="0" w:line="360" w:lineRule="auto"/>
              <w:rPr>
                <w:rFonts w:ascii="Times New Roman" w:eastAsia="Times New Roman" w:hAnsi="Times New Roman" w:cs="Times New Roman"/>
                <w:snapToGrid w:val="0"/>
                <w:color w:val="000000"/>
                <w:sz w:val="20"/>
                <w:szCs w:val="20"/>
                <w:lang w:val="en-US"/>
              </w:rPr>
            </w:pPr>
            <w:r>
              <w:rPr>
                <w:rFonts w:ascii="Times New Roman" w:eastAsia="Times New Roman" w:hAnsi="Times New Roman" w:cs="Times New Roman"/>
                <w:snapToGrid w:val="0"/>
                <w:color w:val="000000"/>
                <w:sz w:val="20"/>
                <w:szCs w:val="20"/>
                <w:lang w:val="en-US"/>
              </w:rPr>
              <w:t>Rho</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-0.327</w:t>
            </w:r>
          </w:p>
        </w:tc>
        <w:tc>
          <w:tcPr>
            <w:tcW w:w="1418" w:type="dxa"/>
            <w:shd w:val="clear" w:color="auto" w:fill="auto"/>
            <w:tcMar>
              <w:left w:w="29" w:type="dxa"/>
              <w:right w:w="29" w:type="dxa"/>
            </w:tcMar>
            <w:vAlign w:val="bottom"/>
          </w:tcPr>
          <w:p>
            <w:pPr>
              <w:widowControl w:val="0"/>
              <w:spacing w:after="0" w:line="360" w:lineRule="auto"/>
              <w:jc w:val="center"/>
              <w:rPr>
                <w:rFonts w:ascii="Times New Roman" w:eastAsia="Times New Roman" w:hAnsi="Times New Roman" w:cs="Times New Roman"/>
                <w:snapToGrid w:val="0"/>
                <w:color w:val="000000"/>
                <w:sz w:val="20"/>
                <w:szCs w:val="20"/>
                <w:lang w:val="en-US"/>
              </w:rPr>
            </w:pPr>
          </w:p>
        </w:tc>
        <w:tc>
          <w:tcPr>
            <w:tcW w:w="1080" w:type="dxa"/>
            <w:shd w:val="clear" w:color="auto" w:fill="auto"/>
            <w:noWrap/>
            <w:tcMar>
              <w:left w:w="29" w:type="dxa"/>
              <w:right w:w="29" w:type="dxa"/>
            </w:tcMar>
            <w:vAlign w:val="bottom"/>
          </w:tcPr>
          <w:p>
            <w:pPr>
              <w:widowControl w:val="0"/>
              <w:suppressAutoHyphens/>
              <w:spacing w:after="0" w:line="360" w:lineRule="auto"/>
              <w:jc w:val="center"/>
              <w:rPr>
                <w:rFonts w:ascii="Times New Roman" w:eastAsia="Times New Roman" w:hAnsi="Times New Roman" w:cs="Times New Roman"/>
                <w:snapToGrid w:val="0"/>
                <w:color w:val="000000"/>
                <w:sz w:val="20"/>
                <w:szCs w:val="20"/>
                <w:lang w:val="en-US"/>
              </w:rPr>
            </w:pPr>
          </w:p>
        </w:tc>
        <w:tc>
          <w:tcPr>
            <w:tcW w:w="871" w:type="dxa"/>
            <w:shd w:val="clear" w:color="auto" w:fill="auto"/>
            <w:tcMar>
              <w:left w:w="29" w:type="dxa"/>
              <w:right w:w="29" w:type="dxa"/>
            </w:tcMar>
            <w:vAlign w:val="bottom"/>
          </w:tcPr>
          <w:p>
            <w:pPr>
              <w:widowControl w:val="0"/>
              <w:suppressAutoHyphens/>
              <w:spacing w:after="0" w:line="360" w:lineRule="auto"/>
              <w:jc w:val="center"/>
              <w:rPr>
                <w:rFonts w:ascii="Times New Roman" w:eastAsia="Times New Roman" w:hAnsi="Times New Roman" w:cs="Times New Roman"/>
                <w:snapToGrid w:val="0"/>
                <w:color w:val="000000"/>
                <w:sz w:val="20"/>
                <w:szCs w:val="20"/>
                <w:lang w:val="en-US"/>
              </w:rPr>
            </w:pPr>
            <w:r>
              <w:rPr>
                <w:rFonts w:ascii="Times New Roman" w:eastAsia="Times New Roman" w:hAnsi="Times New Roman" w:cs="Times New Roman"/>
                <w:snapToGrid w:val="0"/>
                <w:color w:val="000000"/>
                <w:sz w:val="20"/>
                <w:szCs w:val="20"/>
                <w:lang w:val="en-US"/>
              </w:rPr>
              <w:t xml:space="preserve"> </w:t>
            </w:r>
          </w:p>
        </w:tc>
        <w:tc>
          <w:tcPr>
            <w:tcW w:w="992" w:type="dxa"/>
          </w:tcPr>
          <w:p>
            <w:pPr>
              <w:widowControl w:val="0"/>
              <w:suppressAutoHyphens/>
              <w:spacing w:after="0" w:line="360" w:lineRule="auto"/>
              <w:jc w:val="center"/>
              <w:rPr>
                <w:rFonts w:ascii="Times New Roman" w:eastAsia="Times New Roman" w:hAnsi="Times New Roman" w:cs="Times New Roman"/>
                <w:snapToGrid w:val="0"/>
                <w:color w:val="000000"/>
                <w:sz w:val="20"/>
                <w:szCs w:val="20"/>
                <w:lang w:val="en-US"/>
              </w:rPr>
            </w:pPr>
          </w:p>
        </w:tc>
      </w:tr>
      <w:tr>
        <w:trPr>
          <w:trHeight w:val="20"/>
        </w:trPr>
        <w:tc>
          <w:tcPr>
            <w:tcW w:w="4169" w:type="dxa"/>
            <w:shd w:val="clear" w:color="auto" w:fill="auto"/>
            <w:noWrap/>
            <w:tcMar>
              <w:left w:w="29" w:type="dxa"/>
              <w:right w:w="29" w:type="dxa"/>
            </w:tcMar>
            <w:vAlign w:val="center"/>
            <w:hideMark/>
          </w:tcPr>
          <w:p>
            <w:pPr>
              <w:widowControl w:val="0"/>
              <w:spacing w:after="0" w:line="360" w:lineRule="auto"/>
              <w:rPr>
                <w:rFonts w:ascii="Times New Roman" w:eastAsia="Times New Roman" w:hAnsi="Times New Roman" w:cs="Times New Roman"/>
                <w:snapToGrid w:val="0"/>
                <w:color w:val="000000"/>
                <w:sz w:val="20"/>
                <w:szCs w:val="20"/>
                <w:lang w:val="en-US"/>
              </w:rPr>
            </w:pPr>
            <w:r>
              <w:rPr>
                <w:rFonts w:ascii="Times New Roman" w:eastAsia="Times New Roman" w:hAnsi="Times New Roman" w:cs="Times New Roman"/>
                <w:snapToGrid w:val="0"/>
                <w:color w:val="000000"/>
                <w:sz w:val="20"/>
                <w:szCs w:val="20"/>
                <w:lang w:val="en-US"/>
              </w:rPr>
              <w:t>Sigma</w:t>
            </w:r>
          </w:p>
        </w:tc>
        <w:tc>
          <w:tcPr>
            <w:tcW w:w="873" w:type="dxa"/>
            <w:shd w:val="clear" w:color="auto" w:fill="auto"/>
            <w:noWrap/>
            <w:tcMar>
              <w:left w:w="29" w:type="dxa"/>
              <w:right w:w="29" w:type="dxa"/>
            </w:tcMar>
          </w:tcPr>
          <w:p>
            <w:pPr>
              <w:widowControl w:val="0"/>
              <w:spacing w:after="0" w:line="360" w:lineRule="auto"/>
              <w:rPr>
                <w:rFonts w:ascii="CG Times" w:eastAsia="Times New Roman" w:hAnsi="CG Times" w:cs="Times New Roman"/>
                <w:snapToGrid w:val="0"/>
                <w:sz w:val="20"/>
                <w:szCs w:val="20"/>
                <w:lang w:val="en-US"/>
              </w:rPr>
            </w:pPr>
            <w:r>
              <w:rPr>
                <w:rFonts w:ascii="CG Times" w:eastAsia="Times New Roman" w:hAnsi="CG Times" w:cs="Times New Roman"/>
                <w:snapToGrid w:val="0"/>
                <w:sz w:val="20"/>
                <w:szCs w:val="20"/>
                <w:lang w:val="en-US"/>
              </w:rPr>
              <w:t>0.107</w:t>
            </w:r>
          </w:p>
        </w:tc>
        <w:tc>
          <w:tcPr>
            <w:tcW w:w="1418" w:type="dxa"/>
            <w:shd w:val="clear" w:color="auto" w:fill="auto"/>
            <w:tcMar>
              <w:left w:w="29" w:type="dxa"/>
              <w:right w:w="29" w:type="dxa"/>
            </w:tcMar>
            <w:vAlign w:val="bottom"/>
          </w:tcPr>
          <w:p>
            <w:pPr>
              <w:widowControl w:val="0"/>
              <w:spacing w:after="0" w:line="360" w:lineRule="auto"/>
              <w:jc w:val="center"/>
              <w:rPr>
                <w:rFonts w:ascii="Times New Roman" w:eastAsia="Times New Roman" w:hAnsi="Times New Roman" w:cs="Times New Roman"/>
                <w:snapToGrid w:val="0"/>
                <w:color w:val="000000"/>
                <w:sz w:val="20"/>
                <w:szCs w:val="20"/>
                <w:lang w:val="en-US"/>
              </w:rPr>
            </w:pPr>
          </w:p>
        </w:tc>
        <w:tc>
          <w:tcPr>
            <w:tcW w:w="1080" w:type="dxa"/>
            <w:shd w:val="clear" w:color="auto" w:fill="auto"/>
            <w:noWrap/>
            <w:tcMar>
              <w:left w:w="29" w:type="dxa"/>
              <w:right w:w="29" w:type="dxa"/>
            </w:tcMar>
            <w:vAlign w:val="bottom"/>
          </w:tcPr>
          <w:p>
            <w:pPr>
              <w:widowControl w:val="0"/>
              <w:suppressAutoHyphens/>
              <w:spacing w:after="0" w:line="360" w:lineRule="auto"/>
              <w:rPr>
                <w:rFonts w:ascii="Times New Roman" w:eastAsia="Times New Roman" w:hAnsi="Times New Roman" w:cs="Times New Roman"/>
                <w:snapToGrid w:val="0"/>
                <w:color w:val="000000"/>
                <w:sz w:val="20"/>
                <w:szCs w:val="20"/>
                <w:lang w:val="en-US"/>
              </w:rPr>
            </w:pPr>
          </w:p>
        </w:tc>
        <w:tc>
          <w:tcPr>
            <w:tcW w:w="871" w:type="dxa"/>
            <w:shd w:val="clear" w:color="auto" w:fill="auto"/>
            <w:tcMar>
              <w:left w:w="29" w:type="dxa"/>
              <w:right w:w="29" w:type="dxa"/>
            </w:tcMar>
            <w:vAlign w:val="bottom"/>
          </w:tcPr>
          <w:p>
            <w:pPr>
              <w:widowControl w:val="0"/>
              <w:suppressAutoHyphens/>
              <w:spacing w:after="0" w:line="360" w:lineRule="auto"/>
              <w:jc w:val="center"/>
              <w:rPr>
                <w:rFonts w:ascii="Times New Roman" w:eastAsia="Times New Roman" w:hAnsi="Times New Roman" w:cs="Times New Roman"/>
                <w:snapToGrid w:val="0"/>
                <w:color w:val="000000"/>
                <w:sz w:val="20"/>
                <w:szCs w:val="20"/>
                <w:lang w:val="en-US"/>
              </w:rPr>
            </w:pPr>
          </w:p>
        </w:tc>
        <w:tc>
          <w:tcPr>
            <w:tcW w:w="992" w:type="dxa"/>
          </w:tcPr>
          <w:p>
            <w:pPr>
              <w:widowControl w:val="0"/>
              <w:suppressAutoHyphens/>
              <w:spacing w:after="0" w:line="360" w:lineRule="auto"/>
              <w:jc w:val="center"/>
              <w:rPr>
                <w:rFonts w:ascii="Times New Roman" w:eastAsia="Times New Roman" w:hAnsi="Times New Roman" w:cs="Times New Roman"/>
                <w:snapToGrid w:val="0"/>
                <w:color w:val="000000"/>
                <w:sz w:val="20"/>
                <w:szCs w:val="20"/>
                <w:lang w:val="en-US"/>
              </w:rPr>
            </w:pPr>
          </w:p>
        </w:tc>
      </w:tr>
    </w:tbl>
    <w:p>
      <w:pPr>
        <w:widowControl w:val="0"/>
        <w:tabs>
          <w:tab w:val="left" w:pos="1005"/>
        </w:tabs>
        <w:spacing w:after="0" w:line="480" w:lineRule="auto"/>
        <w:rPr>
          <w:rFonts w:ascii="Times New Roman" w:eastAsia="Times New Roman" w:hAnsi="Times New Roman" w:cs="Times New Roman"/>
          <w:snapToGrid w:val="0"/>
          <w:sz w:val="20"/>
          <w:szCs w:val="20"/>
        </w:rPr>
      </w:pPr>
    </w:p>
    <w:p>
      <w:pPr>
        <w:widowControl w:val="0"/>
        <w:tabs>
          <w:tab w:val="left" w:pos="1005"/>
        </w:tabs>
        <w:spacing w:after="0" w:line="480" w:lineRule="auto"/>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rPr>
        <w:t xml:space="preserve">Description of dependent variables: </w:t>
      </w:r>
    </w:p>
    <w:p>
      <w:pPr>
        <w:widowControl w:val="0"/>
        <w:tabs>
          <w:tab w:val="left" w:pos="1005"/>
        </w:tabs>
        <w:spacing w:after="0" w:line="480" w:lineRule="auto"/>
        <w:ind w:left="720"/>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rPr>
        <w:t xml:space="preserve">Area under the new varieties = </w:t>
      </w:r>
      <w:r>
        <w:rPr>
          <w:rFonts w:ascii="Times New Roman" w:eastAsia="Times New Roman" w:hAnsi="Times New Roman" w:cs="Times New Roman"/>
          <w:snapToGrid w:val="0"/>
          <w:color w:val="000000"/>
          <w:sz w:val="20"/>
          <w:szCs w:val="20"/>
          <w:lang w:val="en-US"/>
        </w:rPr>
        <w:t>Area under the new Faba bean varieties (ha)</w:t>
      </w:r>
      <w:r>
        <w:rPr>
          <w:rFonts w:ascii="Times New Roman" w:eastAsia="Times New Roman" w:hAnsi="Times New Roman" w:cs="Times New Roman"/>
          <w:snapToGrid w:val="0"/>
          <w:sz w:val="20"/>
          <w:szCs w:val="20"/>
        </w:rPr>
        <w:t>, and Adoption dummy=</w:t>
      </w:r>
      <w:r>
        <w:rPr>
          <w:rFonts w:ascii="Times New Roman" w:eastAsia="Times New Roman" w:hAnsi="Times New Roman" w:cs="Times New Roman"/>
          <w:bCs/>
          <w:snapToGrid w:val="0"/>
          <w:color w:val="000000"/>
          <w:sz w:val="20"/>
          <w:szCs w:val="20"/>
          <w:lang w:val="en-US"/>
        </w:rPr>
        <w:t xml:space="preserve"> dummy variable for the adoption of the improved Faba bean variety (1=Yes and 0=No)</w:t>
      </w:r>
      <w:r>
        <w:rPr>
          <w:rFonts w:ascii="Times New Roman" w:eastAsia="Times New Roman" w:hAnsi="Times New Roman" w:cs="Times New Roman"/>
          <w:snapToGrid w:val="0"/>
          <w:sz w:val="20"/>
          <w:szCs w:val="20"/>
        </w:rPr>
        <w:t xml:space="preserve"> </w:t>
      </w:r>
    </w:p>
    <w:p>
      <w:pPr>
        <w:widowControl w:val="0"/>
        <w:tabs>
          <w:tab w:val="left" w:pos="1005"/>
        </w:tabs>
        <w:spacing w:after="0" w:line="480" w:lineRule="auto"/>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rPr>
        <w:t>*, ** and *** respectively represent significance at 0.1, 0.05 and 0.01 levels.</w:t>
      </w:r>
    </w:p>
    <w:p>
      <w:pPr>
        <w:spacing w:after="0" w:line="480" w:lineRule="auto"/>
        <w:jc w:val="both"/>
        <w:rPr>
          <w:rFonts w:ascii="Times New Roman" w:hAnsi="Times New Roman" w:cs="Times New Roman"/>
          <w:color w:val="000000" w:themeColor="text1"/>
          <w:sz w:val="24"/>
          <w:szCs w:val="24"/>
        </w:rPr>
      </w:pPr>
    </w:p>
    <w:p>
      <w:pPr>
        <w:spacing w:after="0" w:line="480" w:lineRule="auto"/>
        <w:jc w:val="both"/>
        <w:rPr>
          <w:rFonts w:ascii="Times New Roman" w:hAnsi="Times New Roman" w:cs="Times New Roman"/>
          <w:color w:val="000000" w:themeColor="text1"/>
          <w:sz w:val="24"/>
          <w:szCs w:val="24"/>
        </w:rPr>
      </w:pPr>
      <w:r>
        <w:rPr>
          <w:rFonts w:ascii="Times New Roman" w:eastAsia="Times New Roman" w:hAnsi="Times New Roman" w:cs="Times New Roman"/>
          <w:snapToGrid w:val="0"/>
          <w:sz w:val="24"/>
          <w:szCs w:val="24"/>
        </w:rPr>
        <w:lastRenderedPageBreak/>
        <w:t>In the adoption intensity equation</w:t>
      </w:r>
      <w:r>
        <w:rPr>
          <w:rFonts w:ascii="Times New Roman" w:hAnsi="Times New Roman" w:cs="Times New Roman"/>
          <w:color w:val="000000" w:themeColor="text1"/>
          <w:sz w:val="24"/>
          <w:szCs w:val="24"/>
        </w:rPr>
        <w:t xml:space="preserve">, almost all variables which affected the decision to adopt also affected the intensity of adoption in the same direction.  </w:t>
      </w:r>
      <w:r>
        <w:rPr>
          <w:rFonts w:ascii="Times New Roman" w:eastAsia="Times New Roman" w:hAnsi="Times New Roman" w:cs="Times New Roman"/>
          <w:sz w:val="24"/>
          <w:szCs w:val="24"/>
          <w:lang w:val="en-US"/>
        </w:rPr>
        <w:t>The positive and significant coefficients on the faba bean area variable in the outcome indicate that farmers cultivating large faba bean farms were more likely to adopt improved one and adopt it on larger area.</w:t>
      </w:r>
    </w:p>
    <w:p>
      <w:pPr>
        <w:spacing w:after="0" w:line="480" w:lineRule="auto"/>
        <w:jc w:val="both"/>
        <w:rPr>
          <w:rFonts w:ascii="Times New Roman" w:hAnsi="Times New Roman" w:cs="Times New Roman"/>
          <w:color w:val="000000" w:themeColor="text1"/>
          <w:sz w:val="24"/>
          <w:lang w:val="en-US"/>
        </w:rPr>
      </w:pPr>
    </w:p>
    <w:p>
      <w:pPr>
        <w:widowControl w:val="0"/>
        <w:spacing w:after="0" w:line="480" w:lineRule="auto"/>
        <w:jc w:val="both"/>
        <w:rPr>
          <w:rFonts w:ascii="Times New Roman" w:eastAsia="Times New Roman" w:hAnsi="Times New Roman" w:cs="Times New Roman"/>
          <w:b/>
          <w:bCs/>
          <w:snapToGrid w:val="0"/>
          <w:sz w:val="24"/>
          <w:szCs w:val="24"/>
        </w:rPr>
      </w:pPr>
      <w:r>
        <w:rPr>
          <w:rFonts w:ascii="Times New Roman" w:eastAsia="Times New Roman" w:hAnsi="Times New Roman" w:cs="Times New Roman"/>
          <w:b/>
          <w:bCs/>
          <w:snapToGrid w:val="0"/>
          <w:sz w:val="24"/>
          <w:szCs w:val="24"/>
        </w:rPr>
        <w:t xml:space="preserve">3.3 Impacts of the new faba bean technologies on the yield and food security </w:t>
      </w:r>
    </w:p>
    <w:p>
      <w:pPr>
        <w:spacing w:after="100" w:afterAutospacing="1"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 results show that adoption of improved varieties provide on the average 174.6 kg/ha (15%) yield gain for adopters. If non adopters were to adopt the improved varieties, they would have obtained 178.6kg/h higher yields. Showing that the benefit to both adopters and non-adopters is almost the same .Table (2) </w:t>
      </w:r>
    </w:p>
    <w:p>
      <w:pPr>
        <w:spacing w:after="0" w:line="480" w:lineRule="auto"/>
        <w:jc w:val="both"/>
        <w:rPr>
          <w:rFonts w:ascii="Times New Roman" w:hAnsi="Times New Roman" w:cs="Times New Roman"/>
          <w:color w:val="000000" w:themeColor="text1"/>
          <w:sz w:val="24"/>
          <w:lang w:val="en-US"/>
        </w:rPr>
      </w:pPr>
    </w:p>
    <w:p>
      <w:pPr>
        <w:spacing w:after="200"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Table 2: Treatment Effects on Yield (kg/ha) from Propensity Score Matching </w:t>
      </w:r>
    </w:p>
    <w:tbl>
      <w:tblPr>
        <w:tblStyle w:val="LightShading111"/>
        <w:tblW w:w="43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952"/>
        <w:gridCol w:w="1378"/>
        <w:gridCol w:w="1324"/>
        <w:gridCol w:w="1566"/>
        <w:gridCol w:w="1204"/>
        <w:gridCol w:w="699"/>
      </w:tblGrid>
      <w:tr>
        <w:trPr>
          <w:cnfStyle w:val="100000000000" w:firstRow="1" w:lastRow="0" w:firstColumn="0" w:lastColumn="0" w:oddVBand="0" w:evenVBand="0" w:oddHBand="0" w:evenHBand="0" w:firstRowFirstColumn="0" w:firstRowLastColumn="0" w:lastRowFirstColumn="0" w:lastRowLastColumn="0"/>
          <w:trHeight w:val="853"/>
        </w:trPr>
        <w:tc>
          <w:tcPr>
            <w:cnfStyle w:val="001000000000" w:firstRow="0" w:lastRow="0" w:firstColumn="1" w:lastColumn="0" w:oddVBand="0" w:evenVBand="0" w:oddHBand="0" w:evenHBand="0" w:firstRowFirstColumn="0" w:firstRowLastColumn="0" w:lastRowFirstColumn="0" w:lastRowLastColumn="0"/>
            <w:tcW w:w="1202" w:type="pct"/>
            <w:tcBorders>
              <w:top w:val="none" w:sz="0" w:space="0" w:color="auto"/>
              <w:left w:val="none" w:sz="0" w:space="0" w:color="auto"/>
              <w:bottom w:val="none" w:sz="0" w:space="0" w:color="auto"/>
              <w:right w:val="none" w:sz="0" w:space="0" w:color="auto"/>
            </w:tcBorders>
          </w:tcPr>
          <w:p>
            <w:pPr>
              <w:spacing w:before="30" w:after="30" w:line="480" w:lineRule="auto"/>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Group</w:t>
            </w:r>
          </w:p>
        </w:tc>
        <w:tc>
          <w:tcPr>
            <w:tcW w:w="848" w:type="pct"/>
            <w:tcBorders>
              <w:top w:val="none" w:sz="0" w:space="0" w:color="auto"/>
              <w:left w:val="none" w:sz="0" w:space="0" w:color="auto"/>
              <w:bottom w:val="none" w:sz="0" w:space="0" w:color="auto"/>
              <w:right w:val="none" w:sz="0" w:space="0" w:color="auto"/>
            </w:tcBorders>
          </w:tcPr>
          <w:p>
            <w:pPr>
              <w:spacing w:before="30" w:after="30" w:line="480" w:lineRule="auto"/>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Treatment group</w:t>
            </w:r>
          </w:p>
        </w:tc>
        <w:tc>
          <w:tcPr>
            <w:tcW w:w="815" w:type="pct"/>
            <w:tcBorders>
              <w:top w:val="none" w:sz="0" w:space="0" w:color="auto"/>
              <w:left w:val="none" w:sz="0" w:space="0" w:color="auto"/>
              <w:bottom w:val="none" w:sz="0" w:space="0" w:color="auto"/>
              <w:right w:val="none" w:sz="0" w:space="0" w:color="auto"/>
            </w:tcBorders>
          </w:tcPr>
          <w:p>
            <w:pPr>
              <w:spacing w:before="30" w:after="30" w:line="480" w:lineRule="auto"/>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Control group</w:t>
            </w:r>
          </w:p>
        </w:tc>
        <w:tc>
          <w:tcPr>
            <w:tcW w:w="964" w:type="pct"/>
            <w:tcBorders>
              <w:top w:val="none" w:sz="0" w:space="0" w:color="auto"/>
              <w:left w:val="none" w:sz="0" w:space="0" w:color="auto"/>
              <w:bottom w:val="none" w:sz="0" w:space="0" w:color="auto"/>
              <w:right w:val="none" w:sz="0" w:space="0" w:color="auto"/>
            </w:tcBorders>
          </w:tcPr>
          <w:p>
            <w:pPr>
              <w:spacing w:before="30" w:after="30"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hAnsi="Times New Roman" w:cs="Times New Roman"/>
                <w:color w:val="000000" w:themeColor="text1"/>
                <w:sz w:val="24"/>
                <w:szCs w:val="24"/>
              </w:rPr>
              <w:t>Difference</w:t>
            </w:r>
          </w:p>
        </w:tc>
        <w:tc>
          <w:tcPr>
            <w:tcW w:w="741" w:type="pct"/>
            <w:tcBorders>
              <w:top w:val="none" w:sz="0" w:space="0" w:color="auto"/>
              <w:left w:val="none" w:sz="0" w:space="0" w:color="auto"/>
              <w:bottom w:val="none" w:sz="0" w:space="0" w:color="auto"/>
              <w:right w:val="none" w:sz="0" w:space="0" w:color="auto"/>
            </w:tcBorders>
          </w:tcPr>
          <w:p>
            <w:pPr>
              <w:spacing w:before="30" w:after="30"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S.E.</w:t>
            </w:r>
          </w:p>
        </w:tc>
        <w:tc>
          <w:tcPr>
            <w:tcW w:w="430" w:type="pct"/>
            <w:tcBorders>
              <w:top w:val="none" w:sz="0" w:space="0" w:color="auto"/>
              <w:left w:val="none" w:sz="0" w:space="0" w:color="auto"/>
              <w:bottom w:val="none" w:sz="0" w:space="0" w:color="auto"/>
              <w:right w:val="none" w:sz="0" w:space="0" w:color="auto"/>
            </w:tcBorders>
          </w:tcPr>
          <w:p>
            <w:pPr>
              <w:spacing w:before="30" w:after="30"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T-stat</w:t>
            </w:r>
          </w:p>
        </w:tc>
      </w:tr>
      <w:tr>
        <w:trPr>
          <w:trHeight w:val="390"/>
        </w:trPr>
        <w:tc>
          <w:tcPr>
            <w:cnfStyle w:val="001000000000" w:firstRow="0" w:lastRow="0" w:firstColumn="1" w:lastColumn="0" w:oddVBand="0" w:evenVBand="0" w:oddHBand="0" w:evenHBand="0" w:firstRowFirstColumn="0" w:firstRowLastColumn="0" w:lastRowFirstColumn="0" w:lastRowLastColumn="0"/>
            <w:tcW w:w="1202" w:type="pct"/>
          </w:tcPr>
          <w:p>
            <w:pPr>
              <w:spacing w:before="30" w:after="30" w:line="48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Unmatched</w:t>
            </w:r>
          </w:p>
        </w:tc>
        <w:tc>
          <w:tcPr>
            <w:tcW w:w="848"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1407.2</w:t>
            </w:r>
          </w:p>
        </w:tc>
        <w:tc>
          <w:tcPr>
            <w:tcW w:w="815"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1155.3</w:t>
            </w:r>
          </w:p>
        </w:tc>
        <w:tc>
          <w:tcPr>
            <w:tcW w:w="964"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251.8</w:t>
            </w:r>
          </w:p>
        </w:tc>
        <w:tc>
          <w:tcPr>
            <w:tcW w:w="741"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14.2</w:t>
            </w:r>
          </w:p>
        </w:tc>
        <w:tc>
          <w:tcPr>
            <w:tcW w:w="430"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17.8</w:t>
            </w:r>
            <w:r>
              <w:rPr>
                <w:rFonts w:ascii="Times New Roman" w:hAnsi="Times New Roman" w:cs="Times New Roman"/>
                <w:color w:val="000000" w:themeColor="text1"/>
                <w:vertAlign w:val="superscript"/>
              </w:rPr>
              <w:t>a</w:t>
            </w:r>
          </w:p>
        </w:tc>
      </w:tr>
      <w:tr>
        <w:trPr>
          <w:trHeight w:val="465"/>
        </w:trPr>
        <w:tc>
          <w:tcPr>
            <w:cnfStyle w:val="001000000000" w:firstRow="0" w:lastRow="0" w:firstColumn="1" w:lastColumn="0" w:oddVBand="0" w:evenVBand="0" w:oddHBand="0" w:evenHBand="0" w:firstRowFirstColumn="0" w:firstRowLastColumn="0" w:lastRowFirstColumn="0" w:lastRowLastColumn="0"/>
            <w:tcW w:w="1202" w:type="pct"/>
          </w:tcPr>
          <w:p>
            <w:pPr>
              <w:spacing w:before="30" w:after="30" w:line="48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ATT</w:t>
            </w:r>
          </w:p>
        </w:tc>
        <w:tc>
          <w:tcPr>
            <w:tcW w:w="848"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1355.8</w:t>
            </w:r>
          </w:p>
        </w:tc>
        <w:tc>
          <w:tcPr>
            <w:tcW w:w="815"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1181.1</w:t>
            </w:r>
          </w:p>
        </w:tc>
        <w:tc>
          <w:tcPr>
            <w:tcW w:w="964"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174.6</w:t>
            </w:r>
          </w:p>
        </w:tc>
        <w:tc>
          <w:tcPr>
            <w:tcW w:w="741"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27.4</w:t>
            </w:r>
          </w:p>
        </w:tc>
        <w:tc>
          <w:tcPr>
            <w:tcW w:w="430"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6.4</w:t>
            </w:r>
            <w:r>
              <w:rPr>
                <w:rFonts w:ascii="Times New Roman" w:hAnsi="Times New Roman" w:cs="Times New Roman"/>
                <w:color w:val="000000" w:themeColor="text1"/>
                <w:vertAlign w:val="superscript"/>
              </w:rPr>
              <w:t>a</w:t>
            </w:r>
          </w:p>
        </w:tc>
      </w:tr>
      <w:tr>
        <w:trPr>
          <w:trHeight w:val="465"/>
        </w:trPr>
        <w:tc>
          <w:tcPr>
            <w:cnfStyle w:val="001000000000" w:firstRow="0" w:lastRow="0" w:firstColumn="1" w:lastColumn="0" w:oddVBand="0" w:evenVBand="0" w:oddHBand="0" w:evenHBand="0" w:firstRowFirstColumn="0" w:firstRowLastColumn="0" w:lastRowFirstColumn="0" w:lastRowLastColumn="0"/>
            <w:tcW w:w="1202" w:type="pct"/>
          </w:tcPr>
          <w:p>
            <w:pPr>
              <w:spacing w:before="30" w:after="30" w:line="48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ATU</w:t>
            </w:r>
          </w:p>
        </w:tc>
        <w:tc>
          <w:tcPr>
            <w:tcW w:w="848"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1161.7</w:t>
            </w:r>
          </w:p>
        </w:tc>
        <w:tc>
          <w:tcPr>
            <w:tcW w:w="815"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1340.3</w:t>
            </w:r>
          </w:p>
        </w:tc>
        <w:tc>
          <w:tcPr>
            <w:tcW w:w="964"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178.6</w:t>
            </w:r>
          </w:p>
        </w:tc>
        <w:tc>
          <w:tcPr>
            <w:tcW w:w="741"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430"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r>
      <w:tr>
        <w:trPr>
          <w:trHeight w:val="465"/>
        </w:trPr>
        <w:tc>
          <w:tcPr>
            <w:cnfStyle w:val="001000000000" w:firstRow="0" w:lastRow="0" w:firstColumn="1" w:lastColumn="0" w:oddVBand="0" w:evenVBand="0" w:oddHBand="0" w:evenHBand="0" w:firstRowFirstColumn="0" w:firstRowLastColumn="0" w:lastRowFirstColumn="0" w:lastRowLastColumn="0"/>
            <w:tcW w:w="1202" w:type="pct"/>
          </w:tcPr>
          <w:p>
            <w:pPr>
              <w:spacing w:before="30" w:after="30" w:line="48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ATE</w:t>
            </w:r>
          </w:p>
        </w:tc>
        <w:tc>
          <w:tcPr>
            <w:tcW w:w="848"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815"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964"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176.8</w:t>
            </w:r>
          </w:p>
        </w:tc>
        <w:tc>
          <w:tcPr>
            <w:tcW w:w="741"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430" w:type="pct"/>
          </w:tcPr>
          <w:p>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r>
    </w:tbl>
    <w:p>
      <w:pPr>
        <w:spacing w:after="200"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vertAlign w:val="superscript"/>
          <w:lang w:val="en-US"/>
        </w:rPr>
        <w:t xml:space="preserve">a </w:t>
      </w:r>
      <w:r>
        <w:rPr>
          <w:rFonts w:ascii="Times New Roman" w:hAnsi="Times New Roman" w:cs="Times New Roman"/>
          <w:color w:val="000000" w:themeColor="text1"/>
          <w:sz w:val="24"/>
          <w:lang w:val="en-US"/>
        </w:rPr>
        <w:t xml:space="preserve">and </w:t>
      </w:r>
      <w:r>
        <w:rPr>
          <w:rFonts w:ascii="Times New Roman" w:hAnsi="Times New Roman" w:cs="Times New Roman"/>
          <w:color w:val="000000" w:themeColor="text1"/>
          <w:sz w:val="24"/>
          <w:vertAlign w:val="superscript"/>
          <w:lang w:val="en-US"/>
        </w:rPr>
        <w:t>b</w:t>
      </w:r>
      <w:r>
        <w:rPr>
          <w:rFonts w:ascii="Times New Roman" w:hAnsi="Times New Roman" w:cs="Times New Roman"/>
          <w:color w:val="000000" w:themeColor="text1"/>
          <w:sz w:val="24"/>
          <w:lang w:val="en-US"/>
        </w:rPr>
        <w:t xml:space="preserve"> show significance at 0.01 and 0.05 levels</w:t>
      </w:r>
    </w:p>
    <w:p>
      <w:pPr>
        <w:spacing w:after="0"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As the main objective of this section is one of measuring the impacts of adoption of improved varieties, we will provide only a brief discussion of the regression estimates.  Quantities of inputs (nitrogen and DAP fertilizers) are found to have positive and significant effects on yield for </w:t>
      </w:r>
      <w:r>
        <w:rPr>
          <w:rFonts w:ascii="Times New Roman" w:hAnsi="Times New Roman" w:cs="Times New Roman"/>
          <w:color w:val="000000" w:themeColor="text1"/>
          <w:sz w:val="24"/>
          <w:lang w:val="en-US"/>
        </w:rPr>
        <w:lastRenderedPageBreak/>
        <w:t xml:space="preserve">adopters </w:t>
      </w:r>
      <w:r>
        <w:rPr>
          <w:rFonts w:ascii="Times New Roman" w:hAnsi="Times New Roman" w:cs="Times New Roman"/>
          <w:sz w:val="24"/>
          <w:szCs w:val="24"/>
        </w:rPr>
        <w:t>This finding is in line with others as many studies showed that phosphorus application increases grain yields</w:t>
      </w:r>
      <w:r>
        <w:rPr>
          <w:rFonts w:ascii="Times New Roman" w:eastAsia="Times New Roman" w:hAnsi="Times New Roman" w:cs="Times New Roman"/>
          <w:bCs/>
          <w:sz w:val="24"/>
          <w:szCs w:val="24"/>
        </w:rPr>
        <w:t xml:space="preserve"> </w:t>
      </w:r>
      <w:r>
        <w:rPr>
          <w:rFonts w:ascii="Times New Roman" w:hAnsi="Times New Roman" w:cs="Times New Roman"/>
          <w:sz w:val="24"/>
          <w:szCs w:val="24"/>
        </w:rPr>
        <w:t>and its components (El Kalla et al., 1999; Bolland et al., 2000). Although the faba bean can fi x N, it is often suggested to apply small amounts of fertilizer N at planting. The application of 20 kg N/ha at planting time has been shown to be beneficial for faba bean to enhance biological fixation (R’kiek, 1994).</w:t>
      </w:r>
      <w:r>
        <w:rPr>
          <w:rFonts w:ascii="Times New Roman" w:eastAsia="Times New Roman" w:hAnsi="Times New Roman" w:cs="Times New Roman"/>
          <w:bCs/>
          <w:sz w:val="24"/>
          <w:szCs w:val="24"/>
        </w:rPr>
        <w:t xml:space="preserve"> While </w:t>
      </w:r>
      <w:r>
        <w:rPr>
          <w:rFonts w:ascii="Times New Roman" w:hAnsi="Times New Roman" w:cs="Times New Roman"/>
          <w:color w:val="000000" w:themeColor="text1"/>
          <w:sz w:val="24"/>
          <w:lang w:val="en-US"/>
        </w:rPr>
        <w:t>DAP fertilizers</w:t>
      </w:r>
      <w:r>
        <w:rPr>
          <w:rFonts w:ascii="Times New Roman" w:eastAsia="Times New Roman" w:hAnsi="Times New Roman" w:cs="Times New Roman"/>
          <w:bCs/>
          <w:sz w:val="24"/>
          <w:szCs w:val="24"/>
        </w:rPr>
        <w:t xml:space="preserve"> </w:t>
      </w:r>
      <w:r>
        <w:rPr>
          <w:rFonts w:ascii="Times New Roman" w:hAnsi="Times New Roman" w:cs="Times New Roman"/>
          <w:color w:val="000000" w:themeColor="text1"/>
          <w:sz w:val="24"/>
          <w:lang w:val="en-US"/>
        </w:rPr>
        <w:t>has positive and significant effects on yield for non-adopters , nitrogen fertilizer has negative and significant effects on yield for non-adopters as they shows that non-adopters are using more nitrogen fertilizer than the recommended amount.</w:t>
      </w:r>
    </w:p>
    <w:p>
      <w:pPr>
        <w:spacing w:after="0" w:line="480" w:lineRule="auto"/>
        <w:jc w:val="both"/>
        <w:rPr>
          <w:rFonts w:ascii="Times New Roman" w:hAnsi="Times New Roman" w:cs="Times New Roman"/>
          <w:color w:val="000000" w:themeColor="text1"/>
          <w:sz w:val="24"/>
          <w:lang w:val="en-US"/>
        </w:rPr>
      </w:pPr>
    </w:p>
    <w:p>
      <w:pPr>
        <w:spacing w:after="0"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Age (Years), number of years of education, faba bean area (Ha) also give higher yields. The use of certified seeds also leads to higher yields than uncertified seeds showing clear advantage to certified seeds (Table 3). </w:t>
      </w:r>
    </w:p>
    <w:p>
      <w:pPr>
        <w:spacing w:after="0" w:line="480" w:lineRule="auto"/>
        <w:jc w:val="both"/>
        <w:rPr>
          <w:rFonts w:ascii="Times New Roman" w:hAnsi="Times New Roman" w:cs="Times New Roman"/>
          <w:color w:val="000000" w:themeColor="text1"/>
          <w:sz w:val="24"/>
          <w:lang w:val="en-US"/>
        </w:rPr>
      </w:pPr>
    </w:p>
    <w:p>
      <w:pPr>
        <w:spacing w:after="0" w:line="480" w:lineRule="auto"/>
        <w:jc w:val="both"/>
        <w:rPr>
          <w:rFonts w:ascii="Times New Roman" w:hAnsi="Times New Roman" w:cs="Times New Roman"/>
          <w:color w:val="000000" w:themeColor="text1"/>
          <w:sz w:val="24"/>
          <w:lang w:val="en-US"/>
        </w:rPr>
        <w:sectPr>
          <w:pgSz w:w="12240" w:h="15840"/>
          <w:pgMar w:top="1440" w:right="1440" w:bottom="1440" w:left="1440" w:header="720" w:footer="720" w:gutter="0"/>
          <w:cols w:space="720"/>
          <w:docGrid w:linePitch="360"/>
        </w:sectPr>
      </w:pPr>
      <w:r>
        <w:rPr>
          <w:rFonts w:ascii="Times New Roman" w:hAnsi="Times New Roman" w:cs="Times New Roman"/>
          <w:color w:val="000000" w:themeColor="text1"/>
          <w:sz w:val="24"/>
          <w:lang w:val="en-US"/>
        </w:rPr>
        <w:t>Estimates of treatment effects from ESR are provided in Table 4 below. The results show that adopters of improved varieties on the average obtain about 194.2 kg/ha (16.2%) more yield than the counterfactual (i.e., what they would have obtained if they had not adopted).  Taking an average grain price of 7.31 MAD/kg and ignoring the cost implications of adoption of improved faba bean  varieties, this yield gain would translate into a gain in gross revenue of 1,420 MAD/ha (US$165/ha)</w:t>
      </w:r>
      <w:r>
        <w:rPr>
          <w:rFonts w:ascii="Times New Roman" w:hAnsi="Times New Roman" w:cs="Times New Roman"/>
          <w:color w:val="000000" w:themeColor="text1"/>
          <w:sz w:val="24"/>
          <w:vertAlign w:val="superscript"/>
          <w:lang w:val="en-US"/>
        </w:rPr>
        <w:footnoteReference w:id="1"/>
      </w:r>
      <w:r>
        <w:rPr>
          <w:rFonts w:ascii="Times New Roman" w:hAnsi="Times New Roman" w:cs="Times New Roman"/>
          <w:color w:val="000000" w:themeColor="text1"/>
          <w:sz w:val="24"/>
          <w:lang w:val="en-US"/>
        </w:rPr>
        <w:t>. At the current average adoption level of 1.2 ha/family, each farm household obtains about 233 kg per year more yield and 1,703 MAD (US$197.6) per year.</w:t>
      </w:r>
    </w:p>
    <w:p>
      <w:pPr>
        <w:spacing w:after="200" w:line="480" w:lineRule="auto"/>
        <w:jc w:val="both"/>
        <w:rPr>
          <w:rFonts w:ascii="Times New Roman" w:eastAsia="Calibri" w:hAnsi="Times New Roman" w:cs="Times New Roman"/>
          <w:color w:val="000000" w:themeColor="text1"/>
          <w:sz w:val="24"/>
          <w:szCs w:val="24"/>
          <w:lang w:val="en-US"/>
        </w:rPr>
      </w:pPr>
      <w:r>
        <w:rPr>
          <w:rFonts w:ascii="Times New Roman" w:hAnsi="Times New Roman" w:cs="Times New Roman"/>
          <w:color w:val="000000" w:themeColor="text1"/>
          <w:sz w:val="24"/>
          <w:lang w:val="en-US"/>
        </w:rPr>
        <w:lastRenderedPageBreak/>
        <w:t xml:space="preserve">Table 3:  </w:t>
      </w:r>
      <w:r>
        <w:rPr>
          <w:rFonts w:ascii="Times New Roman" w:eastAsia="Calibri" w:hAnsi="Times New Roman" w:cs="Times New Roman"/>
          <w:color w:val="000000" w:themeColor="text1"/>
          <w:sz w:val="24"/>
          <w:szCs w:val="24"/>
          <w:lang w:val="en-US"/>
        </w:rPr>
        <w:t xml:space="preserve">Full information maximum likelihood estimates of the </w:t>
      </w:r>
      <w:r>
        <w:rPr>
          <w:rFonts w:ascii="Times New Roman" w:eastAsia="Times New Roman" w:hAnsi="Times New Roman" w:cs="Times New Roman"/>
          <w:color w:val="000000" w:themeColor="text1"/>
          <w:sz w:val="24"/>
          <w:szCs w:val="24"/>
          <w:lang w:val="en-US"/>
        </w:rPr>
        <w:t>endogenous</w:t>
      </w:r>
      <w:r>
        <w:rPr>
          <w:rFonts w:ascii="Times New Roman" w:eastAsia="Calibri" w:hAnsi="Times New Roman" w:cs="Times New Roman"/>
          <w:color w:val="000000" w:themeColor="text1"/>
          <w:sz w:val="24"/>
          <w:szCs w:val="24"/>
          <w:lang w:val="en-US"/>
        </w:rPr>
        <w:t xml:space="preserve"> switching regression model for yields (kg/ha)</w:t>
      </w:r>
    </w:p>
    <w:tbl>
      <w:tblPr>
        <w:tblStyle w:val="LightShading13"/>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5754"/>
        <w:gridCol w:w="1425"/>
        <w:gridCol w:w="1171"/>
        <w:gridCol w:w="1036"/>
        <w:gridCol w:w="1145"/>
        <w:gridCol w:w="1189"/>
        <w:gridCol w:w="1230"/>
      </w:tblGrid>
      <w:tr>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2222" w:type="pct"/>
            <w:vMerge w:val="restart"/>
            <w:tcBorders>
              <w:left w:val="single" w:sz="4" w:space="0" w:color="auto"/>
              <w:bottom w:val="single" w:sz="4" w:space="0" w:color="auto"/>
              <w:right w:val="single" w:sz="4" w:space="0" w:color="auto"/>
            </w:tcBorders>
            <w:noWrap/>
            <w:vAlign w:val="center"/>
            <w:hideMark/>
          </w:tcPr>
          <w:p>
            <w:pPr>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Independent Variables</w:t>
            </w:r>
          </w:p>
        </w:tc>
        <w:tc>
          <w:tcPr>
            <w:tcW w:w="1001" w:type="pct"/>
            <w:gridSpan w:val="2"/>
            <w:tcBorders>
              <w:left w:val="single" w:sz="4" w:space="0" w:color="auto"/>
              <w:right w:val="single" w:sz="4" w:space="0" w:color="auto"/>
            </w:tcBorders>
            <w:hideMark/>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Yield  Equation</w:t>
            </w:r>
          </w:p>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 for Adopter</w:t>
            </w:r>
          </w:p>
        </w:tc>
        <w:tc>
          <w:tcPr>
            <w:tcW w:w="842" w:type="pct"/>
            <w:gridSpan w:val="2"/>
            <w:tcBorders>
              <w:left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Yield Equation for Non-Adopter</w:t>
            </w:r>
          </w:p>
        </w:tc>
        <w:tc>
          <w:tcPr>
            <w:tcW w:w="935" w:type="pct"/>
            <w:gridSpan w:val="2"/>
            <w:tcBorders>
              <w:left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Adoption of improved </w:t>
            </w:r>
            <w:r>
              <w:rPr>
                <w:rFonts w:ascii="Times New Roman" w:hAnsi="Times New Roman" w:cs="Times New Roman"/>
                <w:b w:val="0"/>
                <w:color w:val="000000" w:themeColor="text1"/>
                <w:sz w:val="24"/>
                <w:lang w:val="en-US"/>
              </w:rPr>
              <w:t>faba bean</w:t>
            </w:r>
            <w:r>
              <w:rPr>
                <w:rFonts w:ascii="Times New Roman" w:hAnsi="Times New Roman" w:cs="Times New Roman"/>
                <w:b w:val="0"/>
                <w:color w:val="000000" w:themeColor="text1"/>
                <w:sz w:val="24"/>
                <w:szCs w:val="24"/>
              </w:rPr>
              <w:t xml:space="preserve"> (No=0,Yes=1)</w:t>
            </w:r>
          </w:p>
        </w:tc>
      </w:tr>
      <w:tr>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2222" w:type="pct"/>
            <w:vMerge/>
            <w:tcBorders>
              <w:top w:val="single" w:sz="8" w:space="0" w:color="000000" w:themeColor="text1"/>
              <w:left w:val="single" w:sz="4" w:space="0" w:color="auto"/>
              <w:bottom w:val="single" w:sz="4" w:space="0" w:color="auto"/>
              <w:right w:val="single" w:sz="4" w:space="0" w:color="auto"/>
            </w:tcBorders>
            <w:vAlign w:val="center"/>
            <w:hideMark/>
          </w:tcPr>
          <w:p>
            <w:pPr>
              <w:rPr>
                <w:rFonts w:ascii="Times New Roman" w:hAnsi="Times New Roman" w:cs="Times New Roman"/>
                <w:b w:val="0"/>
                <w:color w:val="000000" w:themeColor="text1"/>
                <w:sz w:val="24"/>
                <w:szCs w:val="24"/>
              </w:rPr>
            </w:pPr>
          </w:p>
        </w:tc>
        <w:tc>
          <w:tcPr>
            <w:tcW w:w="550"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Coef.</w:t>
            </w:r>
          </w:p>
        </w:tc>
        <w:tc>
          <w:tcPr>
            <w:tcW w:w="452"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Std.Er</w:t>
            </w:r>
          </w:p>
        </w:tc>
        <w:tc>
          <w:tcPr>
            <w:tcW w:w="400"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Coef.</w:t>
            </w:r>
          </w:p>
        </w:tc>
        <w:tc>
          <w:tcPr>
            <w:tcW w:w="442"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Std.Er</w:t>
            </w:r>
          </w:p>
        </w:tc>
        <w:tc>
          <w:tcPr>
            <w:tcW w:w="459"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Coef.</w:t>
            </w:r>
          </w:p>
        </w:tc>
        <w:tc>
          <w:tcPr>
            <w:tcW w:w="477"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Std.Er</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Age (Years)</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0.048</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0.028*</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0.011</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0.010</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2.059</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1.145*</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Number of years of education</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0.054</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0.020***</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0.006</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0.006</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1.902</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0.897**</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Number of family members working on own farm (Person days/ha)</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0.013</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0.013</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0.007</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0.005</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-0.661</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0.330**</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Get a credit from a bank {1=yes, 0=No}</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-0.008</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0.012</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0.001</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0.005</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1.565</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0.349***</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Off-farm employment {1=yes, 0=No}</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-0.031</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0.017*</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0.008</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0.007</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0.323</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1.260</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 xml:space="preserve">Faba bean area (Ha)  </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0.084</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0.022***</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0.001</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0.008</w:t>
            </w:r>
          </w:p>
        </w:tc>
        <w:tc>
          <w:tcPr>
            <w:tcW w:w="459" w:type="pct"/>
            <w:tcBorders>
              <w:top w:val="single" w:sz="4" w:space="0" w:color="auto"/>
              <w:left w:val="single" w:sz="4" w:space="0" w:color="auto"/>
              <w:bottom w:val="single" w:sz="4" w:space="0" w:color="auto"/>
              <w:right w:val="single" w:sz="4" w:space="0" w:color="auto"/>
            </w:tcBorders>
          </w:tcPr>
          <w:p>
            <w:pPr>
              <w:tabs>
                <w:tab w:val="left" w:pos="80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3.518</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1.225***</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Total cropped area (Ha)</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-0.041</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0.016***</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-0.014</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0.009</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-0.714</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0.866</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Walking distance from seed sources (km)</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0.012</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0.007*</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0.006</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0.003**</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-0.304</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0.304</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Was the seed you used certified? {1=yes, 0=No}</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0.009</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0.001***</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0.009</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0.011</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3.193</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1.028***</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Price of seed</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0.574</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0.141***</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-0.015</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0.008**</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0.842</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0.465*</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Farm in favorable zone{1=yes, 0=No}</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-0.041</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0.024*</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0.008</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0.005</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0.387</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0.456</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Farm in intermediate zone {1=yes, 0=No}</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-0.013</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0.021</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0.012</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0.006**</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0.878</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0.592</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Are you active or leader in the community</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1.915</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1.265</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Quantity of nitrogen fertilizer used (kg/ha)</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0.006</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0.003*</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-0.006</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0.002***</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0.673</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0.147***</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Quantity of DAP fertilizer used (kg/ha)</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0.031</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0.017*</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0.134</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0.005***</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1.611</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1.211</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Amount of seed used(kg/ha)</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-0.021</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0.047</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0.027</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0.014*</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3.962</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1.508***</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Constant</w:t>
            </w:r>
          </w:p>
        </w:tc>
        <w:tc>
          <w:tcPr>
            <w:tcW w:w="550"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5.769</w:t>
            </w:r>
          </w:p>
        </w:tc>
        <w:tc>
          <w:tcPr>
            <w:tcW w:w="45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0.398***</w:t>
            </w:r>
          </w:p>
        </w:tc>
        <w:tc>
          <w:tcPr>
            <w:tcW w:w="40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6.305</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0.081***</w:t>
            </w:r>
          </w:p>
        </w:tc>
        <w:tc>
          <w:tcPr>
            <w:tcW w:w="459"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-40.740</w:t>
            </w: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15.298***</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Log likelihood</w:t>
            </w:r>
          </w:p>
        </w:tc>
        <w:tc>
          <w:tcPr>
            <w:tcW w:w="550"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603.5</w:t>
            </w:r>
          </w:p>
        </w:tc>
        <w:tc>
          <w:tcPr>
            <w:tcW w:w="452"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00"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42"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59"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Rho</w:t>
            </w:r>
          </w:p>
        </w:tc>
        <w:tc>
          <w:tcPr>
            <w:tcW w:w="550"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-4.679</w:t>
            </w:r>
          </w:p>
        </w:tc>
        <w:tc>
          <w:tcPr>
            <w:tcW w:w="452"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1.401***</w:t>
            </w:r>
          </w:p>
        </w:tc>
        <w:tc>
          <w:tcPr>
            <w:tcW w:w="400"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-3.728</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1.163***</w:t>
            </w:r>
          </w:p>
        </w:tc>
        <w:tc>
          <w:tcPr>
            <w:tcW w:w="459"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2"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sigma</w:t>
            </w:r>
          </w:p>
        </w:tc>
        <w:tc>
          <w:tcPr>
            <w:tcW w:w="550"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-3.256</w:t>
            </w:r>
          </w:p>
        </w:tc>
        <w:tc>
          <w:tcPr>
            <w:tcW w:w="452"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0.041***</w:t>
            </w:r>
          </w:p>
        </w:tc>
        <w:tc>
          <w:tcPr>
            <w:tcW w:w="400"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-3.256</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0.041***</w:t>
            </w:r>
          </w:p>
        </w:tc>
        <w:tc>
          <w:tcPr>
            <w:tcW w:w="459"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77"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bl>
    <w:p>
      <w:pPr>
        <w:spacing w:after="200" w:line="480" w:lineRule="auto"/>
        <w:jc w:val="both"/>
        <w:rPr>
          <w:rFonts w:ascii="Times New Roman" w:hAnsi="Times New Roman" w:cs="Times New Roman"/>
          <w:color w:val="000000" w:themeColor="text1"/>
          <w:sz w:val="24"/>
          <w:lang w:val="en-US"/>
        </w:rPr>
        <w:sectPr>
          <w:pgSz w:w="15840" w:h="12240" w:orient="landscape"/>
          <w:pgMar w:top="1440" w:right="1440" w:bottom="1440" w:left="1440" w:header="720" w:footer="720" w:gutter="0"/>
          <w:cols w:space="720"/>
          <w:docGrid w:linePitch="360"/>
        </w:sectPr>
      </w:pPr>
      <w:r>
        <w:rPr>
          <w:rFonts w:ascii="Times New Roman" w:hAnsi="Times New Roman" w:cs="Times New Roman"/>
          <w:color w:val="000000" w:themeColor="text1"/>
          <w:sz w:val="24"/>
          <w:lang w:val="en-US"/>
        </w:rPr>
        <w:t xml:space="preserve"> </w:t>
      </w:r>
    </w:p>
    <w:p>
      <w:pPr>
        <w:spacing w:line="480" w:lineRule="auto"/>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lastRenderedPageBreak/>
        <w:t>Table 4: Average Expected Treatment and Heterogeneity Effects on Yield (kg/ha) from Endogenous Switching Regression</w:t>
      </w:r>
    </w:p>
    <w:tbl>
      <w:tblPr>
        <w:tblStyle w:val="TableGrid4"/>
        <w:tblW w:w="5000" w:type="pct"/>
        <w:tblLayout w:type="fixed"/>
        <w:tblLook w:val="04A0" w:firstRow="1" w:lastRow="0" w:firstColumn="1" w:lastColumn="0" w:noHBand="0" w:noVBand="1"/>
      </w:tblPr>
      <w:tblGrid>
        <w:gridCol w:w="4546"/>
        <w:gridCol w:w="1756"/>
        <w:gridCol w:w="1571"/>
        <w:gridCol w:w="1477"/>
      </w:tblGrid>
      <w:tr>
        <w:tc>
          <w:tcPr>
            <w:tcW w:w="2431" w:type="pct"/>
            <w:vAlign w:val="bottom"/>
          </w:tcPr>
          <w:p>
            <w:pPr>
              <w:spacing w:line="360" w:lineRule="auto"/>
              <w:jc w:val="center"/>
              <w:rPr>
                <w:rFonts w:ascii="Times New Roman" w:hAnsi="Times New Roman" w:cs="Times New Roman"/>
                <w:color w:val="000000" w:themeColor="text1"/>
                <w:sz w:val="24"/>
                <w:szCs w:val="24"/>
              </w:rPr>
            </w:pPr>
          </w:p>
        </w:tc>
        <w:tc>
          <w:tcPr>
            <w:tcW w:w="1779" w:type="pct"/>
            <w:gridSpan w:val="2"/>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Decision Stage</w:t>
            </w:r>
          </w:p>
        </w:tc>
        <w:tc>
          <w:tcPr>
            <w:tcW w:w="790" w:type="pct"/>
            <w:vAlign w:val="bottom"/>
          </w:tcPr>
          <w:p>
            <w:pPr>
              <w:spacing w:line="360" w:lineRule="auto"/>
              <w:jc w:val="center"/>
              <w:rPr>
                <w:rFonts w:ascii="Times New Roman" w:hAnsi="Times New Roman" w:cs="Times New Roman"/>
                <w:color w:val="000000" w:themeColor="text1"/>
                <w:sz w:val="24"/>
                <w:szCs w:val="24"/>
              </w:rPr>
            </w:pP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Subsamples Effects</w:t>
            </w:r>
          </w:p>
        </w:tc>
        <w:tc>
          <w:tcPr>
            <w:tcW w:w="939"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Adopt</w:t>
            </w:r>
          </w:p>
        </w:tc>
        <w:tc>
          <w:tcPr>
            <w:tcW w:w="84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Not to Adopt</w:t>
            </w:r>
          </w:p>
        </w:tc>
        <w:tc>
          <w:tcPr>
            <w:tcW w:w="79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Treatment</w:t>
            </w: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Farm households that adopted</w:t>
            </w:r>
          </w:p>
        </w:tc>
        <w:tc>
          <w:tcPr>
            <w:tcW w:w="939"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1394.1</w:t>
            </w:r>
          </w:p>
        </w:tc>
        <w:tc>
          <w:tcPr>
            <w:tcW w:w="84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 1199.9</w:t>
            </w:r>
          </w:p>
        </w:tc>
        <w:tc>
          <w:tcPr>
            <w:tcW w:w="79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194.2***</w:t>
            </w: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Farm households that did not adopt</w:t>
            </w:r>
          </w:p>
        </w:tc>
        <w:tc>
          <w:tcPr>
            <w:tcW w:w="939"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 1274.1</w:t>
            </w:r>
          </w:p>
        </w:tc>
        <w:tc>
          <w:tcPr>
            <w:tcW w:w="84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 1152.9</w:t>
            </w:r>
          </w:p>
        </w:tc>
        <w:tc>
          <w:tcPr>
            <w:tcW w:w="79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121.2***</w:t>
            </w: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Heterogeneity effects</w:t>
            </w:r>
          </w:p>
        </w:tc>
        <w:tc>
          <w:tcPr>
            <w:tcW w:w="939"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120</w:t>
            </w:r>
          </w:p>
        </w:tc>
        <w:tc>
          <w:tcPr>
            <w:tcW w:w="84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47</w:t>
            </w:r>
          </w:p>
        </w:tc>
        <w:tc>
          <w:tcPr>
            <w:tcW w:w="79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73</w:t>
            </w:r>
          </w:p>
        </w:tc>
      </w:tr>
    </w:tbl>
    <w:p>
      <w:pPr>
        <w:spacing w:after="200" w:line="480" w:lineRule="auto"/>
        <w:jc w:val="both"/>
        <w:rPr>
          <w:rFonts w:ascii="Times New Roman" w:hAnsi="Times New Roman" w:cs="Times New Roman"/>
          <w:color w:val="000000" w:themeColor="text1"/>
          <w:sz w:val="24"/>
          <w:lang w:val="en-US"/>
        </w:rPr>
      </w:pPr>
    </w:p>
    <w:p>
      <w:pPr>
        <w:spacing w:after="100" w:afterAutospacing="1"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Given that ESR is potent in correcting for biases both from observable and unobservable factors,   the 1.2 % higher yield effects from ESR relative to PSM shows that unobservable factors such as skills of the farmers who have adopted the technology are important in explaining the differences in yield effects.  In this particular case, the unobservable factors are leading to underestimation of the yield impacts which ESR was able to correct while PSM couldn’t.</w:t>
      </w:r>
    </w:p>
    <w:p>
      <w:pPr>
        <w:spacing w:after="100" w:afterAutospacing="1"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3.2 Impacts on faba bean income  </w:t>
      </w:r>
    </w:p>
    <w:p>
      <w:pPr>
        <w:spacing w:after="100" w:afterAutospacing="1"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Estimates of the treatment effects on net margins from PSM are provided in Table 5 below. The results show that adoption of improved faba bean varieties provide on the average 707.6 MAD/ha (9%) higher net faba bean income for adopters. If non adopters were to adopt the improved varieties, they would have earned 719.7 MAD/ha more net income showing that the benefit to both adopters and non-adopters is almost the same. Given the average area under improved varieties per family of 1.2 ha, a typical adopter family currently earns 863.6 MAD of additional net faba bean income each year. </w:t>
      </w:r>
    </w:p>
    <w:p>
      <w:pPr>
        <w:spacing w:after="200"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Table 5: Treatment Effects on Net Margins (SYP/ha) from Propensity Score Matching </w:t>
      </w:r>
    </w:p>
    <w:tbl>
      <w:tblPr>
        <w:tblStyle w:val="LightShading11"/>
        <w:tblW w:w="43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927"/>
        <w:gridCol w:w="1352"/>
        <w:gridCol w:w="1298"/>
        <w:gridCol w:w="1540"/>
        <w:gridCol w:w="1178"/>
        <w:gridCol w:w="828"/>
      </w:tblGrid>
      <w:tr>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02" w:type="pct"/>
            <w:tcBorders>
              <w:top w:val="none" w:sz="0" w:space="0" w:color="auto"/>
              <w:left w:val="none" w:sz="0" w:space="0" w:color="auto"/>
              <w:bottom w:val="none" w:sz="0" w:space="0" w:color="auto"/>
              <w:right w:val="none" w:sz="0" w:space="0" w:color="auto"/>
            </w:tcBorders>
          </w:tcPr>
          <w:p>
            <w:pPr>
              <w:spacing w:before="30" w:after="30" w:line="360" w:lineRule="auto"/>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lastRenderedPageBreak/>
              <w:t>Group</w:t>
            </w:r>
          </w:p>
        </w:tc>
        <w:tc>
          <w:tcPr>
            <w:tcW w:w="848" w:type="pct"/>
            <w:tcBorders>
              <w:top w:val="none" w:sz="0" w:space="0" w:color="auto"/>
              <w:left w:val="none" w:sz="0" w:space="0" w:color="auto"/>
              <w:bottom w:val="none" w:sz="0" w:space="0" w:color="auto"/>
              <w:right w:val="none" w:sz="0" w:space="0" w:color="auto"/>
            </w:tcBorders>
          </w:tcPr>
          <w:p>
            <w:pPr>
              <w:spacing w:before="30" w:after="30" w:line="360" w:lineRule="auto"/>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Treatment group</w:t>
            </w:r>
          </w:p>
        </w:tc>
        <w:tc>
          <w:tcPr>
            <w:tcW w:w="815" w:type="pct"/>
            <w:tcBorders>
              <w:top w:val="none" w:sz="0" w:space="0" w:color="auto"/>
              <w:left w:val="none" w:sz="0" w:space="0" w:color="auto"/>
              <w:bottom w:val="none" w:sz="0" w:space="0" w:color="auto"/>
              <w:right w:val="none" w:sz="0" w:space="0" w:color="auto"/>
            </w:tcBorders>
          </w:tcPr>
          <w:p>
            <w:pPr>
              <w:spacing w:before="30" w:after="30" w:line="360" w:lineRule="auto"/>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Control group</w:t>
            </w:r>
          </w:p>
        </w:tc>
        <w:tc>
          <w:tcPr>
            <w:tcW w:w="964" w:type="pct"/>
            <w:tcBorders>
              <w:top w:val="none" w:sz="0" w:space="0" w:color="auto"/>
              <w:left w:val="none" w:sz="0" w:space="0" w:color="auto"/>
              <w:bottom w:val="none" w:sz="0" w:space="0" w:color="auto"/>
              <w:right w:val="none" w:sz="0" w:space="0" w:color="auto"/>
            </w:tcBorders>
          </w:tcPr>
          <w:p>
            <w:pPr>
              <w:spacing w:before="30" w:after="3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hAnsi="Times New Roman" w:cs="Times New Roman"/>
                <w:color w:val="000000" w:themeColor="text1"/>
                <w:sz w:val="24"/>
                <w:szCs w:val="24"/>
              </w:rPr>
              <w:t>Difference</w:t>
            </w:r>
          </w:p>
        </w:tc>
        <w:tc>
          <w:tcPr>
            <w:tcW w:w="741" w:type="pct"/>
            <w:tcBorders>
              <w:top w:val="none" w:sz="0" w:space="0" w:color="auto"/>
              <w:left w:val="none" w:sz="0" w:space="0" w:color="auto"/>
              <w:bottom w:val="none" w:sz="0" w:space="0" w:color="auto"/>
              <w:right w:val="none" w:sz="0" w:space="0" w:color="auto"/>
            </w:tcBorders>
          </w:tcPr>
          <w:p>
            <w:pPr>
              <w:spacing w:before="30" w:after="3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S.E.</w:t>
            </w:r>
          </w:p>
        </w:tc>
        <w:tc>
          <w:tcPr>
            <w:tcW w:w="430" w:type="pct"/>
            <w:tcBorders>
              <w:top w:val="none" w:sz="0" w:space="0" w:color="auto"/>
              <w:left w:val="none" w:sz="0" w:space="0" w:color="auto"/>
              <w:bottom w:val="none" w:sz="0" w:space="0" w:color="auto"/>
              <w:right w:val="none" w:sz="0" w:space="0" w:color="auto"/>
            </w:tcBorders>
          </w:tcPr>
          <w:p>
            <w:pPr>
              <w:spacing w:before="30" w:after="3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T-stat</w:t>
            </w:r>
          </w:p>
        </w:tc>
      </w:tr>
      <w:tr>
        <w:trPr>
          <w:trHeight w:val="20"/>
        </w:trPr>
        <w:tc>
          <w:tcPr>
            <w:cnfStyle w:val="001000000000" w:firstRow="0" w:lastRow="0" w:firstColumn="1" w:lastColumn="0" w:oddVBand="0" w:evenVBand="0" w:oddHBand="0" w:evenHBand="0" w:firstRowFirstColumn="0" w:firstRowLastColumn="0" w:lastRowFirstColumn="0" w:lastRowLastColumn="0"/>
            <w:tcW w:w="1202" w:type="pct"/>
          </w:tcPr>
          <w:p>
            <w:pPr>
              <w:spacing w:before="30" w:after="30" w:line="36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Unmatched</w:t>
            </w:r>
          </w:p>
        </w:tc>
        <w:tc>
          <w:tcPr>
            <w:tcW w:w="848"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8998.5</w:t>
            </w:r>
          </w:p>
        </w:tc>
        <w:tc>
          <w:tcPr>
            <w:tcW w:w="815"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7773.2</w:t>
            </w:r>
          </w:p>
        </w:tc>
        <w:tc>
          <w:tcPr>
            <w:tcW w:w="964"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1225.4</w:t>
            </w:r>
          </w:p>
        </w:tc>
        <w:tc>
          <w:tcPr>
            <w:tcW w:w="741"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107.2</w:t>
            </w:r>
          </w:p>
        </w:tc>
        <w:tc>
          <w:tcPr>
            <w:tcW w:w="430"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11.43</w:t>
            </w:r>
            <w:r>
              <w:rPr>
                <w:rFonts w:ascii="Times New Roman" w:hAnsi="Times New Roman" w:cs="Times New Roman"/>
                <w:color w:val="000000" w:themeColor="text1"/>
                <w:sz w:val="24"/>
                <w:szCs w:val="24"/>
                <w:vertAlign w:val="superscript"/>
              </w:rPr>
              <w:t>a</w:t>
            </w:r>
          </w:p>
        </w:tc>
      </w:tr>
      <w:tr>
        <w:trPr>
          <w:trHeight w:val="20"/>
        </w:trPr>
        <w:tc>
          <w:tcPr>
            <w:cnfStyle w:val="001000000000" w:firstRow="0" w:lastRow="0" w:firstColumn="1" w:lastColumn="0" w:oddVBand="0" w:evenVBand="0" w:oddHBand="0" w:evenHBand="0" w:firstRowFirstColumn="0" w:firstRowLastColumn="0" w:lastRowFirstColumn="0" w:lastRowLastColumn="0"/>
            <w:tcW w:w="1202" w:type="pct"/>
          </w:tcPr>
          <w:p>
            <w:pPr>
              <w:spacing w:before="30" w:after="30" w:line="36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ATT</w:t>
            </w:r>
          </w:p>
        </w:tc>
        <w:tc>
          <w:tcPr>
            <w:tcW w:w="848"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8657.8</w:t>
            </w:r>
          </w:p>
        </w:tc>
        <w:tc>
          <w:tcPr>
            <w:tcW w:w="815"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7950.2</w:t>
            </w:r>
          </w:p>
        </w:tc>
        <w:tc>
          <w:tcPr>
            <w:tcW w:w="964"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707.6</w:t>
            </w:r>
          </w:p>
        </w:tc>
        <w:tc>
          <w:tcPr>
            <w:tcW w:w="741"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213.5</w:t>
            </w:r>
          </w:p>
        </w:tc>
        <w:tc>
          <w:tcPr>
            <w:tcW w:w="430"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3.31</w:t>
            </w:r>
            <w:r>
              <w:rPr>
                <w:rFonts w:ascii="Times New Roman" w:hAnsi="Times New Roman" w:cs="Times New Roman"/>
                <w:color w:val="000000" w:themeColor="text1"/>
                <w:sz w:val="24"/>
                <w:szCs w:val="24"/>
                <w:vertAlign w:val="superscript"/>
              </w:rPr>
              <w:t xml:space="preserve"> a</w:t>
            </w:r>
          </w:p>
        </w:tc>
      </w:tr>
      <w:tr>
        <w:trPr>
          <w:trHeight w:val="20"/>
        </w:trPr>
        <w:tc>
          <w:tcPr>
            <w:cnfStyle w:val="001000000000" w:firstRow="0" w:lastRow="0" w:firstColumn="1" w:lastColumn="0" w:oddVBand="0" w:evenVBand="0" w:oddHBand="0" w:evenHBand="0" w:firstRowFirstColumn="0" w:firstRowLastColumn="0" w:lastRowFirstColumn="0" w:lastRowLastColumn="0"/>
            <w:tcW w:w="1202" w:type="pct"/>
          </w:tcPr>
          <w:p>
            <w:pPr>
              <w:spacing w:before="30" w:after="30" w:line="36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ATU</w:t>
            </w:r>
          </w:p>
        </w:tc>
        <w:tc>
          <w:tcPr>
            <w:tcW w:w="848"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7793.6</w:t>
            </w:r>
          </w:p>
        </w:tc>
        <w:tc>
          <w:tcPr>
            <w:tcW w:w="815"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8513.3</w:t>
            </w:r>
          </w:p>
        </w:tc>
        <w:tc>
          <w:tcPr>
            <w:tcW w:w="964"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719.7</w:t>
            </w:r>
          </w:p>
        </w:tc>
        <w:tc>
          <w:tcPr>
            <w:tcW w:w="741"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430"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r>
      <w:tr>
        <w:trPr>
          <w:trHeight w:val="20"/>
        </w:trPr>
        <w:tc>
          <w:tcPr>
            <w:cnfStyle w:val="001000000000" w:firstRow="0" w:lastRow="0" w:firstColumn="1" w:lastColumn="0" w:oddVBand="0" w:evenVBand="0" w:oddHBand="0" w:evenHBand="0" w:firstRowFirstColumn="0" w:firstRowLastColumn="0" w:lastRowFirstColumn="0" w:lastRowLastColumn="0"/>
            <w:tcW w:w="1202" w:type="pct"/>
          </w:tcPr>
          <w:p>
            <w:pPr>
              <w:spacing w:before="30" w:after="30" w:line="36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ATE</w:t>
            </w:r>
          </w:p>
        </w:tc>
        <w:tc>
          <w:tcPr>
            <w:tcW w:w="848"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815"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964"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714.3</w:t>
            </w:r>
          </w:p>
        </w:tc>
        <w:tc>
          <w:tcPr>
            <w:tcW w:w="741"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430"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r>
    </w:tbl>
    <w:p>
      <w:pPr>
        <w:spacing w:after="200"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vertAlign w:val="superscript"/>
          <w:lang w:val="en-US"/>
        </w:rPr>
        <w:t xml:space="preserve">a </w:t>
      </w:r>
      <w:r>
        <w:rPr>
          <w:rFonts w:ascii="Times New Roman" w:hAnsi="Times New Roman" w:cs="Times New Roman"/>
          <w:color w:val="000000" w:themeColor="text1"/>
          <w:sz w:val="24"/>
          <w:lang w:val="en-US"/>
        </w:rPr>
        <w:t xml:space="preserve">and </w:t>
      </w:r>
      <w:r>
        <w:rPr>
          <w:rFonts w:ascii="Times New Roman" w:hAnsi="Times New Roman" w:cs="Times New Roman"/>
          <w:color w:val="000000" w:themeColor="text1"/>
          <w:sz w:val="24"/>
          <w:vertAlign w:val="superscript"/>
          <w:lang w:val="en-US"/>
        </w:rPr>
        <w:t>b</w:t>
      </w:r>
      <w:r>
        <w:rPr>
          <w:rFonts w:ascii="Times New Roman" w:hAnsi="Times New Roman" w:cs="Times New Roman"/>
          <w:color w:val="000000" w:themeColor="text1"/>
          <w:sz w:val="24"/>
          <w:lang w:val="en-US"/>
        </w:rPr>
        <w:t xml:space="preserve"> show significance at 0.01 and 0.05 levels</w:t>
      </w:r>
    </w:p>
    <w:p>
      <w:pPr>
        <w:spacing w:after="100" w:afterAutospacing="1"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 Estimates of the Endogenous Switching Regression (ESR) are provided in Table 6 below. </w:t>
      </w:r>
    </w:p>
    <w:p>
      <w:pPr>
        <w:spacing w:after="100" w:afterAutospacing="1"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Like the yield equation the DAP fertilizers</w:t>
      </w:r>
      <w:r>
        <w:rPr>
          <w:rFonts w:ascii="Times New Roman" w:eastAsia="Times New Roman" w:hAnsi="Times New Roman" w:cs="Times New Roman"/>
          <w:bCs/>
          <w:sz w:val="24"/>
          <w:szCs w:val="24"/>
        </w:rPr>
        <w:t xml:space="preserve"> </w:t>
      </w:r>
      <w:r>
        <w:rPr>
          <w:rFonts w:ascii="Times New Roman" w:hAnsi="Times New Roman" w:cs="Times New Roman"/>
          <w:color w:val="000000" w:themeColor="text1"/>
          <w:sz w:val="24"/>
          <w:lang w:val="en-US"/>
        </w:rPr>
        <w:t>has positive and significant effects on net margins for non-adopters , nitrogen fertilizer has negative and significant effects on net margins for non-adopters .</w:t>
      </w:r>
    </w:p>
    <w:p>
      <w:pPr>
        <w:spacing w:after="100" w:afterAutospacing="1" w:line="480" w:lineRule="auto"/>
        <w:jc w:val="both"/>
        <w:rPr>
          <w:rFonts w:ascii="Times New Roman" w:hAnsi="Times New Roman" w:cs="Times New Roman"/>
          <w:color w:val="000000" w:themeColor="text1"/>
          <w:sz w:val="24"/>
          <w:lang w:val="en-US"/>
        </w:rPr>
        <w:sectPr>
          <w:pgSz w:w="12240" w:h="15840"/>
          <w:pgMar w:top="1440" w:right="1440" w:bottom="1440" w:left="1440" w:header="720" w:footer="720" w:gutter="0"/>
          <w:cols w:space="720"/>
          <w:docGrid w:linePitch="360"/>
        </w:sectPr>
      </w:pPr>
      <w:r>
        <w:rPr>
          <w:rFonts w:ascii="Times New Roman" w:hAnsi="Times New Roman" w:cs="Times New Roman"/>
          <w:color w:val="000000" w:themeColor="text1"/>
          <w:sz w:val="24"/>
          <w:lang w:val="en-US"/>
        </w:rPr>
        <w:t xml:space="preserve">Table 7 presents the estimates of treatment effects from ESR. The results show that adoption of improved faba bean varieties provide on the average 932.8 MAD/ha (12%) higher net faba bean income for adopters. If non adopters were to adopt the improved varieties, they would have earned 559 MAD/ha more net income showing that the benefit to those who already adopted is higher, which may explain why they adopted while the others have not. </w:t>
      </w:r>
    </w:p>
    <w:p>
      <w:pPr>
        <w:spacing w:after="200" w:line="480" w:lineRule="auto"/>
        <w:jc w:val="both"/>
        <w:rPr>
          <w:rFonts w:ascii="Times New Roman" w:eastAsia="Calibri" w:hAnsi="Times New Roman" w:cs="Times New Roman"/>
          <w:color w:val="000000" w:themeColor="text1"/>
          <w:sz w:val="24"/>
          <w:szCs w:val="24"/>
          <w:lang w:val="en-US"/>
        </w:rPr>
      </w:pPr>
      <w:r>
        <w:rPr>
          <w:rFonts w:ascii="Times New Roman" w:hAnsi="Times New Roman" w:cs="Times New Roman"/>
          <w:color w:val="000000" w:themeColor="text1"/>
          <w:sz w:val="24"/>
          <w:lang w:val="en-US"/>
        </w:rPr>
        <w:lastRenderedPageBreak/>
        <w:t xml:space="preserve">Table 6:  </w:t>
      </w:r>
      <w:r>
        <w:rPr>
          <w:rFonts w:ascii="Times New Roman" w:eastAsia="Calibri" w:hAnsi="Times New Roman" w:cs="Times New Roman"/>
          <w:color w:val="000000" w:themeColor="text1"/>
          <w:sz w:val="24"/>
          <w:szCs w:val="24"/>
          <w:lang w:val="en-US"/>
        </w:rPr>
        <w:t xml:space="preserve">Full information maximum likelihood estimates of the </w:t>
      </w:r>
      <w:r>
        <w:rPr>
          <w:rFonts w:ascii="Times New Roman" w:eastAsia="Times New Roman" w:hAnsi="Times New Roman" w:cs="Times New Roman"/>
          <w:color w:val="000000" w:themeColor="text1"/>
          <w:sz w:val="24"/>
          <w:szCs w:val="24"/>
          <w:lang w:val="en-US"/>
        </w:rPr>
        <w:t>endogenous</w:t>
      </w:r>
      <w:r>
        <w:rPr>
          <w:rFonts w:ascii="Times New Roman" w:eastAsia="Calibri" w:hAnsi="Times New Roman" w:cs="Times New Roman"/>
          <w:color w:val="000000" w:themeColor="text1"/>
          <w:sz w:val="24"/>
          <w:szCs w:val="24"/>
          <w:lang w:val="en-US"/>
        </w:rPr>
        <w:t xml:space="preserve"> switching regression model for net income</w:t>
      </w:r>
    </w:p>
    <w:tbl>
      <w:tblPr>
        <w:tblStyle w:val="LightShading12"/>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5756"/>
        <w:gridCol w:w="1424"/>
        <w:gridCol w:w="1170"/>
        <w:gridCol w:w="1037"/>
        <w:gridCol w:w="1145"/>
        <w:gridCol w:w="1188"/>
        <w:gridCol w:w="1111"/>
      </w:tblGrid>
      <w:tr>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2243" w:type="pct"/>
            <w:vMerge w:val="restart"/>
            <w:tcBorders>
              <w:left w:val="single" w:sz="4" w:space="0" w:color="auto"/>
              <w:bottom w:val="single" w:sz="4" w:space="0" w:color="auto"/>
              <w:right w:val="single" w:sz="4" w:space="0" w:color="auto"/>
            </w:tcBorders>
            <w:noWrap/>
            <w:vAlign w:val="center"/>
            <w:hideMark/>
          </w:tcPr>
          <w:p>
            <w:pPr>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Independent Variables</w:t>
            </w:r>
          </w:p>
        </w:tc>
        <w:tc>
          <w:tcPr>
            <w:tcW w:w="1011" w:type="pct"/>
            <w:gridSpan w:val="2"/>
            <w:tcBorders>
              <w:left w:val="single" w:sz="4" w:space="0" w:color="auto"/>
              <w:right w:val="single" w:sz="4" w:space="0" w:color="auto"/>
            </w:tcBorders>
            <w:hideMark/>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net income Equation</w:t>
            </w:r>
          </w:p>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 for Adopter</w:t>
            </w:r>
          </w:p>
        </w:tc>
        <w:tc>
          <w:tcPr>
            <w:tcW w:w="850" w:type="pct"/>
            <w:gridSpan w:val="2"/>
            <w:tcBorders>
              <w:left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eastAsia="Calibri" w:hAnsi="Times New Roman" w:cs="Times New Roman"/>
                <w:b w:val="0"/>
                <w:color w:val="000000" w:themeColor="text1"/>
                <w:sz w:val="24"/>
                <w:szCs w:val="24"/>
                <w:lang w:val="en-US"/>
              </w:rPr>
              <w:t>net income</w:t>
            </w:r>
            <w:r>
              <w:rPr>
                <w:rFonts w:ascii="Times New Roman" w:hAnsi="Times New Roman" w:cs="Times New Roman"/>
                <w:b w:val="0"/>
                <w:color w:val="000000" w:themeColor="text1"/>
                <w:sz w:val="24"/>
                <w:szCs w:val="24"/>
              </w:rPr>
              <w:t xml:space="preserve"> Equation for Non-Adopter</w:t>
            </w:r>
          </w:p>
        </w:tc>
        <w:tc>
          <w:tcPr>
            <w:tcW w:w="896" w:type="pct"/>
            <w:gridSpan w:val="2"/>
            <w:tcBorders>
              <w:left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Adoption of improved </w:t>
            </w:r>
            <w:r>
              <w:rPr>
                <w:rFonts w:ascii="Times New Roman" w:hAnsi="Times New Roman" w:cs="Times New Roman"/>
                <w:b w:val="0"/>
                <w:color w:val="000000" w:themeColor="text1"/>
                <w:sz w:val="24"/>
                <w:lang w:val="en-US"/>
              </w:rPr>
              <w:t>faba bean</w:t>
            </w:r>
            <w:r>
              <w:rPr>
                <w:rFonts w:ascii="Times New Roman" w:hAnsi="Times New Roman" w:cs="Times New Roman"/>
                <w:b w:val="0"/>
                <w:color w:val="000000" w:themeColor="text1"/>
                <w:sz w:val="24"/>
                <w:szCs w:val="24"/>
              </w:rPr>
              <w:t xml:space="preserve"> (No=0,Yes=1)</w:t>
            </w:r>
          </w:p>
        </w:tc>
      </w:tr>
      <w:tr>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2243" w:type="pct"/>
            <w:vMerge/>
            <w:tcBorders>
              <w:top w:val="single" w:sz="8" w:space="0" w:color="000000" w:themeColor="text1"/>
              <w:left w:val="single" w:sz="4" w:space="0" w:color="auto"/>
              <w:bottom w:val="single" w:sz="4" w:space="0" w:color="auto"/>
              <w:right w:val="single" w:sz="4" w:space="0" w:color="auto"/>
            </w:tcBorders>
            <w:vAlign w:val="center"/>
            <w:hideMark/>
          </w:tcPr>
          <w:p>
            <w:pPr>
              <w:rPr>
                <w:rFonts w:ascii="Times New Roman" w:hAnsi="Times New Roman" w:cs="Times New Roman"/>
                <w:b w:val="0"/>
                <w:color w:val="000000" w:themeColor="text1"/>
                <w:sz w:val="24"/>
                <w:szCs w:val="24"/>
              </w:rPr>
            </w:pPr>
          </w:p>
        </w:tc>
        <w:tc>
          <w:tcPr>
            <w:tcW w:w="555"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Coef.</w:t>
            </w:r>
          </w:p>
        </w:tc>
        <w:tc>
          <w:tcPr>
            <w:tcW w:w="456"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Std.Er</w:t>
            </w:r>
          </w:p>
        </w:tc>
        <w:tc>
          <w:tcPr>
            <w:tcW w:w="404"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Coef.</w:t>
            </w:r>
          </w:p>
        </w:tc>
        <w:tc>
          <w:tcPr>
            <w:tcW w:w="446"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Std.Er</w:t>
            </w:r>
          </w:p>
        </w:tc>
        <w:tc>
          <w:tcPr>
            <w:tcW w:w="463"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Coef.</w:t>
            </w:r>
          </w:p>
        </w:tc>
        <w:tc>
          <w:tcPr>
            <w:tcW w:w="433"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Std.Er</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Age (Years)</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0.030</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0.024</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0.005</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0.011</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1.096</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0.438</w:t>
            </w:r>
            <w:r>
              <w:rPr>
                <w:rFonts w:ascii="Times New Roman" w:hAnsi="Times New Roman" w:cs="Times New Roman"/>
                <w:vertAlign w:val="superscript"/>
              </w:rPr>
              <w:t>***</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Number of years of education</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0.033</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0.021</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0.005</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0.007</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1.202</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0.268</w:t>
            </w:r>
            <w:r>
              <w:rPr>
                <w:rFonts w:ascii="Times New Roman" w:hAnsi="Times New Roman" w:cs="Times New Roman"/>
                <w:vertAlign w:val="superscript"/>
              </w:rPr>
              <w:t>***</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Number of family members working on own farm (Person days/ha)</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0.032</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0.014**</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0.007</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0.006</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-0.676</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0.302</w:t>
            </w:r>
            <w:r>
              <w:rPr>
                <w:rFonts w:ascii="Times New Roman" w:hAnsi="Times New Roman" w:cs="Times New Roman"/>
                <w:vertAlign w:val="superscript"/>
              </w:rPr>
              <w:t>***</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Get a credit from a bank {1=yes, 0=No}</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-0.024</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0.014*</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0.001</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0.006</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1.394</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0.248</w:t>
            </w:r>
            <w:r>
              <w:rPr>
                <w:rFonts w:ascii="Times New Roman" w:hAnsi="Times New Roman" w:cs="Times New Roman"/>
                <w:vertAlign w:val="superscript"/>
              </w:rPr>
              <w:t>***</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Off-farm employment {1=yes, 0=No}</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-0.039</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0.019**</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0.011</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0.008</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0.417</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0.343</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 xml:space="preserve">Faba bean area (Ha)  </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0.100</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0.019**</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-0.004</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0.009</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2.885</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0.403</w:t>
            </w:r>
            <w:r>
              <w:rPr>
                <w:rFonts w:ascii="Times New Roman" w:hAnsi="Times New Roman" w:cs="Times New Roman"/>
                <w:vertAlign w:val="superscript"/>
              </w:rPr>
              <w:t>***</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Total cropped area (Ha)</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-0.027</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0.019</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-0.016</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0.011</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-0.204</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0.401</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Walking distance from seed sources (km)</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0.024</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0.007***</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0.008</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0.004**</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-0.304</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0.117</w:t>
            </w:r>
            <w:r>
              <w:rPr>
                <w:rFonts w:ascii="Times New Roman" w:hAnsi="Times New Roman" w:cs="Times New Roman"/>
                <w:vertAlign w:val="superscript"/>
              </w:rPr>
              <w:t>***</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Was the seed you used certified? {1=yes, 0=No}</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0.022</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0.013*</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-0.007</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0.013</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2.603</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0.474***</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Price of seed</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0.826</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0.117***</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-0.014</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0.009</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0.782</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1.598</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Farm in favorable zone{1=yes, 0=No}</w:t>
            </w:r>
          </w:p>
        </w:tc>
        <w:tc>
          <w:tcPr>
            <w:tcW w:w="555" w:type="pct"/>
            <w:tcBorders>
              <w:top w:val="single" w:sz="4" w:space="0" w:color="auto"/>
              <w:left w:val="single" w:sz="4" w:space="0" w:color="auto"/>
              <w:bottom w:val="single" w:sz="4" w:space="0" w:color="auto"/>
              <w:right w:val="single" w:sz="4" w:space="0" w:color="auto"/>
            </w:tcBorders>
          </w:tcPr>
          <w:p>
            <w:pPr>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sz w:val="24"/>
                <w:szCs w:val="24"/>
              </w:rPr>
            </w:pPr>
            <w:r>
              <w:rPr>
                <w:rFonts w:ascii="Times New Roman" w:hAnsi="Times New Roman" w:cs="Times New Roman"/>
              </w:rPr>
              <w:t>-0.032</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0.022</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0.006</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0.006</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-0.061</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0.363</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Farm in intermediate zone {1=yes, 0=No}</w:t>
            </w:r>
          </w:p>
        </w:tc>
        <w:tc>
          <w:tcPr>
            <w:tcW w:w="555" w:type="pct"/>
            <w:tcBorders>
              <w:top w:val="single" w:sz="4" w:space="0" w:color="auto"/>
              <w:left w:val="single" w:sz="4" w:space="0" w:color="auto"/>
              <w:bottom w:val="single" w:sz="4" w:space="0" w:color="auto"/>
              <w:right w:val="single" w:sz="4" w:space="0" w:color="auto"/>
            </w:tcBorders>
          </w:tcPr>
          <w:p>
            <w:pPr>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sz w:val="24"/>
                <w:szCs w:val="24"/>
              </w:rPr>
            </w:pPr>
            <w:r>
              <w:rPr>
                <w:rFonts w:ascii="Times New Roman" w:hAnsi="Times New Roman" w:cs="Times New Roman"/>
              </w:rPr>
              <w:t>-0.009</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0.017</w:t>
            </w:r>
          </w:p>
        </w:tc>
        <w:tc>
          <w:tcPr>
            <w:tcW w:w="404" w:type="pct"/>
            <w:tcBorders>
              <w:top w:val="single" w:sz="4" w:space="0" w:color="auto"/>
              <w:left w:val="single" w:sz="4" w:space="0" w:color="auto"/>
              <w:bottom w:val="single" w:sz="4" w:space="0" w:color="auto"/>
              <w:right w:val="single" w:sz="4" w:space="0" w:color="auto"/>
            </w:tcBorders>
          </w:tcPr>
          <w:p>
            <w:pPr>
              <w:spacing w:after="20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sz w:val="24"/>
                <w:szCs w:val="24"/>
              </w:rPr>
            </w:pPr>
            <w:r>
              <w:rPr>
                <w:rFonts w:ascii="Times New Roman" w:hAnsi="Times New Roman" w:cs="Times New Roman"/>
              </w:rPr>
              <w:t>0.012</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0.007*</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0.493</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0.226**</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Are you active or leader in the community</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1.676</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0.358</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Quantity of nitrogen fertilizer used (kg/ha)</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0.005</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0.004</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-0.007</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0.003***</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0.696</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0.086</w:t>
            </w:r>
            <w:r>
              <w:rPr>
                <w:rFonts w:ascii="Times New Roman" w:hAnsi="Times New Roman" w:cs="Times New Roman"/>
                <w:vertAlign w:val="superscript"/>
              </w:rPr>
              <w:t>***</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Quantity of DAP fertilizer used (kg/ha)</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0.018</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0.014</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0.150</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0.006***</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1.916</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0.227</w:t>
            </w:r>
            <w:r>
              <w:rPr>
                <w:rFonts w:ascii="Times New Roman" w:hAnsi="Times New Roman" w:cs="Times New Roman"/>
                <w:vertAlign w:val="superscript"/>
              </w:rPr>
              <w:t>***</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Amount of seed used(kg/ha)</w:t>
            </w:r>
          </w:p>
        </w:tc>
        <w:tc>
          <w:tcPr>
            <w:tcW w:w="555"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-0.087</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0.057</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0.035</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0.017**</w:t>
            </w:r>
          </w:p>
        </w:tc>
        <w:tc>
          <w:tcPr>
            <w:tcW w:w="46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4.110</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1.122</w:t>
            </w:r>
            <w:r>
              <w:rPr>
                <w:rFonts w:ascii="Times New Roman" w:hAnsi="Times New Roman" w:cs="Times New Roman"/>
                <w:vertAlign w:val="superscript"/>
              </w:rPr>
              <w:t>***</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Constant</w:t>
            </w:r>
          </w:p>
        </w:tc>
        <w:tc>
          <w:tcPr>
            <w:tcW w:w="555"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7.469</w:t>
            </w:r>
          </w:p>
        </w:tc>
        <w:tc>
          <w:tcPr>
            <w:tcW w:w="45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0.381***</w:t>
            </w:r>
          </w:p>
        </w:tc>
        <w:tc>
          <w:tcPr>
            <w:tcW w:w="404"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8.125</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0.095***</w:t>
            </w:r>
          </w:p>
        </w:tc>
        <w:tc>
          <w:tcPr>
            <w:tcW w:w="463"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-38.282</w:t>
            </w: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7.422</w:t>
            </w:r>
            <w:r>
              <w:rPr>
                <w:rFonts w:ascii="Times New Roman" w:hAnsi="Times New Roman" w:cs="Times New Roman"/>
                <w:vertAlign w:val="superscript"/>
              </w:rPr>
              <w:t>***</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Log likelihood</w:t>
            </w:r>
          </w:p>
        </w:tc>
        <w:tc>
          <w:tcPr>
            <w:tcW w:w="555"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569.4</w:t>
            </w:r>
          </w:p>
        </w:tc>
        <w:tc>
          <w:tcPr>
            <w:tcW w:w="456"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04"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46"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63"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Rho</w:t>
            </w:r>
          </w:p>
        </w:tc>
        <w:tc>
          <w:tcPr>
            <w:tcW w:w="555"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-5.409</w:t>
            </w:r>
          </w:p>
        </w:tc>
        <w:tc>
          <w:tcPr>
            <w:tcW w:w="456"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1.634</w:t>
            </w:r>
            <w:r>
              <w:rPr>
                <w:rFonts w:ascii="Times New Roman" w:hAnsi="Times New Roman" w:cs="Times New Roman"/>
                <w:color w:val="000000" w:themeColor="text1"/>
                <w:sz w:val="24"/>
                <w:szCs w:val="24"/>
                <w:vertAlign w:val="superscript"/>
              </w:rPr>
              <w:t>***</w:t>
            </w:r>
          </w:p>
        </w:tc>
        <w:tc>
          <w:tcPr>
            <w:tcW w:w="404"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-4.499</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1.342</w:t>
            </w:r>
            <w:r>
              <w:rPr>
                <w:rFonts w:ascii="Times New Roman" w:hAnsi="Times New Roman" w:cs="Times New Roman"/>
                <w:color w:val="000000" w:themeColor="text1"/>
                <w:sz w:val="24"/>
                <w:szCs w:val="24"/>
                <w:vertAlign w:val="superscript"/>
              </w:rPr>
              <w:t>***</w:t>
            </w:r>
          </w:p>
        </w:tc>
        <w:tc>
          <w:tcPr>
            <w:tcW w:w="463"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4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sigma</w:t>
            </w:r>
          </w:p>
        </w:tc>
        <w:tc>
          <w:tcPr>
            <w:tcW w:w="555"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-2.998</w:t>
            </w:r>
          </w:p>
        </w:tc>
        <w:tc>
          <w:tcPr>
            <w:tcW w:w="456" w:type="pct"/>
            <w:tcBorders>
              <w:top w:val="single" w:sz="4" w:space="0" w:color="auto"/>
              <w:left w:val="single" w:sz="4" w:space="0" w:color="auto"/>
              <w:bottom w:val="single" w:sz="4" w:space="0" w:color="auto"/>
              <w:right w:val="single" w:sz="4" w:space="0" w:color="auto"/>
            </w:tcBorders>
            <w:vAlign w:val="center"/>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0.086***</w:t>
            </w:r>
          </w:p>
        </w:tc>
        <w:tc>
          <w:tcPr>
            <w:tcW w:w="404"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-3.070</w:t>
            </w:r>
          </w:p>
        </w:tc>
        <w:tc>
          <w:tcPr>
            <w:tcW w:w="44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0.040***</w:t>
            </w:r>
          </w:p>
        </w:tc>
        <w:tc>
          <w:tcPr>
            <w:tcW w:w="463" w:type="pct"/>
            <w:tcBorders>
              <w:top w:val="single" w:sz="4" w:space="0" w:color="auto"/>
              <w:left w:val="single" w:sz="4" w:space="0" w:color="auto"/>
              <w:bottom w:val="single" w:sz="4" w:space="0" w:color="auto"/>
              <w:right w:val="single" w:sz="4" w:space="0" w:color="auto"/>
            </w:tcBorders>
          </w:tcPr>
          <w:p>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33"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bl>
    <w:p>
      <w:pPr>
        <w:spacing w:after="200" w:line="480" w:lineRule="auto"/>
        <w:jc w:val="both"/>
        <w:rPr>
          <w:rFonts w:ascii="Times New Roman" w:hAnsi="Times New Roman" w:cs="Times New Roman"/>
          <w:color w:val="000000" w:themeColor="text1"/>
          <w:sz w:val="24"/>
          <w:lang w:val="en-US"/>
        </w:rPr>
        <w:sectPr>
          <w:pgSz w:w="15840" w:h="12240" w:orient="landscape"/>
          <w:pgMar w:top="1440" w:right="1440" w:bottom="1440" w:left="1440" w:header="720" w:footer="720" w:gutter="0"/>
          <w:cols w:space="720"/>
          <w:docGrid w:linePitch="360"/>
        </w:sectPr>
      </w:pPr>
      <w:r>
        <w:rPr>
          <w:rFonts w:ascii="Times New Roman" w:hAnsi="Times New Roman" w:cs="Times New Roman"/>
          <w:color w:val="000000" w:themeColor="text1"/>
          <w:sz w:val="24"/>
          <w:lang w:val="en-US"/>
        </w:rPr>
        <w:t xml:space="preserve"> </w:t>
      </w:r>
    </w:p>
    <w:p>
      <w:pPr>
        <w:spacing w:line="480" w:lineRule="auto"/>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lastRenderedPageBreak/>
        <w:t>Table 7: Average Expected Treatment and Heterogeneity Effects on Net Income (SYP/ha) from Endogenous Switching Regression</w:t>
      </w:r>
    </w:p>
    <w:tbl>
      <w:tblPr>
        <w:tblStyle w:val="TableGrid3"/>
        <w:tblW w:w="5000" w:type="pct"/>
        <w:tblLayout w:type="fixed"/>
        <w:tblLook w:val="04A0" w:firstRow="1" w:lastRow="0" w:firstColumn="1" w:lastColumn="0" w:noHBand="0" w:noVBand="1"/>
      </w:tblPr>
      <w:tblGrid>
        <w:gridCol w:w="4546"/>
        <w:gridCol w:w="1756"/>
        <w:gridCol w:w="1571"/>
        <w:gridCol w:w="1477"/>
      </w:tblGrid>
      <w:tr>
        <w:tc>
          <w:tcPr>
            <w:tcW w:w="2431" w:type="pct"/>
            <w:vAlign w:val="bottom"/>
          </w:tcPr>
          <w:p>
            <w:pPr>
              <w:spacing w:line="360" w:lineRule="auto"/>
              <w:jc w:val="center"/>
              <w:rPr>
                <w:rFonts w:ascii="Times New Roman" w:hAnsi="Times New Roman" w:cs="Times New Roman"/>
                <w:color w:val="000000" w:themeColor="text1"/>
                <w:sz w:val="24"/>
                <w:szCs w:val="24"/>
              </w:rPr>
            </w:pPr>
          </w:p>
        </w:tc>
        <w:tc>
          <w:tcPr>
            <w:tcW w:w="1779" w:type="pct"/>
            <w:gridSpan w:val="2"/>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Decision Stage</w:t>
            </w:r>
          </w:p>
        </w:tc>
        <w:tc>
          <w:tcPr>
            <w:tcW w:w="790" w:type="pct"/>
            <w:vAlign w:val="bottom"/>
          </w:tcPr>
          <w:p>
            <w:pPr>
              <w:spacing w:line="360" w:lineRule="auto"/>
              <w:jc w:val="center"/>
              <w:rPr>
                <w:rFonts w:ascii="Times New Roman" w:hAnsi="Times New Roman" w:cs="Times New Roman"/>
                <w:color w:val="000000" w:themeColor="text1"/>
                <w:sz w:val="24"/>
                <w:szCs w:val="24"/>
              </w:rPr>
            </w:pP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Subsamples Effects</w:t>
            </w:r>
          </w:p>
        </w:tc>
        <w:tc>
          <w:tcPr>
            <w:tcW w:w="939"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Adopt</w:t>
            </w:r>
          </w:p>
        </w:tc>
        <w:tc>
          <w:tcPr>
            <w:tcW w:w="84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Not to Adopt</w:t>
            </w:r>
          </w:p>
        </w:tc>
        <w:tc>
          <w:tcPr>
            <w:tcW w:w="79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Treatment</w:t>
            </w: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Farm households that adopted</w:t>
            </w:r>
          </w:p>
        </w:tc>
        <w:tc>
          <w:tcPr>
            <w:tcW w:w="939" w:type="pct"/>
            <w:vAlign w:val="center"/>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8955.3</w:t>
            </w:r>
          </w:p>
        </w:tc>
        <w:tc>
          <w:tcPr>
            <w:tcW w:w="840" w:type="pct"/>
            <w:vAlign w:val="center"/>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 8022.5  </w:t>
            </w:r>
          </w:p>
        </w:tc>
        <w:tc>
          <w:tcPr>
            <w:tcW w:w="790" w:type="pct"/>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932.8***</w:t>
            </w: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Farm households that did not adopt</w:t>
            </w:r>
          </w:p>
        </w:tc>
        <w:tc>
          <w:tcPr>
            <w:tcW w:w="939" w:type="pct"/>
            <w:vAlign w:val="center"/>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 8266.8</w:t>
            </w:r>
          </w:p>
        </w:tc>
        <w:tc>
          <w:tcPr>
            <w:tcW w:w="840" w:type="pct"/>
            <w:vAlign w:val="center"/>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 7707.9</w:t>
            </w:r>
          </w:p>
        </w:tc>
        <w:tc>
          <w:tcPr>
            <w:tcW w:w="790" w:type="pct"/>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558.9***</w:t>
            </w: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Heterogeneity effects</w:t>
            </w:r>
          </w:p>
        </w:tc>
        <w:tc>
          <w:tcPr>
            <w:tcW w:w="939" w:type="pct"/>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688.5</w:t>
            </w:r>
          </w:p>
        </w:tc>
        <w:tc>
          <w:tcPr>
            <w:tcW w:w="840" w:type="pct"/>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314.6</w:t>
            </w:r>
          </w:p>
        </w:tc>
        <w:tc>
          <w:tcPr>
            <w:tcW w:w="790" w:type="pct"/>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374</w:t>
            </w:r>
          </w:p>
        </w:tc>
      </w:tr>
    </w:tbl>
    <w:p>
      <w:pPr>
        <w:spacing w:after="200" w:line="480" w:lineRule="auto"/>
        <w:jc w:val="both"/>
        <w:rPr>
          <w:rFonts w:ascii="Times New Roman" w:hAnsi="Times New Roman" w:cs="Times New Roman"/>
          <w:color w:val="000000" w:themeColor="text1"/>
          <w:sz w:val="24"/>
          <w:lang w:val="en-US"/>
        </w:rPr>
      </w:pPr>
    </w:p>
    <w:p>
      <w:pPr>
        <w:spacing w:after="100" w:afterAutospacing="1"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Given that ESR is potent in correcting for biases both from observable and unobservable factors,   the 3% higher effects on net income from ESR relative to PSM shows that unobservable factors such as skills of the farmers who have adopted the technology are important in explaining the differences in net income effects </w:t>
      </w:r>
    </w:p>
    <w:p>
      <w:pPr>
        <w:spacing w:after="0" w:line="480" w:lineRule="auto"/>
        <w:jc w:val="both"/>
        <w:rPr>
          <w:rFonts w:ascii="Times New Roman" w:hAnsi="Times New Roman" w:cs="Times New Roman"/>
          <w:color w:val="000000" w:themeColor="text1"/>
          <w:sz w:val="24"/>
          <w:lang w:val="en-US"/>
        </w:rPr>
      </w:pPr>
    </w:p>
    <w:p>
      <w:pPr>
        <w:spacing w:after="200" w:line="480" w:lineRule="auto"/>
        <w:jc w:val="both"/>
        <w:rPr>
          <w:rFonts w:ascii="Times New Roman" w:hAnsi="Times New Roman" w:cs="Times New Roman"/>
          <w:b/>
          <w:color w:val="000000" w:themeColor="text1"/>
          <w:sz w:val="24"/>
          <w:u w:val="single"/>
          <w:lang w:val="en-US"/>
        </w:rPr>
      </w:pPr>
      <w:r>
        <w:rPr>
          <w:rFonts w:ascii="Times New Roman" w:hAnsi="Times New Roman" w:cs="Times New Roman"/>
          <w:b/>
          <w:color w:val="000000" w:themeColor="text1"/>
          <w:sz w:val="24"/>
          <w:u w:val="single"/>
          <w:lang w:val="en-US"/>
        </w:rPr>
        <w:t xml:space="preserve">Impacts on Consumption </w:t>
      </w:r>
    </w:p>
    <w:p>
      <w:pPr>
        <w:spacing w:after="100" w:afterAutospacing="1"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 results show that adoption of improved varieties provide 17.3 kg/capita/year (30%) gain in faba bean consumption for adopters. If non adopters were to adopt the improved varieties, they would have consumed 13 kg/capita/year (19%) more faba bean showing that the benefit to those who already adopted is higher, which may provide part of the explanation for why a large number of farmers did not adopt the improved faba bean varieties. </w:t>
      </w:r>
    </w:p>
    <w:p>
      <w:pPr>
        <w:spacing w:after="100" w:afterAutospacing="1" w:line="480" w:lineRule="auto"/>
        <w:jc w:val="both"/>
        <w:rPr>
          <w:rFonts w:ascii="Times New Roman" w:hAnsi="Times New Roman" w:cs="Times New Roman"/>
          <w:color w:val="000000" w:themeColor="text1"/>
          <w:sz w:val="24"/>
          <w:lang w:val="en-US"/>
        </w:rPr>
      </w:pPr>
    </w:p>
    <w:p>
      <w:pPr>
        <w:spacing w:after="100" w:afterAutospacing="1" w:line="480" w:lineRule="auto"/>
        <w:jc w:val="both"/>
        <w:rPr>
          <w:rFonts w:ascii="Times New Roman" w:hAnsi="Times New Roman" w:cs="Times New Roman"/>
          <w:color w:val="000000" w:themeColor="text1"/>
          <w:sz w:val="24"/>
          <w:lang w:val="en-US"/>
        </w:rPr>
      </w:pPr>
    </w:p>
    <w:p>
      <w:pPr>
        <w:spacing w:after="200"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lastRenderedPageBreak/>
        <w:t>Table 8: Treatment Effects on faba bean</w:t>
      </w:r>
      <w:r>
        <w:rPr>
          <w:rFonts w:ascii="Times New Roman" w:hAnsi="Times New Roman" w:cs="Times New Roman"/>
          <w:sz w:val="24"/>
          <w:lang w:val="en-US"/>
        </w:rPr>
        <w:t xml:space="preserve"> Consumption (kg/capita/year)</w:t>
      </w:r>
      <w:r>
        <w:rPr>
          <w:rFonts w:ascii="Times New Roman" w:hAnsi="Times New Roman" w:cs="Times New Roman"/>
          <w:color w:val="000000" w:themeColor="text1"/>
          <w:sz w:val="24"/>
          <w:lang w:val="en-US"/>
        </w:rPr>
        <w:t xml:space="preserve"> from Propensity Score Matching </w:t>
      </w:r>
    </w:p>
    <w:tbl>
      <w:tblPr>
        <w:tblStyle w:val="LightShading112"/>
        <w:tblW w:w="44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952"/>
        <w:gridCol w:w="1377"/>
        <w:gridCol w:w="1324"/>
        <w:gridCol w:w="1566"/>
        <w:gridCol w:w="1205"/>
        <w:gridCol w:w="942"/>
      </w:tblGrid>
      <w:tr>
        <w:trPr>
          <w:cnfStyle w:val="100000000000" w:firstRow="1" w:lastRow="0" w:firstColumn="0" w:lastColumn="0" w:oddVBand="0" w:evenVBand="0" w:oddHBand="0"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1167" w:type="pct"/>
            <w:tcBorders>
              <w:top w:val="none" w:sz="0" w:space="0" w:color="auto"/>
              <w:left w:val="none" w:sz="0" w:space="0" w:color="auto"/>
              <w:bottom w:val="none" w:sz="0" w:space="0" w:color="auto"/>
              <w:right w:val="none" w:sz="0" w:space="0" w:color="auto"/>
            </w:tcBorders>
          </w:tcPr>
          <w:p>
            <w:pPr>
              <w:spacing w:before="30" w:after="30" w:line="360" w:lineRule="auto"/>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Group</w:t>
            </w:r>
          </w:p>
        </w:tc>
        <w:tc>
          <w:tcPr>
            <w:tcW w:w="823" w:type="pct"/>
            <w:tcBorders>
              <w:top w:val="none" w:sz="0" w:space="0" w:color="auto"/>
              <w:left w:val="none" w:sz="0" w:space="0" w:color="auto"/>
              <w:bottom w:val="none" w:sz="0" w:space="0" w:color="auto"/>
              <w:right w:val="none" w:sz="0" w:space="0" w:color="auto"/>
            </w:tcBorders>
          </w:tcPr>
          <w:p>
            <w:pPr>
              <w:spacing w:before="30" w:after="30" w:line="360" w:lineRule="auto"/>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Treatment group</w:t>
            </w:r>
          </w:p>
        </w:tc>
        <w:tc>
          <w:tcPr>
            <w:tcW w:w="791" w:type="pct"/>
            <w:tcBorders>
              <w:top w:val="none" w:sz="0" w:space="0" w:color="auto"/>
              <w:left w:val="none" w:sz="0" w:space="0" w:color="auto"/>
              <w:bottom w:val="none" w:sz="0" w:space="0" w:color="auto"/>
              <w:right w:val="none" w:sz="0" w:space="0" w:color="auto"/>
            </w:tcBorders>
          </w:tcPr>
          <w:p>
            <w:pPr>
              <w:spacing w:before="30" w:after="30" w:line="360" w:lineRule="auto"/>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Control group</w:t>
            </w:r>
          </w:p>
        </w:tc>
        <w:tc>
          <w:tcPr>
            <w:tcW w:w="936" w:type="pct"/>
            <w:tcBorders>
              <w:top w:val="none" w:sz="0" w:space="0" w:color="auto"/>
              <w:left w:val="none" w:sz="0" w:space="0" w:color="auto"/>
              <w:bottom w:val="none" w:sz="0" w:space="0" w:color="auto"/>
              <w:right w:val="none" w:sz="0" w:space="0" w:color="auto"/>
            </w:tcBorders>
          </w:tcPr>
          <w:p>
            <w:pPr>
              <w:spacing w:before="30" w:after="3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hAnsi="Times New Roman" w:cs="Times New Roman"/>
                <w:color w:val="000000" w:themeColor="text1"/>
                <w:sz w:val="24"/>
                <w:szCs w:val="24"/>
              </w:rPr>
              <w:t>Difference</w:t>
            </w:r>
          </w:p>
        </w:tc>
        <w:tc>
          <w:tcPr>
            <w:tcW w:w="720" w:type="pct"/>
            <w:tcBorders>
              <w:top w:val="none" w:sz="0" w:space="0" w:color="auto"/>
              <w:left w:val="none" w:sz="0" w:space="0" w:color="auto"/>
              <w:bottom w:val="none" w:sz="0" w:space="0" w:color="auto"/>
              <w:right w:val="none" w:sz="0" w:space="0" w:color="auto"/>
            </w:tcBorders>
          </w:tcPr>
          <w:p>
            <w:pPr>
              <w:spacing w:before="30" w:after="3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S.E.</w:t>
            </w:r>
          </w:p>
        </w:tc>
        <w:tc>
          <w:tcPr>
            <w:tcW w:w="563" w:type="pct"/>
            <w:tcBorders>
              <w:top w:val="none" w:sz="0" w:space="0" w:color="auto"/>
              <w:left w:val="none" w:sz="0" w:space="0" w:color="auto"/>
              <w:bottom w:val="none" w:sz="0" w:space="0" w:color="auto"/>
              <w:right w:val="none" w:sz="0" w:space="0" w:color="auto"/>
            </w:tcBorders>
          </w:tcPr>
          <w:p>
            <w:pPr>
              <w:spacing w:before="30" w:after="3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T-stat</w:t>
            </w:r>
          </w:p>
        </w:tc>
      </w:tr>
      <w:tr>
        <w:trPr>
          <w:trHeight w:val="390"/>
        </w:trPr>
        <w:tc>
          <w:tcPr>
            <w:cnfStyle w:val="001000000000" w:firstRow="0" w:lastRow="0" w:firstColumn="1" w:lastColumn="0" w:oddVBand="0" w:evenVBand="0" w:oddHBand="0" w:evenHBand="0" w:firstRowFirstColumn="0" w:firstRowLastColumn="0" w:lastRowFirstColumn="0" w:lastRowLastColumn="0"/>
            <w:tcW w:w="1167" w:type="pct"/>
          </w:tcPr>
          <w:p>
            <w:pPr>
              <w:spacing w:before="30" w:after="30" w:line="36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Unmatched</w:t>
            </w:r>
          </w:p>
        </w:tc>
        <w:tc>
          <w:tcPr>
            <w:tcW w:w="823"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77.6</w:t>
            </w:r>
          </w:p>
        </w:tc>
        <w:tc>
          <w:tcPr>
            <w:tcW w:w="791"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56.7</w:t>
            </w:r>
          </w:p>
        </w:tc>
        <w:tc>
          <w:tcPr>
            <w:tcW w:w="936"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20.9</w:t>
            </w:r>
          </w:p>
        </w:tc>
        <w:tc>
          <w:tcPr>
            <w:tcW w:w="720"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2.3</w:t>
            </w:r>
          </w:p>
        </w:tc>
        <w:tc>
          <w:tcPr>
            <w:tcW w:w="563"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8.9</w:t>
            </w:r>
            <w:r>
              <w:rPr>
                <w:rFonts w:ascii="Times New Roman" w:hAnsi="Times New Roman" w:cs="Times New Roman"/>
                <w:color w:val="000000" w:themeColor="text1"/>
                <w:sz w:val="24"/>
                <w:szCs w:val="24"/>
                <w:vertAlign w:val="superscript"/>
              </w:rPr>
              <w:t>a</w:t>
            </w:r>
          </w:p>
        </w:tc>
      </w:tr>
      <w:tr>
        <w:trPr>
          <w:trHeight w:val="224"/>
        </w:trPr>
        <w:tc>
          <w:tcPr>
            <w:cnfStyle w:val="001000000000" w:firstRow="0" w:lastRow="0" w:firstColumn="1" w:lastColumn="0" w:oddVBand="0" w:evenVBand="0" w:oddHBand="0" w:evenHBand="0" w:firstRowFirstColumn="0" w:firstRowLastColumn="0" w:lastRowFirstColumn="0" w:lastRowLastColumn="0"/>
            <w:tcW w:w="1167" w:type="pct"/>
          </w:tcPr>
          <w:p>
            <w:pPr>
              <w:spacing w:before="30" w:after="30" w:line="36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ATT</w:t>
            </w:r>
          </w:p>
        </w:tc>
        <w:tc>
          <w:tcPr>
            <w:tcW w:w="823"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75.1</w:t>
            </w:r>
          </w:p>
        </w:tc>
        <w:tc>
          <w:tcPr>
            <w:tcW w:w="791"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57.8</w:t>
            </w:r>
          </w:p>
        </w:tc>
        <w:tc>
          <w:tcPr>
            <w:tcW w:w="936"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17.3</w:t>
            </w:r>
          </w:p>
        </w:tc>
        <w:tc>
          <w:tcPr>
            <w:tcW w:w="720"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4.9</w:t>
            </w:r>
          </w:p>
        </w:tc>
        <w:tc>
          <w:tcPr>
            <w:tcW w:w="563"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3.5</w:t>
            </w:r>
            <w:r>
              <w:rPr>
                <w:rFonts w:ascii="Times New Roman" w:hAnsi="Times New Roman" w:cs="Times New Roman"/>
                <w:color w:val="000000" w:themeColor="text1"/>
                <w:sz w:val="24"/>
                <w:szCs w:val="24"/>
                <w:vertAlign w:val="superscript"/>
              </w:rPr>
              <w:t>a</w:t>
            </w:r>
          </w:p>
        </w:tc>
      </w:tr>
      <w:tr>
        <w:trPr>
          <w:trHeight w:val="323"/>
        </w:trPr>
        <w:tc>
          <w:tcPr>
            <w:cnfStyle w:val="001000000000" w:firstRow="0" w:lastRow="0" w:firstColumn="1" w:lastColumn="0" w:oddVBand="0" w:evenVBand="0" w:oddHBand="0" w:evenHBand="0" w:firstRowFirstColumn="0" w:firstRowLastColumn="0" w:lastRowFirstColumn="0" w:lastRowLastColumn="0"/>
            <w:tcW w:w="1167" w:type="pct"/>
          </w:tcPr>
          <w:p>
            <w:pPr>
              <w:spacing w:before="30" w:after="30" w:line="36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ATU</w:t>
            </w:r>
          </w:p>
        </w:tc>
        <w:tc>
          <w:tcPr>
            <w:tcW w:w="823"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56.1</w:t>
            </w:r>
          </w:p>
        </w:tc>
        <w:tc>
          <w:tcPr>
            <w:tcW w:w="791"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69.01</w:t>
            </w:r>
          </w:p>
        </w:tc>
        <w:tc>
          <w:tcPr>
            <w:tcW w:w="936"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13</w:t>
            </w:r>
          </w:p>
        </w:tc>
        <w:tc>
          <w:tcPr>
            <w:tcW w:w="720"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563"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r>
      <w:tr>
        <w:trPr>
          <w:trHeight w:val="242"/>
        </w:trPr>
        <w:tc>
          <w:tcPr>
            <w:cnfStyle w:val="001000000000" w:firstRow="0" w:lastRow="0" w:firstColumn="1" w:lastColumn="0" w:oddVBand="0" w:evenVBand="0" w:oddHBand="0" w:evenHBand="0" w:firstRowFirstColumn="0" w:firstRowLastColumn="0" w:lastRowFirstColumn="0" w:lastRowLastColumn="0"/>
            <w:tcW w:w="1167" w:type="pct"/>
          </w:tcPr>
          <w:p>
            <w:pPr>
              <w:spacing w:before="30" w:after="30" w:line="360" w:lineRule="auto"/>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ATE</w:t>
            </w:r>
          </w:p>
        </w:tc>
        <w:tc>
          <w:tcPr>
            <w:tcW w:w="823"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791"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936"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sz w:val="24"/>
                <w:szCs w:val="24"/>
              </w:rPr>
              <w:t>14.9</w:t>
            </w:r>
          </w:p>
        </w:tc>
        <w:tc>
          <w:tcPr>
            <w:tcW w:w="720"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c>
          <w:tcPr>
            <w:tcW w:w="563" w:type="pct"/>
          </w:tcPr>
          <w:p>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r>
    </w:tbl>
    <w:p>
      <w:pPr>
        <w:spacing w:after="200"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vertAlign w:val="superscript"/>
          <w:lang w:val="en-US"/>
        </w:rPr>
        <w:t xml:space="preserve">a </w:t>
      </w:r>
      <w:r>
        <w:rPr>
          <w:rFonts w:ascii="Times New Roman" w:hAnsi="Times New Roman" w:cs="Times New Roman"/>
          <w:color w:val="000000" w:themeColor="text1"/>
          <w:sz w:val="24"/>
          <w:lang w:val="en-US"/>
        </w:rPr>
        <w:t>show significance at 0.01 level</w:t>
      </w:r>
    </w:p>
    <w:p>
      <w:pPr>
        <w:spacing w:after="100" w:afterAutospacing="1"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The Estimates of the Endogenous Switching Regression (ESR) are provided in Table 9 below. Total faba bean area and Price of seed, farm in favorable zone, farm in intermediate zone, quantity of nitrogen fertilizer used (kg/ha) seem to have positive and significant effects on faba bean consumption among adopters only</w:t>
      </w:r>
      <w:r>
        <w:t xml:space="preserve"> </w:t>
      </w:r>
      <w:r>
        <w:rPr>
          <w:rFonts w:ascii="Times New Roman" w:hAnsi="Times New Roman" w:cs="Times New Roman"/>
          <w:color w:val="000000" w:themeColor="text1"/>
          <w:sz w:val="24"/>
          <w:lang w:val="en-US"/>
        </w:rPr>
        <w:t>while get a credit from a bank, off-farm employment and Quantity of DAP fertilizer used (kg/ha) have positive and significant effects on faba bean consumption among non-adopters</w:t>
      </w:r>
    </w:p>
    <w:p>
      <w:pPr>
        <w:spacing w:after="100" w:afterAutospacing="1" w:line="480" w:lineRule="auto"/>
        <w:jc w:val="both"/>
        <w:rPr>
          <w:rFonts w:ascii="Times New Roman" w:hAnsi="Times New Roman" w:cs="Times New Roman"/>
          <w:color w:val="000000" w:themeColor="text1"/>
          <w:sz w:val="24"/>
          <w:lang w:val="en-US"/>
        </w:rPr>
        <w:sectPr>
          <w:pgSz w:w="12240" w:h="15840"/>
          <w:pgMar w:top="1440" w:right="1440" w:bottom="1440" w:left="1440" w:header="720" w:footer="720" w:gutter="0"/>
          <w:cols w:space="720"/>
          <w:docGrid w:linePitch="360"/>
        </w:sectPr>
      </w:pPr>
      <w:r>
        <w:rPr>
          <w:rFonts w:ascii="Times New Roman" w:hAnsi="Times New Roman" w:cs="Times New Roman"/>
          <w:color w:val="000000" w:themeColor="text1"/>
          <w:sz w:val="24"/>
          <w:lang w:val="en-US"/>
        </w:rPr>
        <w:t>Estimates of treatment effects from ESR are provided in Table 10 below. The results show that adopters of improved varieties on the average consume about 21.3 kg/capita/year (39%) more faba bean than the counterfactual (i.e., what they would have consumed if they had not adopted).   If non adopters were to adopt the improved varieties, they would have consumed 15.6 kg/capita/year (35%) more faba bean showing that the benefit to those who already adopted is much higher – a possible explanation for why a large number of farmers did not adopt the improved faba bean varieties yet.</w:t>
      </w:r>
    </w:p>
    <w:p>
      <w:pPr>
        <w:spacing w:after="200" w:line="480" w:lineRule="auto"/>
        <w:jc w:val="both"/>
        <w:rPr>
          <w:rFonts w:ascii="Times New Roman" w:eastAsia="Calibri" w:hAnsi="Times New Roman" w:cs="Times New Roman"/>
          <w:color w:val="000000" w:themeColor="text1"/>
          <w:sz w:val="24"/>
          <w:szCs w:val="24"/>
          <w:lang w:val="en-US"/>
        </w:rPr>
      </w:pPr>
      <w:r>
        <w:rPr>
          <w:rFonts w:ascii="Times New Roman" w:hAnsi="Times New Roman" w:cs="Times New Roman"/>
          <w:color w:val="000000" w:themeColor="text1"/>
          <w:sz w:val="24"/>
          <w:lang w:val="en-US"/>
        </w:rPr>
        <w:lastRenderedPageBreak/>
        <w:t xml:space="preserve">Table 9:  </w:t>
      </w:r>
      <w:r>
        <w:rPr>
          <w:rFonts w:ascii="Times New Roman" w:eastAsia="Calibri" w:hAnsi="Times New Roman" w:cs="Times New Roman"/>
          <w:color w:val="000000" w:themeColor="text1"/>
          <w:sz w:val="24"/>
          <w:szCs w:val="24"/>
          <w:lang w:val="en-US"/>
        </w:rPr>
        <w:t xml:space="preserve">Full information maximum likelihood estimates of the </w:t>
      </w:r>
      <w:r>
        <w:rPr>
          <w:rFonts w:ascii="Times New Roman" w:eastAsia="Times New Roman" w:hAnsi="Times New Roman" w:cs="Times New Roman"/>
          <w:color w:val="000000" w:themeColor="text1"/>
          <w:sz w:val="24"/>
          <w:szCs w:val="24"/>
          <w:lang w:val="en-US"/>
        </w:rPr>
        <w:t>endogenous</w:t>
      </w:r>
      <w:r>
        <w:rPr>
          <w:rFonts w:ascii="Times New Roman" w:eastAsia="Calibri" w:hAnsi="Times New Roman" w:cs="Times New Roman"/>
          <w:color w:val="000000" w:themeColor="text1"/>
          <w:sz w:val="24"/>
          <w:szCs w:val="24"/>
          <w:lang w:val="en-US"/>
        </w:rPr>
        <w:t xml:space="preserve"> switching regression model for </w:t>
      </w:r>
      <w:r>
        <w:rPr>
          <w:rFonts w:ascii="Times New Roman" w:hAnsi="Times New Roman" w:cs="Times New Roman"/>
          <w:color w:val="000000" w:themeColor="text1"/>
          <w:sz w:val="24"/>
          <w:lang w:val="en-US"/>
        </w:rPr>
        <w:t>faba bean</w:t>
      </w:r>
      <w:r>
        <w:rPr>
          <w:rFonts w:ascii="Times New Roman" w:hAnsi="Times New Roman" w:cs="Times New Roman"/>
          <w:sz w:val="24"/>
          <w:lang w:val="en-US"/>
        </w:rPr>
        <w:t xml:space="preserve"> Consumption (kg/capita/year)</w:t>
      </w:r>
    </w:p>
    <w:tbl>
      <w:tblPr>
        <w:tblStyle w:val="LightShading14"/>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5756"/>
        <w:gridCol w:w="1424"/>
        <w:gridCol w:w="1284"/>
        <w:gridCol w:w="1038"/>
        <w:gridCol w:w="1144"/>
        <w:gridCol w:w="1188"/>
        <w:gridCol w:w="1111"/>
      </w:tblGrid>
      <w:tr>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2223" w:type="pct"/>
            <w:vMerge w:val="restart"/>
            <w:tcBorders>
              <w:left w:val="single" w:sz="4" w:space="0" w:color="auto"/>
              <w:bottom w:val="single" w:sz="4" w:space="0" w:color="auto"/>
              <w:right w:val="single" w:sz="4" w:space="0" w:color="auto"/>
            </w:tcBorders>
            <w:noWrap/>
            <w:vAlign w:val="center"/>
            <w:hideMark/>
          </w:tcPr>
          <w:p>
            <w:pPr>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Independent Variables</w:t>
            </w:r>
          </w:p>
        </w:tc>
        <w:tc>
          <w:tcPr>
            <w:tcW w:w="1046" w:type="pct"/>
            <w:gridSpan w:val="2"/>
            <w:tcBorders>
              <w:left w:val="single" w:sz="4" w:space="0" w:color="auto"/>
              <w:right w:val="single" w:sz="4" w:space="0" w:color="auto"/>
            </w:tcBorders>
            <w:hideMark/>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Yield  Equation</w:t>
            </w:r>
          </w:p>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 for Adopter</w:t>
            </w:r>
          </w:p>
        </w:tc>
        <w:tc>
          <w:tcPr>
            <w:tcW w:w="843" w:type="pct"/>
            <w:gridSpan w:val="2"/>
            <w:tcBorders>
              <w:left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Yield Equation for Non-Adopter</w:t>
            </w:r>
          </w:p>
        </w:tc>
        <w:tc>
          <w:tcPr>
            <w:tcW w:w="888" w:type="pct"/>
            <w:gridSpan w:val="2"/>
            <w:tcBorders>
              <w:left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Adoption of improved </w:t>
            </w:r>
            <w:r>
              <w:rPr>
                <w:rFonts w:ascii="Times New Roman" w:hAnsi="Times New Roman" w:cs="Times New Roman"/>
                <w:b w:val="0"/>
                <w:color w:val="000000" w:themeColor="text1"/>
                <w:sz w:val="24"/>
                <w:lang w:val="en-US"/>
              </w:rPr>
              <w:t>faba bean</w:t>
            </w:r>
            <w:r>
              <w:rPr>
                <w:rFonts w:ascii="Times New Roman" w:hAnsi="Times New Roman" w:cs="Times New Roman"/>
                <w:b w:val="0"/>
                <w:color w:val="000000" w:themeColor="text1"/>
                <w:sz w:val="24"/>
                <w:szCs w:val="24"/>
              </w:rPr>
              <w:t xml:space="preserve"> (No=0,Yes=1)</w:t>
            </w:r>
          </w:p>
        </w:tc>
      </w:tr>
      <w:tr>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2223" w:type="pct"/>
            <w:vMerge/>
            <w:tcBorders>
              <w:top w:val="single" w:sz="8" w:space="0" w:color="000000" w:themeColor="text1"/>
              <w:left w:val="single" w:sz="4" w:space="0" w:color="auto"/>
              <w:bottom w:val="single" w:sz="4" w:space="0" w:color="auto"/>
              <w:right w:val="single" w:sz="4" w:space="0" w:color="auto"/>
            </w:tcBorders>
            <w:vAlign w:val="center"/>
            <w:hideMark/>
          </w:tcPr>
          <w:p>
            <w:pPr>
              <w:rPr>
                <w:rFonts w:ascii="Times New Roman" w:hAnsi="Times New Roman" w:cs="Times New Roman"/>
                <w:b w:val="0"/>
                <w:color w:val="000000" w:themeColor="text1"/>
                <w:sz w:val="24"/>
                <w:szCs w:val="24"/>
              </w:rPr>
            </w:pPr>
          </w:p>
        </w:tc>
        <w:tc>
          <w:tcPr>
            <w:tcW w:w="550"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Coef.</w:t>
            </w:r>
          </w:p>
        </w:tc>
        <w:tc>
          <w:tcPr>
            <w:tcW w:w="496"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Std.Er</w:t>
            </w:r>
          </w:p>
        </w:tc>
        <w:tc>
          <w:tcPr>
            <w:tcW w:w="401"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Coef.</w:t>
            </w:r>
          </w:p>
        </w:tc>
        <w:tc>
          <w:tcPr>
            <w:tcW w:w="442"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Std.Er</w:t>
            </w:r>
          </w:p>
        </w:tc>
        <w:tc>
          <w:tcPr>
            <w:tcW w:w="459"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Coef.</w:t>
            </w:r>
          </w:p>
        </w:tc>
        <w:tc>
          <w:tcPr>
            <w:tcW w:w="429" w:type="pct"/>
            <w:tcBorders>
              <w:top w:val="single" w:sz="4" w:space="0" w:color="auto"/>
              <w:left w:val="single" w:sz="4" w:space="0" w:color="auto"/>
              <w:bottom w:val="single" w:sz="4" w:space="0" w:color="auto"/>
              <w:right w:val="single" w:sz="4" w:space="0" w:color="auto"/>
            </w:tcBorders>
          </w:tcPr>
          <w:p>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Std.Er</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Age (Years)</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0.091</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0.139</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0.004</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0.050</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1.565</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0.7124**</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Number of years of education</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-0.081</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0.093</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-0.040</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0.032</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1.251</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0.488***</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Number of family members working on own farm (Person days/ha)</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0.036</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0.067</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0.004</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0.027</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-0.768</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0.471*</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Get a credit from a bank {1=yes, 0=No}</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0.035</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0.062</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0.040</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0.024*</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0.159</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0.3818616</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Off-farm employment {1=yes, 0=No}</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0.111</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0.087</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0.077</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0.034**</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0.610</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0.5472955</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 xml:space="preserve">Faba bean area (Ha)  </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0.393</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0.120***</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-0.050</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0.039</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4.144</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1.280***</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Total cropped area (Ha)</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-0.178</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0.082**</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-0.040</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0.046</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0.444</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0.939</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Walking distance from seed sources (km)</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-0.047</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0.037</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0.017</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0.015</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-0.248</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0.216</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Was the seed you used certified? {1=yes, 0=No}</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0.105</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0.065</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-0.045</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0.059</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2.073</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0.707***</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hideMark/>
          </w:tcPr>
          <w:p>
            <w:pPr>
              <w:rPr>
                <w:rFonts w:ascii="Times New Roman" w:hAnsi="Times New Roman" w:cs="Times New Roman"/>
                <w:b w:val="0"/>
                <w:color w:val="000000" w:themeColor="text1"/>
                <w:sz w:val="24"/>
                <w:szCs w:val="24"/>
              </w:rPr>
            </w:pPr>
            <w:r>
              <w:rPr>
                <w:rFonts w:ascii="Times New Roman" w:hAnsi="Times New Roman" w:cs="Times New Roman"/>
                <w:b w:val="0"/>
              </w:rPr>
              <w:t>Price of seed</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2.078</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0.890**</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0.034</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0.039</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0.583</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0.620</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Farm in favorable zone{1=yes, 0=No}</w:t>
            </w:r>
          </w:p>
        </w:tc>
        <w:tc>
          <w:tcPr>
            <w:tcW w:w="550" w:type="pct"/>
            <w:tcBorders>
              <w:top w:val="single" w:sz="4" w:space="0" w:color="auto"/>
              <w:left w:val="single" w:sz="4" w:space="0" w:color="auto"/>
              <w:bottom w:val="single" w:sz="4" w:space="0" w:color="auto"/>
              <w:right w:val="single" w:sz="4" w:space="0" w:color="auto"/>
            </w:tcBorders>
          </w:tcPr>
          <w:p>
            <w:pPr>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sz w:val="24"/>
                <w:szCs w:val="24"/>
              </w:rPr>
            </w:pPr>
            <w:r>
              <w:rPr>
                <w:rFonts w:ascii="Times New Roman" w:hAnsi="Times New Roman" w:cs="Times New Roman"/>
              </w:rPr>
              <w:t>0.530</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0.2152***</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0.007</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0.027</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1.209</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0.519**</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Farm in intermediate zone {1=yes, 0=No}</w:t>
            </w:r>
          </w:p>
        </w:tc>
        <w:tc>
          <w:tcPr>
            <w:tcW w:w="550" w:type="pct"/>
            <w:tcBorders>
              <w:top w:val="single" w:sz="4" w:space="0" w:color="auto"/>
              <w:left w:val="single" w:sz="4" w:space="0" w:color="auto"/>
              <w:bottom w:val="single" w:sz="4" w:space="0" w:color="auto"/>
              <w:right w:val="single" w:sz="4" w:space="0" w:color="auto"/>
            </w:tcBorders>
          </w:tcPr>
          <w:p>
            <w:pPr>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sz w:val="24"/>
                <w:szCs w:val="24"/>
              </w:rPr>
            </w:pPr>
            <w:r>
              <w:rPr>
                <w:rFonts w:ascii="Times New Roman" w:hAnsi="Times New Roman" w:cs="Times New Roman"/>
              </w:rPr>
              <w:t>0.569</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0.203***</w:t>
            </w:r>
          </w:p>
        </w:tc>
        <w:tc>
          <w:tcPr>
            <w:tcW w:w="401" w:type="pct"/>
            <w:tcBorders>
              <w:top w:val="single" w:sz="4" w:space="0" w:color="auto"/>
              <w:left w:val="single" w:sz="4" w:space="0" w:color="auto"/>
              <w:bottom w:val="single" w:sz="4" w:space="0" w:color="auto"/>
              <w:right w:val="single" w:sz="4" w:space="0" w:color="auto"/>
            </w:tcBorders>
          </w:tcPr>
          <w:p>
            <w:pPr>
              <w:spacing w:after="20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themeColor="text1"/>
                <w:sz w:val="24"/>
                <w:szCs w:val="24"/>
              </w:rPr>
            </w:pPr>
            <w:r>
              <w:rPr>
                <w:rFonts w:ascii="Times New Roman" w:hAnsi="Times New Roman" w:cs="Times New Roman"/>
              </w:rPr>
              <w:t>-0.007</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0.030</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1.337</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0.462***</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Are you active or leader in the community</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2.139</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0.931**</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Quantity of nitrogen fertilizer used (kg/ha)</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0.055</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0.020***</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0.000</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0.012</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0.254</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0.106***</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Quantity of DAP fertilizer used (kg/ha)</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-0.114</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0.145</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0.203</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0.025***</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1.148</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0.606**</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Amount of seed used(kg/ha)</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0.110</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0.237</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0.013</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0.072</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2.088</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1.289*</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Constant</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-0.872</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2.240</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2.998</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0.408***</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-29.880</w:t>
            </w: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rPr>
              <w:t>8.814***</w:t>
            </w: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Log likelihood</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63.620</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Rho</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5.763</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2.036***</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-1.356</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0.210***</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r>
        <w:trPr>
          <w:trHeight w:val="20"/>
          <w:jc w:val="center"/>
        </w:trPr>
        <w:tc>
          <w:tcPr>
            <w:cnfStyle w:val="001000000000" w:firstRow="0" w:lastRow="0" w:firstColumn="1" w:lastColumn="0" w:oddVBand="0" w:evenVBand="0" w:oddHBand="0" w:evenHBand="0" w:firstRowFirstColumn="0" w:firstRowLastColumn="0" w:lastRowFirstColumn="0" w:lastRowLastColumn="0"/>
            <w:tcW w:w="2223" w:type="pct"/>
            <w:tcBorders>
              <w:top w:val="single" w:sz="4" w:space="0" w:color="auto"/>
              <w:left w:val="single" w:sz="4" w:space="0" w:color="auto"/>
              <w:bottom w:val="single" w:sz="4" w:space="0" w:color="auto"/>
              <w:right w:val="single" w:sz="4" w:space="0" w:color="auto"/>
            </w:tcBorders>
            <w:noWrap/>
          </w:tcPr>
          <w:p>
            <w:pPr>
              <w:rPr>
                <w:rFonts w:ascii="Times New Roman" w:hAnsi="Times New Roman" w:cs="Times New Roman"/>
                <w:b w:val="0"/>
                <w:color w:val="000000" w:themeColor="text1"/>
                <w:sz w:val="24"/>
                <w:szCs w:val="24"/>
              </w:rPr>
            </w:pPr>
            <w:r>
              <w:rPr>
                <w:rFonts w:ascii="Times New Roman" w:hAnsi="Times New Roman" w:cs="Times New Roman"/>
                <w:b w:val="0"/>
              </w:rPr>
              <w:t>sigma</w:t>
            </w:r>
          </w:p>
        </w:tc>
        <w:tc>
          <w:tcPr>
            <w:tcW w:w="550"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-1.547</w:t>
            </w:r>
          </w:p>
        </w:tc>
        <w:tc>
          <w:tcPr>
            <w:tcW w:w="496"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0.096***</w:t>
            </w:r>
          </w:p>
        </w:tc>
        <w:tc>
          <w:tcPr>
            <w:tcW w:w="401"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-1.638</w:t>
            </w:r>
          </w:p>
        </w:tc>
        <w:tc>
          <w:tcPr>
            <w:tcW w:w="442"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0.041***</w:t>
            </w:r>
          </w:p>
        </w:tc>
        <w:tc>
          <w:tcPr>
            <w:tcW w:w="45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429" w:type="pct"/>
            <w:tcBorders>
              <w:top w:val="single" w:sz="4" w:space="0" w:color="auto"/>
              <w:left w:val="single" w:sz="4" w:space="0" w:color="auto"/>
              <w:bottom w:val="single" w:sz="4" w:space="0" w:color="auto"/>
              <w:right w:val="single" w:sz="4" w:space="0" w:color="auto"/>
            </w:tcBorders>
          </w:tcPr>
          <w:p>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bl>
    <w:p>
      <w:pPr>
        <w:spacing w:after="200" w:line="480" w:lineRule="auto"/>
        <w:jc w:val="both"/>
        <w:rPr>
          <w:rFonts w:ascii="Times New Roman" w:hAnsi="Times New Roman" w:cs="Times New Roman"/>
          <w:color w:val="000000" w:themeColor="text1"/>
          <w:sz w:val="24"/>
          <w:lang w:val="en-US"/>
        </w:rPr>
        <w:sectPr>
          <w:pgSz w:w="15840" w:h="12240" w:orient="landscape"/>
          <w:pgMar w:top="1440" w:right="1440" w:bottom="1440" w:left="1440" w:header="720" w:footer="720" w:gutter="0"/>
          <w:cols w:space="720"/>
          <w:docGrid w:linePitch="360"/>
        </w:sectPr>
      </w:pPr>
    </w:p>
    <w:p>
      <w:pPr>
        <w:spacing w:line="480" w:lineRule="auto"/>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lastRenderedPageBreak/>
        <w:t xml:space="preserve">Table 10: Average Expected Treatment and Heterogeneity Effects on </w:t>
      </w:r>
      <w:r>
        <w:rPr>
          <w:rFonts w:ascii="Times New Roman" w:hAnsi="Times New Roman" w:cs="Times New Roman"/>
          <w:color w:val="000000" w:themeColor="text1"/>
          <w:sz w:val="24"/>
          <w:lang w:val="en-US"/>
        </w:rPr>
        <w:t>faba bean</w:t>
      </w:r>
      <w:r>
        <w:rPr>
          <w:rFonts w:ascii="Times New Roman" w:hAnsi="Times New Roman" w:cs="Times New Roman"/>
          <w:b/>
          <w:bCs/>
          <w:color w:val="000000" w:themeColor="text1"/>
          <w:sz w:val="24"/>
          <w:szCs w:val="24"/>
          <w:lang w:val="en-US"/>
        </w:rPr>
        <w:t xml:space="preserve"> Consumption (kg/capita/year) from Endogenous Switching Regression</w:t>
      </w:r>
    </w:p>
    <w:tbl>
      <w:tblPr>
        <w:tblStyle w:val="TableGrid5"/>
        <w:tblW w:w="5000" w:type="pct"/>
        <w:tblLayout w:type="fixed"/>
        <w:tblLook w:val="04A0" w:firstRow="1" w:lastRow="0" w:firstColumn="1" w:lastColumn="0" w:noHBand="0" w:noVBand="1"/>
      </w:tblPr>
      <w:tblGrid>
        <w:gridCol w:w="4546"/>
        <w:gridCol w:w="1756"/>
        <w:gridCol w:w="1571"/>
        <w:gridCol w:w="1477"/>
      </w:tblGrid>
      <w:tr>
        <w:tc>
          <w:tcPr>
            <w:tcW w:w="2431" w:type="pct"/>
            <w:vAlign w:val="bottom"/>
          </w:tcPr>
          <w:p>
            <w:pPr>
              <w:spacing w:line="360" w:lineRule="auto"/>
              <w:jc w:val="center"/>
              <w:rPr>
                <w:rFonts w:ascii="Times New Roman" w:hAnsi="Times New Roman" w:cs="Times New Roman"/>
                <w:color w:val="000000" w:themeColor="text1"/>
                <w:sz w:val="24"/>
                <w:szCs w:val="24"/>
              </w:rPr>
            </w:pPr>
          </w:p>
        </w:tc>
        <w:tc>
          <w:tcPr>
            <w:tcW w:w="1779" w:type="pct"/>
            <w:gridSpan w:val="2"/>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Decision Stage</w:t>
            </w:r>
          </w:p>
        </w:tc>
        <w:tc>
          <w:tcPr>
            <w:tcW w:w="790" w:type="pct"/>
            <w:vAlign w:val="bottom"/>
          </w:tcPr>
          <w:p>
            <w:pPr>
              <w:spacing w:line="360" w:lineRule="auto"/>
              <w:jc w:val="center"/>
              <w:rPr>
                <w:rFonts w:ascii="Times New Roman" w:hAnsi="Times New Roman" w:cs="Times New Roman"/>
                <w:color w:val="000000" w:themeColor="text1"/>
                <w:sz w:val="24"/>
                <w:szCs w:val="24"/>
              </w:rPr>
            </w:pP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Subsamples Effects</w:t>
            </w:r>
          </w:p>
        </w:tc>
        <w:tc>
          <w:tcPr>
            <w:tcW w:w="939"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Adopt</w:t>
            </w:r>
          </w:p>
        </w:tc>
        <w:tc>
          <w:tcPr>
            <w:tcW w:w="84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Not to Adopt</w:t>
            </w:r>
          </w:p>
        </w:tc>
        <w:tc>
          <w:tcPr>
            <w:tcW w:w="790" w:type="pct"/>
            <w:vAlign w:val="bottom"/>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Treatment</w:t>
            </w: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Farm households that adopted</w:t>
            </w:r>
          </w:p>
        </w:tc>
        <w:tc>
          <w:tcPr>
            <w:tcW w:w="939" w:type="pct"/>
            <w:vAlign w:val="center"/>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75.9</w:t>
            </w:r>
          </w:p>
        </w:tc>
        <w:tc>
          <w:tcPr>
            <w:tcW w:w="840" w:type="pct"/>
            <w:vAlign w:val="center"/>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 54.6  </w:t>
            </w:r>
          </w:p>
        </w:tc>
        <w:tc>
          <w:tcPr>
            <w:tcW w:w="790" w:type="pct"/>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21.3***</w:t>
            </w: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Farm households that did not adopt</w:t>
            </w:r>
          </w:p>
        </w:tc>
        <w:tc>
          <w:tcPr>
            <w:tcW w:w="939" w:type="pct"/>
            <w:vAlign w:val="center"/>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 60.3</w:t>
            </w:r>
          </w:p>
        </w:tc>
        <w:tc>
          <w:tcPr>
            <w:tcW w:w="840" w:type="pct"/>
            <w:vAlign w:val="center"/>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 44.7</w:t>
            </w:r>
          </w:p>
        </w:tc>
        <w:tc>
          <w:tcPr>
            <w:tcW w:w="790" w:type="pct"/>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15.6***</w:t>
            </w:r>
          </w:p>
        </w:tc>
      </w:tr>
      <w:tr>
        <w:tc>
          <w:tcPr>
            <w:tcW w:w="2431" w:type="pct"/>
            <w:vAlign w:val="bottom"/>
          </w:tcPr>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Heterogeneity effects</w:t>
            </w:r>
          </w:p>
        </w:tc>
        <w:tc>
          <w:tcPr>
            <w:tcW w:w="939" w:type="pct"/>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15.6</w:t>
            </w:r>
          </w:p>
        </w:tc>
        <w:tc>
          <w:tcPr>
            <w:tcW w:w="840" w:type="pct"/>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2.39.9</w:t>
            </w:r>
          </w:p>
        </w:tc>
        <w:tc>
          <w:tcPr>
            <w:tcW w:w="790" w:type="pct"/>
          </w:tcPr>
          <w:p>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5.7</w:t>
            </w:r>
          </w:p>
        </w:tc>
      </w:tr>
    </w:tbl>
    <w:p>
      <w:pPr>
        <w:spacing w:after="0" w:line="480" w:lineRule="auto"/>
        <w:jc w:val="both"/>
        <w:rPr>
          <w:rFonts w:ascii="Times New Roman" w:hAnsi="Times New Roman" w:cs="Times New Roman"/>
          <w:color w:val="000000" w:themeColor="text1"/>
          <w:sz w:val="24"/>
          <w:lang w:val="en-US"/>
        </w:rPr>
      </w:pPr>
    </w:p>
    <w:p>
      <w:pPr>
        <w:spacing w:after="0" w:line="480" w:lineRule="auto"/>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Given that ESR is potent in correcting for biases both from observable and unobservable factors,   the 9% higher consumption effects from ESR relative to PSM shows that unobservable factors are important in explaining the differences in consumption effects. In the case of consumption, the unobservable factors are leading to underestimation of the yield impacts which PSM failed to correct for while ESR did.</w:t>
      </w:r>
    </w:p>
    <w:p>
      <w:pPr>
        <w:spacing w:after="0" w:line="480" w:lineRule="auto"/>
        <w:jc w:val="both"/>
        <w:rPr>
          <w:rFonts w:ascii="Times New Roman" w:hAnsi="Times New Roman" w:cs="Times New Roman"/>
          <w:color w:val="000000" w:themeColor="text1"/>
          <w:sz w:val="24"/>
          <w:lang w:val="en-US"/>
        </w:rPr>
      </w:pPr>
    </w:p>
    <w:p>
      <w:pPr>
        <w:pStyle w:val="ListParagraph"/>
        <w:numPr>
          <w:ilvl w:val="1"/>
          <w:numId w:val="2"/>
        </w:numPr>
        <w:spacing w:after="0" w:line="480" w:lineRule="auto"/>
        <w:rPr>
          <w:rFonts w:ascii="Times New Roman" w:hAnsi="Times New Roman" w:cs="Times New Roman"/>
          <w:b/>
          <w:sz w:val="24"/>
          <w:szCs w:val="24"/>
        </w:rPr>
      </w:pPr>
      <w:r>
        <w:rPr>
          <w:rFonts w:ascii="Times New Roman" w:hAnsi="Times New Roman" w:cs="Times New Roman"/>
          <w:b/>
          <w:sz w:val="24"/>
          <w:szCs w:val="24"/>
        </w:rPr>
        <w:t>Potential national impacts</w:t>
      </w:r>
    </w:p>
    <w:p>
      <w:pPr>
        <w:pStyle w:val="ListParagraph"/>
        <w:spacing w:after="0" w:line="480" w:lineRule="auto"/>
        <w:ind w:left="0"/>
        <w:rPr>
          <w:rFonts w:ascii="Times New Roman" w:hAnsi="Times New Roman" w:cs="Times New Roman"/>
          <w:sz w:val="24"/>
          <w:szCs w:val="24"/>
        </w:rPr>
      </w:pPr>
      <w:r>
        <w:rPr>
          <w:rFonts w:ascii="Times New Roman" w:hAnsi="Times New Roman" w:cs="Times New Roman"/>
          <w:sz w:val="24"/>
          <w:szCs w:val="24"/>
        </w:rPr>
        <w:t xml:space="preserve">Assuming that on the average, the adoption levels and yield impacts in the other faba bean growing areas that are not covered by the survey are also the same, Morocco has been producing a total of 19116 tons more faba bean due to the adoption of improved varieties. </w:t>
      </w:r>
    </w:p>
    <w:p>
      <w:pPr>
        <w:pStyle w:val="ListParagraph"/>
        <w:spacing w:after="0" w:line="480" w:lineRule="auto"/>
        <w:ind w:left="0"/>
        <w:rPr>
          <w:rFonts w:ascii="Times New Roman" w:hAnsi="Times New Roman" w:cs="Times New Roman"/>
          <w:sz w:val="24"/>
          <w:szCs w:val="24"/>
        </w:rPr>
      </w:pPr>
      <w:r>
        <w:rPr>
          <w:rFonts w:ascii="Times New Roman" w:hAnsi="Times New Roman" w:cs="Times New Roman"/>
          <w:sz w:val="24"/>
          <w:szCs w:val="24"/>
        </w:rPr>
        <w:t xml:space="preserve">Likewise, the total net income gain due to a 23% adoption of improved varieties..  Morocco is earning a net </w:t>
      </w:r>
      <w:r>
        <w:rPr>
          <w:rFonts w:ascii="Times New Roman" w:eastAsia="Times New Roman" w:hAnsi="Times New Roman" w:cs="Times New Roman"/>
          <w:snapToGrid w:val="0"/>
          <w:sz w:val="24"/>
          <w:szCs w:val="24"/>
        </w:rPr>
        <w:t>faba bean</w:t>
      </w:r>
      <w:r>
        <w:rPr>
          <w:rFonts w:ascii="Times New Roman" w:hAnsi="Times New Roman" w:cs="Times New Roman"/>
          <w:sz w:val="24"/>
          <w:szCs w:val="24"/>
        </w:rPr>
        <w:t xml:space="preserve"> income gain of about 2.63 billion MD or US$0.27 billion per year. </w:t>
      </w:r>
    </w:p>
    <w:p>
      <w:pPr>
        <w:spacing w:after="0" w:line="480" w:lineRule="auto"/>
        <w:rPr>
          <w:rFonts w:asciiTheme="majorBidi" w:hAnsiTheme="majorBidi" w:cstheme="majorBidi"/>
          <w:sz w:val="24"/>
          <w:szCs w:val="24"/>
        </w:rPr>
      </w:pPr>
      <w:r>
        <w:rPr>
          <w:rFonts w:ascii="Times New Roman" w:hAnsi="Times New Roman" w:cs="Times New Roman"/>
          <w:sz w:val="24"/>
          <w:szCs w:val="24"/>
        </w:rPr>
        <w:t>If adoption of improved varieties were to increase to higher levels, Morocco would benefit all the more (Table 11).</w:t>
      </w:r>
      <w:r>
        <w:rPr>
          <w:rFonts w:asciiTheme="majorBidi" w:hAnsiTheme="majorBidi" w:cstheme="majorBidi"/>
          <w:sz w:val="24"/>
          <w:szCs w:val="24"/>
        </w:rPr>
        <w:t xml:space="preserve"> </w:t>
      </w:r>
    </w:p>
    <w:p>
      <w:pPr>
        <w:spacing w:after="0" w:line="480" w:lineRule="auto"/>
        <w:rPr>
          <w:rFonts w:asciiTheme="majorBidi" w:hAnsiTheme="majorBidi" w:cstheme="majorBidi"/>
          <w:sz w:val="24"/>
          <w:szCs w:val="24"/>
        </w:rPr>
      </w:pPr>
    </w:p>
    <w:p>
      <w:pPr>
        <w:spacing w:after="0" w:line="480" w:lineRule="auto"/>
        <w:rPr>
          <w:rFonts w:asciiTheme="majorBidi" w:hAnsiTheme="majorBidi" w:cstheme="majorBidi"/>
          <w:sz w:val="24"/>
          <w:szCs w:val="24"/>
        </w:rPr>
      </w:pPr>
    </w:p>
    <w:p>
      <w:pPr>
        <w:spacing w:line="360" w:lineRule="auto"/>
        <w:rPr>
          <w:rFonts w:asciiTheme="majorBidi" w:hAnsiTheme="majorBidi" w:cstheme="majorBidi"/>
          <w:sz w:val="24"/>
          <w:szCs w:val="24"/>
        </w:rPr>
      </w:pPr>
      <w:r>
        <w:rPr>
          <w:rFonts w:asciiTheme="majorBidi" w:hAnsiTheme="majorBidi" w:cstheme="majorBidi"/>
          <w:sz w:val="24"/>
          <w:szCs w:val="24"/>
        </w:rPr>
        <w:lastRenderedPageBreak/>
        <w:t>Table 11: Potential impacts of improved faba bean varieties with different levels of assumed Adoption levels</w:t>
      </w:r>
    </w:p>
    <w:tbl>
      <w:tblPr>
        <w:tblW w:w="8910" w:type="dxa"/>
        <w:tblInd w:w="-10" w:type="dxa"/>
        <w:tblLook w:val="04A0" w:firstRow="1" w:lastRow="0" w:firstColumn="1" w:lastColumn="0" w:noHBand="0" w:noVBand="1"/>
      </w:tblPr>
      <w:tblGrid>
        <w:gridCol w:w="2500"/>
        <w:gridCol w:w="2900"/>
        <w:gridCol w:w="1710"/>
        <w:gridCol w:w="1800"/>
      </w:tblGrid>
      <w:tr>
        <w:trPr>
          <w:trHeight w:val="300"/>
        </w:trPr>
        <w:tc>
          <w:tcPr>
            <w:tcW w:w="250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pPr>
              <w:spacing w:after="0"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Assumed adoption level</w:t>
            </w:r>
          </w:p>
        </w:tc>
        <w:tc>
          <w:tcPr>
            <w:tcW w:w="6410" w:type="dxa"/>
            <w:gridSpan w:val="3"/>
            <w:tcBorders>
              <w:top w:val="single" w:sz="8" w:space="0" w:color="auto"/>
              <w:left w:val="nil"/>
              <w:bottom w:val="single" w:sz="8" w:space="0" w:color="auto"/>
              <w:right w:val="single" w:sz="8" w:space="0" w:color="000000"/>
            </w:tcBorders>
            <w:shd w:val="clear" w:color="auto" w:fill="auto"/>
            <w:noWrap/>
            <w:vAlign w:val="bottom"/>
            <w:hideMark/>
          </w:tcPr>
          <w:p>
            <w:pPr>
              <w:spacing w:after="0"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Realized/Potential gain</w:t>
            </w:r>
          </w:p>
        </w:tc>
      </w:tr>
      <w:tr>
        <w:trPr>
          <w:trHeight w:val="300"/>
        </w:trPr>
        <w:tc>
          <w:tcPr>
            <w:tcW w:w="2500" w:type="dxa"/>
            <w:vMerge/>
            <w:tcBorders>
              <w:top w:val="single" w:sz="8" w:space="0" w:color="auto"/>
              <w:left w:val="single" w:sz="8" w:space="0" w:color="auto"/>
              <w:bottom w:val="single" w:sz="8" w:space="0" w:color="000000"/>
              <w:right w:val="single" w:sz="8" w:space="0" w:color="auto"/>
            </w:tcBorders>
            <w:vAlign w:val="center"/>
            <w:hideMark/>
          </w:tcPr>
          <w:p>
            <w:pPr>
              <w:spacing w:after="0" w:line="360" w:lineRule="auto"/>
              <w:rPr>
                <w:rFonts w:ascii="Times New Roman" w:eastAsia="Times New Roman" w:hAnsi="Times New Roman" w:cs="Times New Roman"/>
                <w:color w:val="000000"/>
                <w:sz w:val="24"/>
              </w:rPr>
            </w:pPr>
          </w:p>
        </w:tc>
        <w:tc>
          <w:tcPr>
            <w:tcW w:w="2900" w:type="dxa"/>
            <w:tcBorders>
              <w:top w:val="nil"/>
              <w:left w:val="nil"/>
              <w:bottom w:val="single" w:sz="8" w:space="0" w:color="auto"/>
              <w:right w:val="nil"/>
            </w:tcBorders>
            <w:shd w:val="clear" w:color="auto" w:fill="auto"/>
            <w:noWrap/>
            <w:vAlign w:val="bottom"/>
            <w:hideMark/>
          </w:tcPr>
          <w:p>
            <w:pPr>
              <w:spacing w:after="0"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Production (tons)</w:t>
            </w:r>
          </w:p>
        </w:tc>
        <w:tc>
          <w:tcPr>
            <w:tcW w:w="1710" w:type="dxa"/>
            <w:tcBorders>
              <w:top w:val="nil"/>
              <w:left w:val="single" w:sz="8" w:space="0" w:color="auto"/>
              <w:bottom w:val="single" w:sz="8" w:space="0" w:color="auto"/>
              <w:right w:val="single" w:sz="8" w:space="0" w:color="auto"/>
            </w:tcBorders>
            <w:shd w:val="clear" w:color="auto" w:fill="auto"/>
            <w:noWrap/>
            <w:vAlign w:val="bottom"/>
            <w:hideMark/>
          </w:tcPr>
          <w:p>
            <w:pPr>
              <w:spacing w:after="0"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Net Income (billion MAD)</w:t>
            </w:r>
          </w:p>
        </w:tc>
        <w:tc>
          <w:tcPr>
            <w:tcW w:w="1800" w:type="dxa"/>
            <w:tcBorders>
              <w:top w:val="nil"/>
              <w:left w:val="nil"/>
              <w:bottom w:val="single" w:sz="8" w:space="0" w:color="auto"/>
              <w:right w:val="single" w:sz="8" w:space="0" w:color="auto"/>
            </w:tcBorders>
            <w:shd w:val="clear" w:color="auto" w:fill="auto"/>
            <w:noWrap/>
            <w:vAlign w:val="bottom"/>
            <w:hideMark/>
          </w:tcPr>
          <w:p>
            <w:pPr>
              <w:spacing w:after="0"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Net Income (billion US$)</w:t>
            </w:r>
          </w:p>
        </w:tc>
      </w:tr>
      <w:tr>
        <w:trPr>
          <w:trHeight w:val="29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pPr>
              <w:spacing w:after="0" w:line="36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Current level (23%)</w:t>
            </w:r>
          </w:p>
        </w:tc>
        <w:tc>
          <w:tcPr>
            <w:tcW w:w="2900" w:type="dxa"/>
            <w:tcBorders>
              <w:top w:val="nil"/>
              <w:left w:val="nil"/>
              <w:bottom w:val="single" w:sz="4" w:space="0" w:color="auto"/>
              <w:right w:val="nil"/>
            </w:tcBorders>
            <w:shd w:val="clear" w:color="auto" w:fill="auto"/>
            <w:noWrap/>
            <w:hideMark/>
          </w:tcPr>
          <w:p>
            <w:pPr>
              <w:spacing w:after="0" w:line="360" w:lineRule="auto"/>
              <w:jc w:val="center"/>
            </w:pPr>
            <w:r>
              <w:t>19,116</w:t>
            </w:r>
          </w:p>
        </w:tc>
        <w:tc>
          <w:tcPr>
            <w:tcW w:w="1710" w:type="dxa"/>
            <w:tcBorders>
              <w:top w:val="nil"/>
              <w:left w:val="single" w:sz="8" w:space="0" w:color="auto"/>
              <w:bottom w:val="single" w:sz="4" w:space="0" w:color="auto"/>
              <w:right w:val="single" w:sz="8" w:space="0" w:color="auto"/>
            </w:tcBorders>
            <w:shd w:val="clear" w:color="auto" w:fill="auto"/>
            <w:noWrap/>
            <w:hideMark/>
          </w:tcPr>
          <w:p>
            <w:pPr>
              <w:spacing w:after="0" w:line="360" w:lineRule="auto"/>
              <w:jc w:val="center"/>
            </w:pPr>
            <w:r>
              <w:t>2.63</w:t>
            </w:r>
          </w:p>
        </w:tc>
        <w:tc>
          <w:tcPr>
            <w:tcW w:w="1800" w:type="dxa"/>
            <w:tcBorders>
              <w:top w:val="nil"/>
              <w:left w:val="nil"/>
              <w:bottom w:val="single" w:sz="4" w:space="0" w:color="auto"/>
              <w:right w:val="single" w:sz="8" w:space="0" w:color="auto"/>
            </w:tcBorders>
            <w:shd w:val="clear" w:color="auto" w:fill="auto"/>
            <w:noWrap/>
            <w:hideMark/>
          </w:tcPr>
          <w:p>
            <w:pPr>
              <w:spacing w:after="0" w:line="360" w:lineRule="auto"/>
              <w:jc w:val="center"/>
            </w:pPr>
            <w:r>
              <w:t>0.27</w:t>
            </w:r>
          </w:p>
        </w:tc>
      </w:tr>
      <w:tr>
        <w:trPr>
          <w:trHeight w:val="29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pPr>
              <w:spacing w:after="0"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50%</w:t>
            </w:r>
          </w:p>
        </w:tc>
        <w:tc>
          <w:tcPr>
            <w:tcW w:w="2900" w:type="dxa"/>
            <w:tcBorders>
              <w:top w:val="nil"/>
              <w:left w:val="nil"/>
              <w:bottom w:val="single" w:sz="4" w:space="0" w:color="auto"/>
              <w:right w:val="nil"/>
            </w:tcBorders>
            <w:shd w:val="clear" w:color="auto" w:fill="auto"/>
            <w:noWrap/>
            <w:hideMark/>
          </w:tcPr>
          <w:p>
            <w:pPr>
              <w:spacing w:after="0" w:line="360" w:lineRule="auto"/>
              <w:jc w:val="center"/>
            </w:pPr>
            <w:r>
              <w:t>41,557</w:t>
            </w:r>
          </w:p>
        </w:tc>
        <w:tc>
          <w:tcPr>
            <w:tcW w:w="1710" w:type="dxa"/>
            <w:tcBorders>
              <w:top w:val="nil"/>
              <w:left w:val="single" w:sz="8" w:space="0" w:color="auto"/>
              <w:bottom w:val="single" w:sz="4" w:space="0" w:color="auto"/>
              <w:right w:val="single" w:sz="8" w:space="0" w:color="auto"/>
            </w:tcBorders>
            <w:shd w:val="clear" w:color="auto" w:fill="auto"/>
            <w:noWrap/>
            <w:hideMark/>
          </w:tcPr>
          <w:p>
            <w:pPr>
              <w:spacing w:after="0" w:line="360" w:lineRule="auto"/>
              <w:jc w:val="center"/>
            </w:pPr>
            <w:r>
              <w:t>5.68</w:t>
            </w:r>
          </w:p>
        </w:tc>
        <w:tc>
          <w:tcPr>
            <w:tcW w:w="1800" w:type="dxa"/>
            <w:tcBorders>
              <w:top w:val="nil"/>
              <w:left w:val="nil"/>
              <w:bottom w:val="single" w:sz="4" w:space="0" w:color="auto"/>
              <w:right w:val="single" w:sz="8" w:space="0" w:color="auto"/>
            </w:tcBorders>
            <w:shd w:val="clear" w:color="auto" w:fill="auto"/>
            <w:noWrap/>
            <w:hideMark/>
          </w:tcPr>
          <w:p>
            <w:pPr>
              <w:spacing w:after="0" w:line="360" w:lineRule="auto"/>
              <w:jc w:val="center"/>
            </w:pPr>
            <w:r>
              <w:t>0.58</w:t>
            </w:r>
          </w:p>
        </w:tc>
      </w:tr>
      <w:tr>
        <w:trPr>
          <w:trHeight w:val="29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pPr>
              <w:spacing w:after="0"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60%</w:t>
            </w:r>
          </w:p>
        </w:tc>
        <w:tc>
          <w:tcPr>
            <w:tcW w:w="2900" w:type="dxa"/>
            <w:tcBorders>
              <w:top w:val="nil"/>
              <w:left w:val="nil"/>
              <w:bottom w:val="single" w:sz="4" w:space="0" w:color="auto"/>
              <w:right w:val="nil"/>
            </w:tcBorders>
            <w:shd w:val="clear" w:color="auto" w:fill="auto"/>
            <w:noWrap/>
            <w:hideMark/>
          </w:tcPr>
          <w:p>
            <w:pPr>
              <w:spacing w:after="0" w:line="360" w:lineRule="auto"/>
              <w:jc w:val="center"/>
            </w:pPr>
            <w:r>
              <w:t>49,868</w:t>
            </w:r>
          </w:p>
        </w:tc>
        <w:tc>
          <w:tcPr>
            <w:tcW w:w="1710" w:type="dxa"/>
            <w:tcBorders>
              <w:top w:val="nil"/>
              <w:left w:val="single" w:sz="8" w:space="0" w:color="auto"/>
              <w:bottom w:val="single" w:sz="4" w:space="0" w:color="auto"/>
              <w:right w:val="single" w:sz="8" w:space="0" w:color="auto"/>
            </w:tcBorders>
            <w:shd w:val="clear" w:color="auto" w:fill="auto"/>
            <w:noWrap/>
            <w:hideMark/>
          </w:tcPr>
          <w:p>
            <w:pPr>
              <w:spacing w:after="0" w:line="360" w:lineRule="auto"/>
              <w:jc w:val="center"/>
            </w:pPr>
            <w:r>
              <w:t>6.82</w:t>
            </w:r>
          </w:p>
        </w:tc>
        <w:tc>
          <w:tcPr>
            <w:tcW w:w="1800" w:type="dxa"/>
            <w:tcBorders>
              <w:top w:val="nil"/>
              <w:left w:val="nil"/>
              <w:bottom w:val="single" w:sz="4" w:space="0" w:color="auto"/>
              <w:right w:val="single" w:sz="8" w:space="0" w:color="auto"/>
            </w:tcBorders>
            <w:shd w:val="clear" w:color="auto" w:fill="auto"/>
            <w:noWrap/>
            <w:hideMark/>
          </w:tcPr>
          <w:p>
            <w:pPr>
              <w:spacing w:after="0" w:line="360" w:lineRule="auto"/>
              <w:jc w:val="center"/>
            </w:pPr>
            <w:r>
              <w:t>0.69</w:t>
            </w:r>
          </w:p>
        </w:tc>
      </w:tr>
      <w:tr>
        <w:trPr>
          <w:trHeight w:val="29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pPr>
              <w:spacing w:after="0"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70%</w:t>
            </w:r>
          </w:p>
        </w:tc>
        <w:tc>
          <w:tcPr>
            <w:tcW w:w="2900" w:type="dxa"/>
            <w:tcBorders>
              <w:top w:val="nil"/>
              <w:left w:val="nil"/>
              <w:bottom w:val="single" w:sz="4" w:space="0" w:color="auto"/>
              <w:right w:val="nil"/>
            </w:tcBorders>
            <w:shd w:val="clear" w:color="auto" w:fill="auto"/>
            <w:noWrap/>
            <w:hideMark/>
          </w:tcPr>
          <w:p>
            <w:pPr>
              <w:spacing w:after="0" w:line="360" w:lineRule="auto"/>
              <w:jc w:val="center"/>
            </w:pPr>
            <w:r>
              <w:t>58,180</w:t>
            </w:r>
          </w:p>
        </w:tc>
        <w:tc>
          <w:tcPr>
            <w:tcW w:w="1710" w:type="dxa"/>
            <w:tcBorders>
              <w:top w:val="nil"/>
              <w:left w:val="single" w:sz="8" w:space="0" w:color="auto"/>
              <w:bottom w:val="single" w:sz="4" w:space="0" w:color="auto"/>
              <w:right w:val="single" w:sz="8" w:space="0" w:color="auto"/>
            </w:tcBorders>
            <w:shd w:val="clear" w:color="auto" w:fill="auto"/>
            <w:noWrap/>
            <w:hideMark/>
          </w:tcPr>
          <w:p>
            <w:pPr>
              <w:spacing w:after="0" w:line="360" w:lineRule="auto"/>
              <w:jc w:val="center"/>
            </w:pPr>
            <w:r>
              <w:t>7.96</w:t>
            </w:r>
          </w:p>
        </w:tc>
        <w:tc>
          <w:tcPr>
            <w:tcW w:w="1800" w:type="dxa"/>
            <w:tcBorders>
              <w:top w:val="nil"/>
              <w:left w:val="nil"/>
              <w:bottom w:val="single" w:sz="4" w:space="0" w:color="auto"/>
              <w:right w:val="single" w:sz="8" w:space="0" w:color="auto"/>
            </w:tcBorders>
            <w:shd w:val="clear" w:color="auto" w:fill="auto"/>
            <w:noWrap/>
            <w:hideMark/>
          </w:tcPr>
          <w:p>
            <w:pPr>
              <w:spacing w:after="0" w:line="360" w:lineRule="auto"/>
              <w:jc w:val="center"/>
            </w:pPr>
            <w:r>
              <w:t>0.81</w:t>
            </w:r>
          </w:p>
        </w:tc>
      </w:tr>
      <w:tr>
        <w:trPr>
          <w:trHeight w:val="29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pPr>
              <w:spacing w:after="0"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80%</w:t>
            </w:r>
          </w:p>
        </w:tc>
        <w:tc>
          <w:tcPr>
            <w:tcW w:w="2900" w:type="dxa"/>
            <w:tcBorders>
              <w:top w:val="nil"/>
              <w:left w:val="nil"/>
              <w:bottom w:val="single" w:sz="4" w:space="0" w:color="auto"/>
              <w:right w:val="nil"/>
            </w:tcBorders>
            <w:shd w:val="clear" w:color="auto" w:fill="auto"/>
            <w:noWrap/>
            <w:hideMark/>
          </w:tcPr>
          <w:p>
            <w:pPr>
              <w:spacing w:after="0" w:line="360" w:lineRule="auto"/>
              <w:jc w:val="center"/>
            </w:pPr>
            <w:r>
              <w:t>66,491</w:t>
            </w:r>
          </w:p>
        </w:tc>
        <w:tc>
          <w:tcPr>
            <w:tcW w:w="1710" w:type="dxa"/>
            <w:tcBorders>
              <w:top w:val="nil"/>
              <w:left w:val="single" w:sz="8" w:space="0" w:color="auto"/>
              <w:bottom w:val="single" w:sz="4" w:space="0" w:color="auto"/>
              <w:right w:val="single" w:sz="8" w:space="0" w:color="auto"/>
            </w:tcBorders>
            <w:shd w:val="clear" w:color="auto" w:fill="auto"/>
            <w:noWrap/>
            <w:hideMark/>
          </w:tcPr>
          <w:p>
            <w:pPr>
              <w:spacing w:after="0" w:line="360" w:lineRule="auto"/>
              <w:jc w:val="center"/>
            </w:pPr>
            <w:r>
              <w:t>9.09</w:t>
            </w:r>
          </w:p>
        </w:tc>
        <w:tc>
          <w:tcPr>
            <w:tcW w:w="1800" w:type="dxa"/>
            <w:tcBorders>
              <w:top w:val="nil"/>
              <w:left w:val="nil"/>
              <w:bottom w:val="single" w:sz="4" w:space="0" w:color="auto"/>
              <w:right w:val="single" w:sz="8" w:space="0" w:color="auto"/>
            </w:tcBorders>
            <w:shd w:val="clear" w:color="auto" w:fill="auto"/>
            <w:noWrap/>
            <w:hideMark/>
          </w:tcPr>
          <w:p>
            <w:pPr>
              <w:spacing w:after="0" w:line="360" w:lineRule="auto"/>
              <w:jc w:val="center"/>
            </w:pPr>
            <w:r>
              <w:t>0.92</w:t>
            </w:r>
          </w:p>
        </w:tc>
      </w:tr>
      <w:tr>
        <w:trPr>
          <w:trHeight w:val="29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pPr>
              <w:spacing w:after="0"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90%</w:t>
            </w:r>
          </w:p>
        </w:tc>
        <w:tc>
          <w:tcPr>
            <w:tcW w:w="2900" w:type="dxa"/>
            <w:tcBorders>
              <w:top w:val="nil"/>
              <w:left w:val="nil"/>
              <w:bottom w:val="single" w:sz="4" w:space="0" w:color="auto"/>
              <w:right w:val="nil"/>
            </w:tcBorders>
            <w:shd w:val="clear" w:color="auto" w:fill="auto"/>
            <w:noWrap/>
            <w:hideMark/>
          </w:tcPr>
          <w:p>
            <w:pPr>
              <w:spacing w:after="0" w:line="360" w:lineRule="auto"/>
              <w:jc w:val="center"/>
            </w:pPr>
            <w:r>
              <w:t>74,802</w:t>
            </w:r>
          </w:p>
        </w:tc>
        <w:tc>
          <w:tcPr>
            <w:tcW w:w="1710" w:type="dxa"/>
            <w:tcBorders>
              <w:top w:val="nil"/>
              <w:left w:val="single" w:sz="8" w:space="0" w:color="auto"/>
              <w:bottom w:val="single" w:sz="4" w:space="0" w:color="auto"/>
              <w:right w:val="single" w:sz="8" w:space="0" w:color="auto"/>
            </w:tcBorders>
            <w:shd w:val="clear" w:color="auto" w:fill="auto"/>
            <w:noWrap/>
            <w:hideMark/>
          </w:tcPr>
          <w:p>
            <w:pPr>
              <w:spacing w:after="0" w:line="360" w:lineRule="auto"/>
              <w:jc w:val="center"/>
            </w:pPr>
            <w:r>
              <w:t>10.23</w:t>
            </w:r>
          </w:p>
        </w:tc>
        <w:tc>
          <w:tcPr>
            <w:tcW w:w="1800" w:type="dxa"/>
            <w:tcBorders>
              <w:top w:val="nil"/>
              <w:left w:val="nil"/>
              <w:bottom w:val="single" w:sz="4" w:space="0" w:color="auto"/>
              <w:right w:val="single" w:sz="8" w:space="0" w:color="auto"/>
            </w:tcBorders>
            <w:shd w:val="clear" w:color="auto" w:fill="auto"/>
            <w:noWrap/>
            <w:hideMark/>
          </w:tcPr>
          <w:p>
            <w:pPr>
              <w:spacing w:after="0" w:line="360" w:lineRule="auto"/>
              <w:jc w:val="center"/>
            </w:pPr>
            <w:r>
              <w:t>1.04</w:t>
            </w:r>
          </w:p>
        </w:tc>
      </w:tr>
      <w:tr>
        <w:trPr>
          <w:trHeight w:val="300"/>
        </w:trPr>
        <w:tc>
          <w:tcPr>
            <w:tcW w:w="2500" w:type="dxa"/>
            <w:tcBorders>
              <w:top w:val="nil"/>
              <w:left w:val="single" w:sz="8" w:space="0" w:color="auto"/>
              <w:bottom w:val="single" w:sz="8" w:space="0" w:color="auto"/>
              <w:right w:val="single" w:sz="8" w:space="0" w:color="auto"/>
            </w:tcBorders>
            <w:shd w:val="clear" w:color="auto" w:fill="auto"/>
            <w:noWrap/>
            <w:vAlign w:val="bottom"/>
            <w:hideMark/>
          </w:tcPr>
          <w:p>
            <w:pPr>
              <w:spacing w:after="0"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100%</w:t>
            </w:r>
          </w:p>
        </w:tc>
        <w:tc>
          <w:tcPr>
            <w:tcW w:w="2900" w:type="dxa"/>
            <w:tcBorders>
              <w:top w:val="nil"/>
              <w:left w:val="nil"/>
              <w:bottom w:val="single" w:sz="8" w:space="0" w:color="auto"/>
              <w:right w:val="nil"/>
            </w:tcBorders>
            <w:shd w:val="clear" w:color="auto" w:fill="auto"/>
            <w:noWrap/>
            <w:hideMark/>
          </w:tcPr>
          <w:p>
            <w:pPr>
              <w:spacing w:after="0" w:line="360" w:lineRule="auto"/>
              <w:jc w:val="center"/>
            </w:pPr>
            <w:r>
              <w:t>83,114</w:t>
            </w:r>
          </w:p>
        </w:tc>
        <w:tc>
          <w:tcPr>
            <w:tcW w:w="1710" w:type="dxa"/>
            <w:tcBorders>
              <w:top w:val="nil"/>
              <w:left w:val="single" w:sz="8" w:space="0" w:color="auto"/>
              <w:bottom w:val="single" w:sz="8" w:space="0" w:color="auto"/>
              <w:right w:val="single" w:sz="8" w:space="0" w:color="auto"/>
            </w:tcBorders>
            <w:shd w:val="clear" w:color="auto" w:fill="auto"/>
            <w:noWrap/>
            <w:hideMark/>
          </w:tcPr>
          <w:p>
            <w:pPr>
              <w:spacing w:after="0" w:line="360" w:lineRule="auto"/>
              <w:jc w:val="center"/>
            </w:pPr>
            <w:r>
              <w:t>11.37</w:t>
            </w:r>
          </w:p>
        </w:tc>
        <w:tc>
          <w:tcPr>
            <w:tcW w:w="1800" w:type="dxa"/>
            <w:tcBorders>
              <w:top w:val="nil"/>
              <w:left w:val="nil"/>
              <w:bottom w:val="single" w:sz="8" w:space="0" w:color="auto"/>
              <w:right w:val="single" w:sz="8" w:space="0" w:color="auto"/>
            </w:tcBorders>
            <w:shd w:val="clear" w:color="auto" w:fill="auto"/>
            <w:noWrap/>
            <w:hideMark/>
          </w:tcPr>
          <w:p>
            <w:pPr>
              <w:spacing w:after="0" w:line="360" w:lineRule="auto"/>
              <w:jc w:val="center"/>
            </w:pPr>
            <w:r>
              <w:t>1.15</w:t>
            </w:r>
          </w:p>
        </w:tc>
      </w:tr>
    </w:tbl>
    <w:p>
      <w:pPr>
        <w:spacing w:line="480" w:lineRule="auto"/>
        <w:rPr>
          <w:rFonts w:asciiTheme="majorBidi" w:hAnsiTheme="majorBidi" w:cstheme="majorBidi"/>
          <w:sz w:val="24"/>
          <w:szCs w:val="24"/>
        </w:rPr>
      </w:pPr>
    </w:p>
    <w:p>
      <w:pPr>
        <w:autoSpaceDE w:val="0"/>
        <w:autoSpaceDN w:val="0"/>
        <w:adjustRightInd w:val="0"/>
        <w:spacing w:after="0" w:line="480" w:lineRule="auto"/>
        <w:jc w:val="both"/>
        <w:rPr>
          <w:rFonts w:ascii="Times New Roman" w:eastAsia="Times New Roman" w:hAnsi="Times New Roman" w:cs="Times New Roman"/>
          <w:b/>
          <w:bCs/>
          <w:color w:val="231F20"/>
          <w:sz w:val="24"/>
          <w:szCs w:val="24"/>
        </w:rPr>
      </w:pPr>
      <w:r>
        <w:rPr>
          <w:rFonts w:ascii="Times New Roman" w:eastAsia="Times New Roman" w:hAnsi="Times New Roman" w:cs="Times New Roman"/>
          <w:b/>
          <w:bCs/>
          <w:color w:val="231F20"/>
          <w:sz w:val="24"/>
          <w:szCs w:val="24"/>
        </w:rPr>
        <w:t>3.5. Impact of wheat –faba bean rotation on the wheat yield, net income and total income.</w:t>
      </w:r>
    </w:p>
    <w:p>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Our results showed that 26% higher yields were obtained by wheat farmers rotating with faba-beans than cereal-cereal and other rotations. Wheat-faba bean rotations also increased wheat</w:t>
      </w:r>
      <w:r>
        <w:rPr>
          <w:sz w:val="24"/>
          <w:szCs w:val="24"/>
        </w:rPr>
        <w:t xml:space="preserve"> </w:t>
      </w:r>
      <w:r>
        <w:rPr>
          <w:rFonts w:ascii="Times New Roman" w:hAnsi="Times New Roman" w:cs="Times New Roman"/>
          <w:sz w:val="24"/>
          <w:szCs w:val="24"/>
        </w:rPr>
        <w:t>net return by 38% (Table 12). The results also show that the combined effect of the adoption of improved varieties of faba beans and rotations is an increase in total farm income of 33%.</w:t>
      </w:r>
    </w:p>
    <w:p>
      <w:pPr>
        <w:autoSpaceDE w:val="0"/>
        <w:autoSpaceDN w:val="0"/>
        <w:adjustRightInd w:val="0"/>
        <w:spacing w:after="0" w:line="480" w:lineRule="auto"/>
        <w:jc w:val="both"/>
        <w:rPr>
          <w:rFonts w:ascii="Times New Roman" w:hAnsi="Times New Roman" w:cs="Times New Roman"/>
          <w:sz w:val="24"/>
          <w:szCs w:val="24"/>
        </w:rPr>
      </w:pPr>
    </w:p>
    <w:p>
      <w:pPr>
        <w:autoSpaceDE w:val="0"/>
        <w:autoSpaceDN w:val="0"/>
        <w:adjustRightInd w:val="0"/>
        <w:spacing w:after="0" w:line="480" w:lineRule="auto"/>
        <w:contextualSpacing/>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Table (12)</w:t>
      </w:r>
      <w:r>
        <w:t xml:space="preserve"> </w:t>
      </w:r>
      <w:r>
        <w:rPr>
          <w:rFonts w:ascii="Times New Roman" w:eastAsia="Times New Roman" w:hAnsi="Times New Roman" w:cs="Times New Roman"/>
          <w:color w:val="231F20"/>
          <w:sz w:val="24"/>
          <w:szCs w:val="24"/>
        </w:rPr>
        <w:t>Impact of wheat –faba bean rotation on the wheat yield, net income and total income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9"/>
        <w:gridCol w:w="2106"/>
        <w:gridCol w:w="2332"/>
        <w:gridCol w:w="2063"/>
      </w:tblGrid>
      <w:tr>
        <w:trPr>
          <w:trHeight w:val="300"/>
        </w:trPr>
        <w:tc>
          <w:tcPr>
            <w:tcW w:w="1524"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Improved/old</w:t>
            </w:r>
          </w:p>
        </w:tc>
        <w:tc>
          <w:tcPr>
            <w:tcW w:w="1126"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Rotation</w:t>
            </w:r>
          </w:p>
        </w:tc>
        <w:tc>
          <w:tcPr>
            <w:tcW w:w="1247"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Yield (kg/ha)</w:t>
            </w:r>
          </w:p>
        </w:tc>
        <w:tc>
          <w:tcPr>
            <w:tcW w:w="1103"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Net income</w:t>
            </w:r>
          </w:p>
        </w:tc>
      </w:tr>
      <w:tr>
        <w:trPr>
          <w:trHeight w:val="300"/>
        </w:trPr>
        <w:tc>
          <w:tcPr>
            <w:tcW w:w="1524"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old</w:t>
            </w:r>
          </w:p>
        </w:tc>
        <w:tc>
          <w:tcPr>
            <w:tcW w:w="1126"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no </w:t>
            </w:r>
          </w:p>
        </w:tc>
        <w:tc>
          <w:tcPr>
            <w:tcW w:w="1247"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739.2</w:t>
            </w:r>
          </w:p>
        </w:tc>
        <w:tc>
          <w:tcPr>
            <w:tcW w:w="1103"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1844.4</w:t>
            </w:r>
          </w:p>
        </w:tc>
      </w:tr>
      <w:tr>
        <w:trPr>
          <w:trHeight w:val="300"/>
        </w:trPr>
        <w:tc>
          <w:tcPr>
            <w:tcW w:w="1524"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improved</w:t>
            </w:r>
          </w:p>
        </w:tc>
        <w:tc>
          <w:tcPr>
            <w:tcW w:w="1126"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no </w:t>
            </w:r>
          </w:p>
        </w:tc>
        <w:tc>
          <w:tcPr>
            <w:tcW w:w="1247"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1103.8</w:t>
            </w:r>
          </w:p>
        </w:tc>
        <w:tc>
          <w:tcPr>
            <w:tcW w:w="1103"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3011.6</w:t>
            </w:r>
          </w:p>
        </w:tc>
      </w:tr>
      <w:tr>
        <w:trPr>
          <w:trHeight w:val="300"/>
        </w:trPr>
        <w:tc>
          <w:tcPr>
            <w:tcW w:w="1524"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old</w:t>
            </w:r>
          </w:p>
        </w:tc>
        <w:tc>
          <w:tcPr>
            <w:tcW w:w="1126"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yes </w:t>
            </w:r>
          </w:p>
        </w:tc>
        <w:tc>
          <w:tcPr>
            <w:tcW w:w="1247"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849.1</w:t>
            </w:r>
          </w:p>
        </w:tc>
        <w:tc>
          <w:tcPr>
            <w:tcW w:w="1103"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2391.5</w:t>
            </w:r>
          </w:p>
        </w:tc>
      </w:tr>
      <w:tr>
        <w:trPr>
          <w:trHeight w:val="300"/>
        </w:trPr>
        <w:tc>
          <w:tcPr>
            <w:tcW w:w="1524"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improved</w:t>
            </w:r>
          </w:p>
        </w:tc>
        <w:tc>
          <w:tcPr>
            <w:tcW w:w="1126"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yes </w:t>
            </w:r>
          </w:p>
        </w:tc>
        <w:tc>
          <w:tcPr>
            <w:tcW w:w="1247"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1221.5</w:t>
            </w:r>
          </w:p>
        </w:tc>
        <w:tc>
          <w:tcPr>
            <w:tcW w:w="1103"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3454.8</w:t>
            </w:r>
          </w:p>
        </w:tc>
      </w:tr>
      <w:tr>
        <w:trPr>
          <w:trHeight w:val="300"/>
        </w:trPr>
        <w:tc>
          <w:tcPr>
            <w:tcW w:w="1524"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All varieties</w:t>
            </w:r>
          </w:p>
        </w:tc>
        <w:tc>
          <w:tcPr>
            <w:tcW w:w="1126"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no </w:t>
            </w:r>
          </w:p>
        </w:tc>
        <w:tc>
          <w:tcPr>
            <w:tcW w:w="1247"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826.5</w:t>
            </w:r>
          </w:p>
        </w:tc>
        <w:tc>
          <w:tcPr>
            <w:tcW w:w="1103"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2123.9</w:t>
            </w:r>
          </w:p>
        </w:tc>
      </w:tr>
      <w:tr>
        <w:trPr>
          <w:trHeight w:val="300"/>
        </w:trPr>
        <w:tc>
          <w:tcPr>
            <w:tcW w:w="1524"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All varieties</w:t>
            </w:r>
          </w:p>
        </w:tc>
        <w:tc>
          <w:tcPr>
            <w:tcW w:w="1126" w:type="pct"/>
            <w:shd w:val="clear" w:color="auto" w:fill="auto"/>
            <w:noWrap/>
            <w:vAlign w:val="bottom"/>
            <w:hideMark/>
          </w:tcPr>
          <w:p>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yes </w:t>
            </w:r>
          </w:p>
        </w:tc>
        <w:tc>
          <w:tcPr>
            <w:tcW w:w="1247"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1040.3</w:t>
            </w:r>
          </w:p>
        </w:tc>
        <w:tc>
          <w:tcPr>
            <w:tcW w:w="1103" w:type="pct"/>
            <w:shd w:val="clear" w:color="auto" w:fill="auto"/>
            <w:noWrap/>
            <w:vAlign w:val="bottom"/>
            <w:hideMark/>
          </w:tcPr>
          <w:p>
            <w:pPr>
              <w:spacing w:after="0" w:line="36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2937.7</w:t>
            </w:r>
          </w:p>
        </w:tc>
      </w:tr>
    </w:tbl>
    <w:p>
      <w:pPr>
        <w:widowControl w:val="0"/>
        <w:spacing w:after="0" w:line="480" w:lineRule="auto"/>
        <w:jc w:val="both"/>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lastRenderedPageBreak/>
        <w:t>4. Conclusion</w:t>
      </w:r>
    </w:p>
    <w:p>
      <w:pPr>
        <w:autoSpaceDE w:val="0"/>
        <w:autoSpaceDN w:val="0"/>
        <w:adjustRightInd w:val="0"/>
        <w:spacing w:after="0" w:line="480" w:lineRule="auto"/>
        <w:jc w:val="both"/>
        <w:rPr>
          <w:rFonts w:ascii="Times New Roman" w:hAnsi="Times New Roman" w:cs="Times New Roman"/>
          <w:sz w:val="24"/>
          <w:szCs w:val="24"/>
        </w:rPr>
      </w:pPr>
      <w:r>
        <w:rPr>
          <w:rFonts w:ascii="Times New Roman" w:eastAsia="Times New Roman" w:hAnsi="Times New Roman" w:cs="Times New Roman"/>
          <w:snapToGrid w:val="0"/>
          <w:sz w:val="24"/>
          <w:szCs w:val="24"/>
        </w:rPr>
        <w:t xml:space="preserve">This study found that </w:t>
      </w:r>
      <w:r>
        <w:rPr>
          <w:rFonts w:ascii="Times New Roman" w:hAnsi="Times New Roman" w:cs="Times New Roman"/>
          <w:sz w:val="24"/>
          <w:szCs w:val="24"/>
        </w:rPr>
        <w:t>only 3 out of 13 faba bean varieties in farmers’ hands were improved varieties covering only 23% of total faba beans area. Farmers reported that only 17% of total faba bean seeds used was certified originating from seed companies while the remaining 83% was uncertified - 63% kept from previous harvest and 20% bought from local seed retailers.</w:t>
      </w:r>
    </w:p>
    <w:p>
      <w:pPr>
        <w:autoSpaceDE w:val="0"/>
        <w:autoSpaceDN w:val="0"/>
        <w:adjustRightInd w:val="0"/>
        <w:spacing w:after="0" w:line="480" w:lineRule="auto"/>
        <w:jc w:val="both"/>
        <w:rPr>
          <w:rFonts w:ascii="Times New Roman" w:hAnsi="Times New Roman" w:cs="Times New Roman"/>
          <w:sz w:val="24"/>
          <w:szCs w:val="24"/>
        </w:rPr>
      </w:pPr>
    </w:p>
    <w:p>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Among many other factors, Farmers who purchased certified seed are found to have higher tendency to adopt more recent improved varieties than those who used uncertified seeds. This shows that certified seeds constitute more of improved varieties which are not too old than seeds which are uncertified. Number of years of education, being active or leader in the community and access to credit have positive and significant effect on the decision whether or not to adoption</w:t>
      </w:r>
    </w:p>
    <w:p>
      <w:pPr>
        <w:autoSpaceDE w:val="0"/>
        <w:autoSpaceDN w:val="0"/>
        <w:adjustRightInd w:val="0"/>
        <w:spacing w:after="0" w:line="480" w:lineRule="auto"/>
        <w:jc w:val="both"/>
        <w:rPr>
          <w:rFonts w:ascii="Times New Roman" w:hAnsi="Times New Roman" w:cs="Times New Roman"/>
          <w:sz w:val="24"/>
          <w:szCs w:val="24"/>
        </w:rPr>
      </w:pPr>
    </w:p>
    <w:p>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adoption of improved faba bean varieties leads to 194.2 kg/ha (16.2%) increase in yields, US$.1108.2/ha (12%) higher net returns and 21.3 kg/capita/year (39%) increase in faba bean consumption and hence equivalent gains in protein, carbohydrate and starch intakes for every household member of the adopter households.  All these results show that the improved varieties of faba-beans are contributing to livelihoods improvements and nutrition security at household level. Moreover, 26% higher yields were obtained by wheat farmers rotating with faba-beans than cereal-cereal and other rotations. </w:t>
      </w:r>
    </w:p>
    <w:p>
      <w:pPr>
        <w:autoSpaceDE w:val="0"/>
        <w:autoSpaceDN w:val="0"/>
        <w:adjustRightInd w:val="0"/>
        <w:spacing w:after="0" w:line="480" w:lineRule="auto"/>
        <w:jc w:val="both"/>
        <w:rPr>
          <w:rFonts w:ascii="Times New Roman" w:hAnsi="Times New Roman" w:cs="Times New Roman"/>
          <w:sz w:val="24"/>
          <w:szCs w:val="24"/>
        </w:rPr>
      </w:pPr>
    </w:p>
    <w:p>
      <w:pPr>
        <w:autoSpaceDE w:val="0"/>
        <w:autoSpaceDN w:val="0"/>
        <w:adjustRightInd w:val="0"/>
        <w:spacing w:after="0"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Wheat-faba bean rotations also increased wheat net returns by 38%. At the same time the results show that the combined effect of the adoption of improved varieties of faba beans and rotations is an increase in total farm income of 33%. At current adoption level of 23%, improved varieties of </w:t>
      </w:r>
      <w:r>
        <w:rPr>
          <w:rFonts w:ascii="Times New Roman" w:hAnsi="Times New Roman" w:cs="Times New Roman"/>
          <w:sz w:val="24"/>
          <w:szCs w:val="24"/>
        </w:rPr>
        <w:lastRenderedPageBreak/>
        <w:t xml:space="preserve">faba beans led to additional production of about 19.1 thousand tons per year (16.5%). All these results show that along with the soil health benefits and hence the sustainability of farming documented elsewhere, legume-cereal rotation can be justified on economic grounds with clear contribution to national food and nutrition security. </w:t>
      </w:r>
      <w:r>
        <w:rPr>
          <w:rFonts w:ascii="Times New Roman" w:eastAsia="Times New Roman" w:hAnsi="Times New Roman" w:cs="Times New Roman"/>
          <w:snapToGrid w:val="0"/>
          <w:sz w:val="24"/>
          <w:szCs w:val="24"/>
        </w:rPr>
        <w:t xml:space="preserve">The main lessons drawn from these findings are that: 1) there is an </w:t>
      </w:r>
      <w:r>
        <w:rPr>
          <w:rFonts w:ascii="Times New Roman" w:eastAsia="Times New Roman" w:hAnsi="Times New Roman" w:cs="Times New Roman"/>
          <w:sz w:val="24"/>
          <w:szCs w:val="24"/>
        </w:rPr>
        <w:t xml:space="preserve">urgent need for more research to develop new improved varieties and 2) there is a need to strengthen the extension service and certified seed delivery systems to enhance the adoption of improved varieties and develop farmers’ awareness and appreciation towards legume-cereal rotation. </w:t>
      </w:r>
    </w:p>
    <w:p>
      <w:pPr>
        <w:autoSpaceDE w:val="0"/>
        <w:autoSpaceDN w:val="0"/>
        <w:adjustRightInd w:val="0"/>
        <w:spacing w:after="0" w:line="480" w:lineRule="auto"/>
        <w:jc w:val="both"/>
        <w:rPr>
          <w:rFonts w:ascii="Times New Roman" w:eastAsia="Times New Roman" w:hAnsi="Times New Roman" w:cs="Times New Roman"/>
          <w:sz w:val="24"/>
          <w:szCs w:val="24"/>
        </w:rPr>
      </w:pPr>
    </w:p>
    <w:p>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Acknowledgements:</w:t>
      </w:r>
      <w:r>
        <w:rPr>
          <w:rFonts w:ascii="Times New Roman" w:eastAsia="Times New Roman" w:hAnsi="Times New Roman" w:cs="Times New Roman"/>
          <w:sz w:val="24"/>
          <w:szCs w:val="24"/>
        </w:rPr>
        <w:t xml:space="preserve"> Funding for this research was obtained from CRP-WHEAT and the EU-IFAD project on </w:t>
      </w:r>
      <w:r>
        <w:rPr>
          <w:rFonts w:ascii="Times New Roman" w:hAnsi="Times New Roman" w:cs="Times New Roman"/>
          <w:sz w:val="24"/>
          <w:szCs w:val="24"/>
        </w:rPr>
        <w:t xml:space="preserve">Enhanced small holder wheat cropping systems to improve food security under changing climate in the drylands of West Asia and North Africa. </w:t>
      </w:r>
    </w:p>
    <w:p>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pPr>
        <w:rPr>
          <w:rFonts w:ascii="Times New Roman" w:eastAsia="Times New Roman" w:hAnsi="Times New Roman" w:cs="Times New Roman"/>
          <w:sz w:val="24"/>
          <w:szCs w:val="24"/>
        </w:rPr>
      </w:pPr>
    </w:p>
    <w:p>
      <w:pPr>
        <w:spacing w:after="0" w:line="480" w:lineRule="auto"/>
        <w:jc w:val="both"/>
        <w:rPr>
          <w:rFonts w:ascii="Times New Roman" w:hAnsi="Times New Roman" w:cs="Times New Roman"/>
          <w:b/>
          <w:color w:val="000000" w:themeColor="text1"/>
          <w:sz w:val="24"/>
        </w:rPr>
      </w:pPr>
      <w:r>
        <w:rPr>
          <w:rFonts w:ascii="Times New Roman" w:hAnsi="Times New Roman" w:cs="Times New Roman"/>
          <w:b/>
          <w:color w:val="000000" w:themeColor="text1"/>
          <w:sz w:val="24"/>
        </w:rPr>
        <w:t>References</w:t>
      </w:r>
    </w:p>
    <w:p>
      <w:pPr>
        <w:spacing w:after="0" w:line="480" w:lineRule="auto"/>
        <w:jc w:val="both"/>
        <w:rPr>
          <w:rFonts w:ascii="Times New Roman" w:hAnsi="Times New Roman" w:cs="Times New Roman"/>
          <w:b/>
          <w:color w:val="000000" w:themeColor="text1"/>
          <w:sz w:val="24"/>
        </w:rPr>
      </w:pPr>
    </w:p>
    <w:p>
      <w:pPr>
        <w:spacing w:after="0" w:line="480" w:lineRule="auto"/>
        <w:ind w:left="720" w:hanging="720"/>
        <w:jc w:val="both"/>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 xml:space="preserve">Ali, A. and Abdulai, A. (2010). The adoption of genetically modified cotton and poverty reduction in Pakistan. </w:t>
      </w:r>
      <w:r>
        <w:rPr>
          <w:rFonts w:ascii="Times New Roman" w:eastAsia="Times New Roman" w:hAnsi="Times New Roman" w:cs="Times New Roman"/>
          <w:i/>
          <w:sz w:val="24"/>
          <w:szCs w:val="24"/>
          <w:lang w:val="en-AU" w:eastAsia="en-AU"/>
        </w:rPr>
        <w:t>Journal of Agricultural Economics</w:t>
      </w:r>
      <w:r>
        <w:rPr>
          <w:rFonts w:ascii="Times New Roman" w:eastAsia="Times New Roman" w:hAnsi="Times New Roman" w:cs="Times New Roman"/>
          <w:sz w:val="24"/>
          <w:szCs w:val="24"/>
          <w:lang w:val="en-AU" w:eastAsia="en-AU"/>
        </w:rPr>
        <w:t>, 61 (1), 175 -192.</w:t>
      </w:r>
    </w:p>
    <w:p>
      <w:pPr>
        <w:spacing w:line="480" w:lineRule="auto"/>
        <w:ind w:left="720" w:hanging="709"/>
        <w:jc w:val="both"/>
        <w:rPr>
          <w:rFonts w:ascii="Times New Roman" w:hAnsi="Times New Roman" w:cs="Times New Roman"/>
          <w:sz w:val="24"/>
          <w:szCs w:val="24"/>
        </w:rPr>
      </w:pPr>
      <w:r>
        <w:rPr>
          <w:rFonts w:ascii="Times New Roman" w:hAnsi="Times New Roman" w:cs="Times New Roman"/>
          <w:sz w:val="24"/>
          <w:szCs w:val="24"/>
        </w:rPr>
        <w:t>Amanuel, G., R.F. kuhne, D.G.Tanner, and P.L,.G.Vlek.2000. Biological nitrogen  fixation in faba bean (Vicia faba L.)IN THE Ethiopian highlands as affected by P fertilization and inoculation.Biol.Fertil.Soils 32:353-359 .</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Bolland, M. D. A., K. H. M Siddique, and R. F. Brennan. 2000. Grain yield responses of faba bean (Vicia faba L.) to applications of fertilizer phosphorus and zinc. Australian Journal of Experimental Agriculture 40: 849–857.</w:t>
      </w:r>
    </w:p>
    <w:p>
      <w:pPr>
        <w:spacing w:after="200" w:line="480" w:lineRule="auto"/>
        <w:ind w:left="720" w:hanging="709"/>
        <w:jc w:val="both"/>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 xml:space="preserve">Daheja, R. and Wabha, S. (2002). Propensity score matching methods for non-experimental causal studies. </w:t>
      </w:r>
      <w:r>
        <w:rPr>
          <w:rFonts w:ascii="Times New Roman" w:eastAsia="Times New Roman" w:hAnsi="Times New Roman" w:cs="Times New Roman"/>
          <w:i/>
          <w:sz w:val="24"/>
          <w:szCs w:val="24"/>
          <w:lang w:val="en-AU" w:eastAsia="en-AU"/>
        </w:rPr>
        <w:t>Review of Economics and Statistics</w:t>
      </w:r>
      <w:r>
        <w:rPr>
          <w:rFonts w:ascii="Times New Roman" w:eastAsia="Times New Roman" w:hAnsi="Times New Roman" w:cs="Times New Roman"/>
          <w:sz w:val="24"/>
          <w:szCs w:val="24"/>
          <w:lang w:val="en-AU" w:eastAsia="en-AU"/>
        </w:rPr>
        <w:t>, 84(1):151-161.</w:t>
      </w:r>
    </w:p>
    <w:p>
      <w:pPr>
        <w:spacing w:after="200" w:line="480" w:lineRule="auto"/>
        <w:ind w:left="720" w:hanging="709"/>
        <w:jc w:val="both"/>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Di Falco, S., Veronesi, M., Yesuf, M., 2011. Does adaptation to climate change provide food security? A microperspective from Ethiopia. American Journal of Agricultural Economics 93 (3), 829–846.</w:t>
      </w:r>
    </w:p>
    <w:p>
      <w:pPr>
        <w:spacing w:line="480" w:lineRule="auto"/>
        <w:ind w:left="720" w:hanging="720"/>
        <w:jc w:val="both"/>
        <w:rPr>
          <w:rFonts w:ascii="Times New Roman" w:hAnsi="Times New Roman" w:cs="Times New Roman"/>
          <w:sz w:val="24"/>
          <w:szCs w:val="24"/>
          <w:lang w:val="en-AU"/>
        </w:rPr>
      </w:pPr>
      <w:r>
        <w:rPr>
          <w:rFonts w:ascii="Times New Roman" w:eastAsia="Times New Roman" w:hAnsi="Times New Roman" w:cs="Times New Roman"/>
          <w:sz w:val="24"/>
          <w:szCs w:val="24"/>
          <w:lang w:val="en-AU" w:eastAsia="en-AU"/>
        </w:rPr>
        <w:t xml:space="preserve">Caliendo, M. and Kopeinig, S. (2008). </w:t>
      </w:r>
      <w:r>
        <w:rPr>
          <w:rFonts w:ascii="Times New Roman" w:eastAsia="Times New Roman" w:hAnsi="Times New Roman" w:cs="Times New Roman"/>
          <w:i/>
          <w:sz w:val="24"/>
          <w:szCs w:val="24"/>
          <w:lang w:val="en-AU" w:eastAsia="en-AU"/>
        </w:rPr>
        <w:t>Some practical guidance for the implementation of propensity score matching</w:t>
      </w:r>
      <w:r>
        <w:rPr>
          <w:rFonts w:ascii="Times New Roman" w:eastAsia="Times New Roman" w:hAnsi="Times New Roman" w:cs="Times New Roman"/>
          <w:sz w:val="24"/>
          <w:szCs w:val="24"/>
          <w:lang w:val="en-AU" w:eastAsia="en-AU"/>
        </w:rPr>
        <w:t>. IZA Discussion Paper No. 1588, University of Cologne</w:t>
      </w:r>
    </w:p>
    <w:p>
      <w:pPr>
        <w:shd w:val="clear" w:color="auto" w:fill="FFFFFF"/>
        <w:spacing w:before="100" w:beforeAutospacing="1" w:after="100" w:afterAutospacing="1" w:line="480" w:lineRule="auto"/>
        <w:ind w:left="720" w:hanging="72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Cerning J., Saposnik A., Guilbot A. Carbohydrate composition of horse beans (</w:t>
      </w:r>
      <w:r>
        <w:rPr>
          <w:rFonts w:ascii="Times New Roman" w:eastAsia="Times New Roman" w:hAnsi="Times New Roman" w:cs="Times New Roman"/>
          <w:i/>
          <w:iCs/>
          <w:color w:val="000000"/>
          <w:sz w:val="24"/>
          <w:szCs w:val="24"/>
          <w:lang w:eastAsia="en-GB"/>
        </w:rPr>
        <w:t>Vicia faba</w:t>
      </w:r>
      <w:r>
        <w:rPr>
          <w:rFonts w:ascii="Times New Roman" w:eastAsia="Times New Roman" w:hAnsi="Times New Roman" w:cs="Times New Roman"/>
          <w:color w:val="000000"/>
          <w:sz w:val="24"/>
          <w:szCs w:val="24"/>
          <w:lang w:eastAsia="en-GB"/>
        </w:rPr>
        <w:t>) of different origins. Cereal Chem. 1975;52:125–138.</w:t>
      </w:r>
    </w:p>
    <w:p>
      <w:pPr>
        <w:spacing w:line="480" w:lineRule="auto"/>
        <w:ind w:left="720" w:hanging="720"/>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lastRenderedPageBreak/>
        <w:t>Crepona K., Marget P., Peyronnet C., Carrouéea B., Arese P., Duc G. Nutritional value of faba bean (</w:t>
      </w:r>
      <w:r>
        <w:rPr>
          <w:rFonts w:ascii="Times New Roman" w:hAnsi="Times New Roman" w:cs="Times New Roman"/>
          <w:i/>
          <w:iCs/>
          <w:color w:val="000000"/>
          <w:sz w:val="24"/>
          <w:szCs w:val="24"/>
          <w:shd w:val="clear" w:color="auto" w:fill="FFFFFF"/>
        </w:rPr>
        <w:t>Vicia faba</w:t>
      </w:r>
      <w:r>
        <w:rPr>
          <w:rFonts w:ascii="Times New Roman" w:hAnsi="Times New Roman" w:cs="Times New Roman"/>
          <w:color w:val="000000"/>
          <w:sz w:val="24"/>
          <w:szCs w:val="24"/>
          <w:shd w:val="clear" w:color="auto" w:fill="FFFFFF"/>
        </w:rPr>
        <w:t> L.) seeds for feed and food. Field Crop Res. 2010;115:329–339</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El Kalla, S. E., A. K. Mostafa, A. A. Leilah, and A. A. Rokia. 1999. Mineral and bio-phosphatic fertilization for intercropped faba bean and onion. Egyptian Journal of Agricultural Research 77: 253–271.</w:t>
      </w:r>
    </w:p>
    <w:p>
      <w:pPr>
        <w:spacing w:after="0" w:line="480" w:lineRule="auto"/>
        <w:ind w:left="720" w:hanging="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 xml:space="preserve">Zain El Abidine, F., Bouazza, S. and Andaloussi Fouad, A. 2006. </w:t>
      </w:r>
      <w:r>
        <w:rPr>
          <w:rFonts w:ascii="Times New Roman" w:hAnsi="Times New Roman" w:cs="Times New Roman"/>
          <w:color w:val="000000" w:themeColor="text1"/>
          <w:sz w:val="24"/>
          <w:szCs w:val="24"/>
          <w:lang w:val="fr-FR"/>
        </w:rPr>
        <w:t xml:space="preserve">Amélioration génétique de la fève et féverole In La création variétale à l’INRA : Méthodologie, acquis et perspectives. </w:t>
      </w:r>
      <w:r>
        <w:rPr>
          <w:rFonts w:ascii="Times New Roman" w:hAnsi="Times New Roman" w:cs="Times New Roman"/>
          <w:color w:val="000000" w:themeColor="text1"/>
          <w:sz w:val="24"/>
          <w:szCs w:val="24"/>
        </w:rPr>
        <w:t>F. Abbad Andaloussi et A. Chahbar editors, Pp 141-160, INRA, Rabat, Morocco.</w:t>
      </w:r>
    </w:p>
    <w:p>
      <w:pPr>
        <w:spacing w:after="0" w:line="480" w:lineRule="auto"/>
        <w:ind w:left="720" w:hanging="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Greene H. William. 1998. Limdep: User’s Manual. Bellport, NY: Econometric Software Inc.</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Habtemichial KH, Singh BR, Aune JB (2007) Wheat response to N2 fixed by faba bean (Vicia faba L.) as affected by sulfur fertilization and rhizobial inoculation in semi-arid Northern Ethiopia. J Plant Nutr Soil Sci 170:412–418.</w:t>
      </w:r>
    </w:p>
    <w:p>
      <w:pPr>
        <w:spacing w:after="0" w:line="480" w:lineRule="auto"/>
        <w:ind w:left="720" w:hanging="63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Heckman, J.J. (1979). Sample Selection bias as a error specification bias. Econometrica, 47(1): 153-161.</w:t>
      </w:r>
    </w:p>
    <w:p>
      <w:pPr>
        <w:spacing w:after="0" w:line="480" w:lineRule="auto"/>
        <w:ind w:left="720" w:hanging="709"/>
        <w:jc w:val="both"/>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 xml:space="preserve">Heckman, J., Ichimura, H. and Petra, T. (1998). Matching as an econometric evaluation estimator. </w:t>
      </w:r>
      <w:r>
        <w:rPr>
          <w:rFonts w:ascii="Times New Roman" w:eastAsia="Times New Roman" w:hAnsi="Times New Roman" w:cs="Times New Roman"/>
          <w:i/>
          <w:sz w:val="24"/>
          <w:szCs w:val="24"/>
          <w:lang w:val="en-AU" w:eastAsia="en-AU"/>
        </w:rPr>
        <w:t>Review of Economic Studies</w:t>
      </w:r>
      <w:r>
        <w:rPr>
          <w:rFonts w:ascii="Times New Roman" w:eastAsia="Times New Roman" w:hAnsi="Times New Roman" w:cs="Times New Roman"/>
          <w:sz w:val="24"/>
          <w:szCs w:val="24"/>
          <w:lang w:val="en-AU" w:eastAsia="en-AU"/>
        </w:rPr>
        <w:t>, 65, 261-294.</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Jemo M, Abaido RC, Nolte C, Tchienkoua M, Sanginga N, Horst WJ (2006) Phosphorus benefits from grain legume crops to subsequent maize grown on acid soils of southern Cameroon. Plant Soil 284:385–397</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Jensen ES, Peoples MB, Hauggaard-Nielsen H (2010) Faba bean in cropping systems. Field Crops Res 115:203–216</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Kirkegaard J, Christen O, Krupinsky J, Layzell D (2008) Break crop benefits in temperate wheat production. Field Crops Res 107:185–195.</w:t>
      </w:r>
    </w:p>
    <w:p>
      <w:pPr>
        <w:spacing w:after="0" w:line="480" w:lineRule="auto"/>
        <w:ind w:left="720" w:hanging="720"/>
        <w:jc w:val="both"/>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Lee, M. (2005) Micro-econometrics for policy, program and treatment effects. Advanced Texts in Econometrics. Oxford University Press.</w:t>
      </w:r>
    </w:p>
    <w:p>
      <w:pPr>
        <w:spacing w:after="200" w:line="480" w:lineRule="auto"/>
        <w:ind w:left="720" w:hanging="709"/>
        <w:jc w:val="both"/>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 xml:space="preserve">Lee, W. S. (2013). Propensity score matching and variations on the balancing test. Empirical Economics, 44, 47-80. </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Lopez-Bellido L, Lopez-Bellido RJ, Redondo R, Benitez J (2006) Faba bean nitrogen fixation in a wheat-based rotation under rain fed Mediterranean conditions: effect of tillage system. Field Crops Res 98:253–260.</w:t>
      </w:r>
    </w:p>
    <w:p>
      <w:pPr>
        <w:spacing w:after="0" w:line="480" w:lineRule="auto"/>
        <w:ind w:left="720" w:hanging="720"/>
        <w:jc w:val="both"/>
        <w:rPr>
          <w:rFonts w:ascii="Times New Roman" w:eastAsia="Times New Roman" w:hAnsi="Times New Roman" w:cs="Times New Roman"/>
          <w:i/>
          <w:sz w:val="24"/>
          <w:szCs w:val="24"/>
          <w:lang w:val="en-AU" w:eastAsia="en-AU"/>
        </w:rPr>
      </w:pPr>
      <w:r>
        <w:rPr>
          <w:rFonts w:ascii="Times New Roman" w:eastAsia="Times New Roman" w:hAnsi="Times New Roman" w:cs="Times New Roman"/>
          <w:sz w:val="24"/>
          <w:szCs w:val="24"/>
          <w:lang w:val="en-AU" w:eastAsia="en-AU"/>
        </w:rPr>
        <w:t xml:space="preserve">Maddala, G.S. and Nelson, F.D. (1975). Switching regression models with exogenous and endogenous switching. </w:t>
      </w:r>
      <w:r>
        <w:rPr>
          <w:rFonts w:ascii="Times New Roman" w:eastAsia="Times New Roman" w:hAnsi="Times New Roman" w:cs="Times New Roman"/>
          <w:i/>
          <w:sz w:val="24"/>
          <w:szCs w:val="24"/>
          <w:lang w:val="en-AU" w:eastAsia="en-AU"/>
        </w:rPr>
        <w:t>Proceeding of the American Statistical Association</w:t>
      </w:r>
      <w:r>
        <w:rPr>
          <w:rFonts w:ascii="Times New Roman" w:eastAsia="Times New Roman" w:hAnsi="Times New Roman" w:cs="Times New Roman"/>
          <w:sz w:val="24"/>
          <w:szCs w:val="24"/>
          <w:lang w:val="en-AU" w:eastAsia="en-AU"/>
        </w:rPr>
        <w:t xml:space="preserve"> </w:t>
      </w:r>
      <w:r>
        <w:rPr>
          <w:rFonts w:ascii="Times New Roman" w:eastAsia="Times New Roman" w:hAnsi="Times New Roman" w:cs="Times New Roman"/>
          <w:i/>
          <w:sz w:val="24"/>
          <w:szCs w:val="24"/>
          <w:lang w:val="en-AU" w:eastAsia="en-AU"/>
        </w:rPr>
        <w:t>(Business and Economics Section)</w:t>
      </w:r>
      <w:r>
        <w:rPr>
          <w:rFonts w:ascii="Times New Roman" w:eastAsia="Times New Roman" w:hAnsi="Times New Roman" w:cs="Times New Roman"/>
          <w:sz w:val="24"/>
          <w:szCs w:val="24"/>
          <w:lang w:val="en-AU" w:eastAsia="en-AU"/>
        </w:rPr>
        <w:t>, 423-426.</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Marschner P, Joergensen RG, Piepho HP, Buerkert A (2004) Legume rotation effects on early growth and rhizosphere microbiology of sorghum in West African Soils. Plant Soil 264:325–334.</w:t>
      </w:r>
    </w:p>
    <w:p>
      <w:pPr>
        <w:spacing w:after="0" w:line="480" w:lineRule="auto"/>
        <w:ind w:left="720" w:hanging="709"/>
        <w:jc w:val="both"/>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 xml:space="preserve">Nguezet, P.M.D., Diagne, A.  Okoruwa, V.O.  Ojehomon, V. (2011). Impact of Improved Rice Technology (NERICA varieties) on Income and Poverty among Rice Farming Households in Nigeria: A Local Average Treatment Effect (LATE) Approach.  </w:t>
      </w:r>
      <w:r>
        <w:rPr>
          <w:rFonts w:ascii="Times New Roman" w:eastAsia="Times New Roman" w:hAnsi="Times New Roman" w:cs="Times New Roman"/>
          <w:i/>
          <w:sz w:val="24"/>
          <w:szCs w:val="24"/>
          <w:lang w:val="en-AU" w:eastAsia="en-AU"/>
        </w:rPr>
        <w:t>Quarterly Journal of International Agriculture</w:t>
      </w:r>
      <w:r>
        <w:rPr>
          <w:rFonts w:ascii="Times New Roman" w:eastAsia="Times New Roman" w:hAnsi="Times New Roman" w:cs="Times New Roman"/>
          <w:sz w:val="24"/>
          <w:szCs w:val="24"/>
          <w:lang w:val="en-AU" w:eastAsia="en-AU"/>
        </w:rPr>
        <w:t>, 50, 267-291.</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Nuruzzaman M, Lambers H, Bolland MDA, Veneklaas EJ (2005) Phosphorus benefits of different legume crops to subsequent wheat grown in different soils of Western Australia. Plant Soil 271:175–187</w:t>
      </w:r>
    </w:p>
    <w:p>
      <w:pPr>
        <w:shd w:val="clear" w:color="auto" w:fill="FFFFFF"/>
        <w:spacing w:before="100" w:beforeAutospacing="1" w:after="100" w:afterAutospacing="1" w:line="480" w:lineRule="auto"/>
        <w:ind w:left="720" w:hanging="72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Oomah B., Tiger N., Olson M., Balasubramanian P. Phenolics and antioxidatives activities in narrow-leafed lupins (</w:t>
      </w:r>
      <w:r>
        <w:rPr>
          <w:rFonts w:ascii="Times New Roman" w:eastAsia="Times New Roman" w:hAnsi="Times New Roman" w:cs="Times New Roman"/>
          <w:i/>
          <w:iCs/>
          <w:color w:val="000000"/>
          <w:sz w:val="24"/>
          <w:szCs w:val="24"/>
          <w:lang w:eastAsia="en-GB"/>
        </w:rPr>
        <w:t>Lupinus angustifolius</w:t>
      </w:r>
      <w:r>
        <w:rPr>
          <w:rFonts w:ascii="Times New Roman" w:eastAsia="Times New Roman" w:hAnsi="Times New Roman" w:cs="Times New Roman"/>
          <w:color w:val="000000"/>
          <w:sz w:val="24"/>
          <w:szCs w:val="24"/>
          <w:lang w:eastAsia="en-GB"/>
        </w:rPr>
        <w:t> L.) Plant Food Hum. Nutr. 2006;61:91–97. [</w:t>
      </w:r>
      <w:hyperlink r:id="rId14" w:tgtFrame="pmc_ext" w:history="1">
        <w:r>
          <w:rPr>
            <w:rFonts w:ascii="Times New Roman" w:eastAsia="Times New Roman" w:hAnsi="Times New Roman" w:cs="Times New Roman"/>
            <w:color w:val="642A8F"/>
            <w:sz w:val="24"/>
            <w:szCs w:val="24"/>
            <w:u w:val="single"/>
            <w:lang w:eastAsia="en-GB"/>
          </w:rPr>
          <w:t>PubMed</w:t>
        </w:r>
      </w:hyperlink>
      <w:r>
        <w:rPr>
          <w:rFonts w:ascii="Times New Roman" w:eastAsia="Times New Roman" w:hAnsi="Times New Roman" w:cs="Times New Roman"/>
          <w:color w:val="000000"/>
          <w:sz w:val="24"/>
          <w:szCs w:val="24"/>
          <w:lang w:eastAsia="en-GB"/>
        </w:rPr>
        <w:t>]</w:t>
      </w:r>
    </w:p>
    <w:p>
      <w:pPr>
        <w:shd w:val="clear" w:color="auto" w:fill="FFFFFF"/>
        <w:spacing w:before="100" w:beforeAutospacing="1" w:after="100" w:afterAutospacing="1" w:line="480" w:lineRule="auto"/>
        <w:ind w:left="720" w:hanging="72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Picard, J., 1977. Some results dealing with breeding protein content in </w:t>
      </w:r>
      <w:r>
        <w:rPr>
          <w:rFonts w:ascii="Times New Roman" w:eastAsia="Times New Roman" w:hAnsi="Times New Roman" w:cs="Times New Roman"/>
          <w:i/>
          <w:iCs/>
          <w:color w:val="000000"/>
          <w:sz w:val="24"/>
          <w:szCs w:val="24"/>
          <w:lang w:eastAsia="en-GB"/>
        </w:rPr>
        <w:t>Vicia faba</w:t>
      </w:r>
      <w:r>
        <w:rPr>
          <w:rFonts w:ascii="Times New Roman" w:eastAsia="Times New Roman" w:hAnsi="Times New Roman" w:cs="Times New Roman"/>
          <w:color w:val="000000"/>
          <w:sz w:val="24"/>
          <w:szCs w:val="24"/>
          <w:lang w:eastAsia="en-GB"/>
        </w:rPr>
        <w:t> L. Protein quality from leguminous crops; EVR 5686 EN, Commission of European Communities, Coordination of Agricultural Research, pp. 339.</w:t>
      </w:r>
    </w:p>
    <w:p>
      <w:pPr>
        <w:spacing w:line="480" w:lineRule="auto"/>
        <w:ind w:left="720" w:hanging="720"/>
        <w:jc w:val="both"/>
        <w:rPr>
          <w:rFonts w:ascii="Times New Roman" w:hAnsi="Times New Roman" w:cs="Times New Roman"/>
          <w:sz w:val="24"/>
          <w:szCs w:val="24"/>
          <w:lang w:val="fr-FR"/>
        </w:rPr>
      </w:pPr>
      <w:r>
        <w:rPr>
          <w:rFonts w:ascii="Times New Roman" w:hAnsi="Times New Roman" w:cs="Times New Roman"/>
          <w:sz w:val="24"/>
          <w:szCs w:val="24"/>
        </w:rPr>
        <w:t xml:space="preserve">Pypers P, Huybrighs M, Diels J, Abaidoo R, Smolders E, Merckx R (2007) Does the enhanced P acquisition by maize following legumes in a rotation result from improved soil P availability? </w:t>
      </w:r>
      <w:r>
        <w:rPr>
          <w:rFonts w:ascii="Times New Roman" w:hAnsi="Times New Roman" w:cs="Times New Roman"/>
          <w:sz w:val="24"/>
          <w:szCs w:val="24"/>
          <w:lang w:val="fr-FR"/>
        </w:rPr>
        <w:t>Soil Biol Biochem 39:2555–2566</w:t>
      </w:r>
    </w:p>
    <w:p>
      <w:pPr>
        <w:spacing w:after="0" w:line="480" w:lineRule="auto"/>
        <w:ind w:left="720"/>
        <w:jc w:val="both"/>
        <w:rPr>
          <w:rFonts w:ascii="Times New Roman" w:hAnsi="Times New Roman" w:cs="Times New Roman"/>
          <w:sz w:val="24"/>
          <w:szCs w:val="24"/>
          <w:lang w:val="fr-FR"/>
        </w:rPr>
      </w:pPr>
    </w:p>
    <w:p>
      <w:pPr>
        <w:spacing w:after="0" w:line="480" w:lineRule="auto"/>
        <w:ind w:left="720" w:hanging="720"/>
        <w:jc w:val="both"/>
        <w:rPr>
          <w:rFonts w:ascii="Times New Roman" w:hAnsi="Times New Roman" w:cs="Times New Roman"/>
          <w:sz w:val="24"/>
          <w:szCs w:val="24"/>
        </w:rPr>
      </w:pPr>
      <w:r>
        <w:rPr>
          <w:rFonts w:ascii="Times New Roman" w:hAnsi="Times New Roman" w:cs="Times New Roman"/>
          <w:sz w:val="24"/>
          <w:szCs w:val="24"/>
          <w:lang w:val="fr-FR"/>
        </w:rPr>
        <w:t xml:space="preserve">R’Kiek, C. 1994. Synthèse des travaux de recherche. </w:t>
      </w:r>
      <w:r>
        <w:rPr>
          <w:rFonts w:ascii="Times New Roman" w:hAnsi="Times New Roman" w:cs="Times New Roman"/>
          <w:sz w:val="24"/>
          <w:szCs w:val="24"/>
        </w:rPr>
        <w:t>Edts INRA, 10 p.</w:t>
      </w:r>
    </w:p>
    <w:p>
      <w:pPr>
        <w:spacing w:after="200" w:line="480" w:lineRule="auto"/>
        <w:ind w:left="720" w:hanging="720"/>
        <w:jc w:val="both"/>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Rosenbaum, P. R.(2002). Observational Studies. 2</w:t>
      </w:r>
      <w:r>
        <w:rPr>
          <w:rFonts w:ascii="Times New Roman" w:eastAsia="Times New Roman" w:hAnsi="Times New Roman" w:cs="Times New Roman"/>
          <w:sz w:val="24"/>
          <w:szCs w:val="24"/>
          <w:vertAlign w:val="superscript"/>
          <w:lang w:val="en-AU" w:eastAsia="en-AU"/>
        </w:rPr>
        <w:t>nd</w:t>
      </w:r>
      <w:r>
        <w:rPr>
          <w:rFonts w:ascii="Times New Roman" w:eastAsia="Times New Roman" w:hAnsi="Times New Roman" w:cs="Times New Roman"/>
          <w:sz w:val="24"/>
          <w:szCs w:val="24"/>
          <w:lang w:val="en-AU" w:eastAsia="en-AU"/>
        </w:rPr>
        <w:t xml:space="preserve"> ed. Springer</w:t>
      </w:r>
      <w:r>
        <w:rPr>
          <w:rFonts w:ascii="Times New Roman" w:eastAsia="MS Mincho" w:hAnsi="Times New Roman" w:cs="Times New Roman"/>
          <w:sz w:val="24"/>
          <w:szCs w:val="24"/>
          <w:lang w:val="en-AU" w:eastAsia="ja-JP"/>
        </w:rPr>
        <w:t>-Verlag</w:t>
      </w:r>
      <w:r>
        <w:rPr>
          <w:rFonts w:ascii="Times New Roman" w:eastAsia="Times New Roman" w:hAnsi="Times New Roman" w:cs="Times New Roman"/>
          <w:sz w:val="24"/>
          <w:szCs w:val="24"/>
          <w:lang w:val="en-AU" w:eastAsia="en-AU"/>
        </w:rPr>
        <w:t>, New York.</w:t>
      </w:r>
    </w:p>
    <w:p>
      <w:pPr>
        <w:spacing w:after="200" w:line="480" w:lineRule="auto"/>
        <w:ind w:left="720" w:hanging="720"/>
        <w:jc w:val="both"/>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 xml:space="preserve">Rosenbaum, P. R. and Rubin, D. B. (1985). Constructing a control group using multivariate matched sampling methods that incorporate the propensity score. </w:t>
      </w:r>
      <w:r>
        <w:rPr>
          <w:rFonts w:ascii="Times New Roman" w:eastAsia="Times New Roman" w:hAnsi="Times New Roman" w:cs="Times New Roman"/>
          <w:i/>
          <w:sz w:val="24"/>
          <w:szCs w:val="24"/>
          <w:lang w:val="en-AU" w:eastAsia="en-AU"/>
        </w:rPr>
        <w:t>The American Statistician</w:t>
      </w:r>
      <w:r>
        <w:rPr>
          <w:rFonts w:ascii="Times New Roman" w:eastAsia="Times New Roman" w:hAnsi="Times New Roman" w:cs="Times New Roman"/>
          <w:sz w:val="24"/>
          <w:szCs w:val="24"/>
          <w:lang w:val="en-AU" w:eastAsia="en-AU"/>
        </w:rPr>
        <w:t>, 39(1): 35-39.</w:t>
      </w:r>
    </w:p>
    <w:p>
      <w:pPr>
        <w:spacing w:after="0" w:line="480" w:lineRule="auto"/>
        <w:ind w:left="720" w:hanging="720"/>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t xml:space="preserve">Rosenbaum, P. R. and Rubin, D. B. (1983). The central role of the propensity score in observational studies for causal effects. </w:t>
      </w:r>
      <w:r>
        <w:rPr>
          <w:rFonts w:ascii="Times New Roman" w:eastAsia="MS Mincho" w:hAnsi="Times New Roman" w:cs="Times New Roman"/>
          <w:i/>
          <w:sz w:val="24"/>
          <w:szCs w:val="24"/>
          <w:lang w:val="en-AU" w:eastAsia="ja-JP"/>
        </w:rPr>
        <w:t>Biometrica</w:t>
      </w:r>
      <w:r>
        <w:rPr>
          <w:rFonts w:ascii="Times New Roman" w:eastAsia="MS Mincho" w:hAnsi="Times New Roman" w:cs="Times New Roman"/>
          <w:sz w:val="24"/>
          <w:szCs w:val="24"/>
          <w:lang w:val="en-AU" w:eastAsia="ja-JP"/>
        </w:rPr>
        <w:t>, 70, 41-55.</w:t>
      </w:r>
    </w:p>
    <w:p>
      <w:pPr>
        <w:spacing w:before="30" w:after="30" w:line="480" w:lineRule="auto"/>
        <w:ind w:left="720" w:hanging="720"/>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t>Rubin, D. (1974). Estimating Causal Effects of Treatments in Randomized and Non-randomized Studies,Journal of Educational Psychology, 66, 688-701.</w:t>
      </w:r>
    </w:p>
    <w:p>
      <w:pPr>
        <w:spacing w:before="30" w:after="30" w:line="480" w:lineRule="auto"/>
        <w:ind w:left="720" w:hanging="720"/>
        <w:jc w:val="both"/>
        <w:rPr>
          <w:rFonts w:ascii="Times New Roman" w:eastAsia="MS Mincho" w:hAnsi="Times New Roman" w:cs="Times New Roman"/>
          <w:sz w:val="24"/>
          <w:szCs w:val="24"/>
          <w:lang w:val="en-AU" w:eastAsia="ja-JP"/>
        </w:rPr>
      </w:pPr>
      <w:r>
        <w:rPr>
          <w:rFonts w:ascii="Times New Roman" w:eastAsia="MS Mincho" w:hAnsi="Times New Roman" w:cs="Times New Roman"/>
          <w:sz w:val="24"/>
          <w:szCs w:val="24"/>
          <w:lang w:val="en-AU" w:eastAsia="ja-JP"/>
        </w:rPr>
        <w:lastRenderedPageBreak/>
        <w:t>Rubin, D. B. and Thomas, N. (2000). Combining propensity score matching with additional adjustments for prognostic covariates. Journal of the American Statistical Association 95, 573–585.</w:t>
      </w:r>
    </w:p>
    <w:p>
      <w:pPr>
        <w:spacing w:before="30" w:after="30" w:line="480" w:lineRule="auto"/>
        <w:ind w:left="720" w:hanging="720"/>
        <w:jc w:val="both"/>
        <w:rPr>
          <w:rFonts w:ascii="Times New Roman" w:eastAsia="MS Mincho" w:hAnsi="Times New Roman" w:cs="Times New Roman"/>
          <w:sz w:val="24"/>
          <w:szCs w:val="24"/>
          <w:lang w:val="en-AU" w:eastAsia="ja-JP"/>
        </w:rPr>
      </w:pPr>
      <w:r>
        <w:rPr>
          <w:rFonts w:ascii="Times New Roman" w:eastAsia="Times New Roman" w:hAnsi="Times New Roman" w:cs="Times New Roman"/>
          <w:color w:val="000000"/>
          <w:sz w:val="24"/>
          <w:szCs w:val="24"/>
          <w:lang w:val="en-AU" w:eastAsia="en-AU"/>
        </w:rPr>
        <w:t>Shiferaw, B., Kassie, M.; Jaleta, M., and Yirga, C. (2014) Adoption of improved wheat varieties and impacts on household food security in Ethiopia. Food Policy, 44: 272-284</w:t>
      </w:r>
      <w:r>
        <w:rPr>
          <w:rFonts w:ascii="Times New Roman" w:eastAsia="Times New Roman" w:hAnsi="Times New Roman" w:cs="Times New Roman"/>
          <w:color w:val="0081AF"/>
          <w:sz w:val="24"/>
          <w:szCs w:val="24"/>
          <w:lang w:val="en-AU" w:eastAsia="en-AU"/>
        </w:rPr>
        <w:t>.</w:t>
      </w:r>
    </w:p>
    <w:p>
      <w:pPr>
        <w:spacing w:after="200" w:line="480" w:lineRule="auto"/>
        <w:ind w:left="720"/>
        <w:jc w:val="both"/>
        <w:rPr>
          <w:rFonts w:ascii="Times New Roman" w:eastAsia="Times New Roman" w:hAnsi="Times New Roman" w:cs="Times New Roman"/>
          <w:i/>
          <w:sz w:val="24"/>
          <w:szCs w:val="24"/>
          <w:lang w:val="en-AU" w:eastAsia="en-AU"/>
        </w:rPr>
      </w:pPr>
      <w:r>
        <w:rPr>
          <w:rFonts w:ascii="Times New Roman" w:eastAsia="Times New Roman" w:hAnsi="Times New Roman" w:cs="Times New Roman"/>
          <w:sz w:val="24"/>
          <w:szCs w:val="24"/>
          <w:lang w:val="en-AU" w:eastAsia="en-AU"/>
        </w:rPr>
        <w:t xml:space="preserve">Sianesi, B. (2004). An evaluation of the active labor market programs in Sweden. </w:t>
      </w:r>
      <w:r>
        <w:rPr>
          <w:rFonts w:ascii="Times New Roman" w:eastAsia="Times New Roman" w:hAnsi="Times New Roman" w:cs="Times New Roman"/>
          <w:i/>
          <w:sz w:val="24"/>
          <w:szCs w:val="24"/>
          <w:lang w:val="en-AU" w:eastAsia="en-AU"/>
        </w:rPr>
        <w:t>The Review of Economics and Statistics</w:t>
      </w:r>
      <w:r>
        <w:rPr>
          <w:rFonts w:ascii="Times New Roman" w:eastAsia="Times New Roman" w:hAnsi="Times New Roman" w:cs="Times New Roman"/>
          <w:sz w:val="24"/>
          <w:szCs w:val="24"/>
          <w:lang w:val="en-AU" w:eastAsia="en-AU"/>
        </w:rPr>
        <w:t>, 186(1), 133-155.</w:t>
      </w:r>
    </w:p>
    <w:p>
      <w:pPr>
        <w:spacing w:before="30" w:after="30" w:line="480" w:lineRule="auto"/>
        <w:ind w:left="720" w:hanging="720"/>
        <w:jc w:val="both"/>
        <w:rPr>
          <w:rFonts w:ascii="Times New Roman" w:eastAsia="MS Mincho" w:hAnsi="Times New Roman" w:cs="Times New Roman"/>
          <w:sz w:val="24"/>
          <w:szCs w:val="24"/>
          <w:lang w:val="en-AU" w:eastAsia="ja-JP"/>
        </w:rPr>
      </w:pPr>
      <w:r>
        <w:rPr>
          <w:rFonts w:ascii="Times New Roman" w:hAnsi="Times New Roman" w:cs="Times New Roman"/>
          <w:sz w:val="24"/>
          <w:szCs w:val="24"/>
        </w:rPr>
        <w:t>Smith, J. and P. Todd. (2005). “Does Matching Overcome Lalonde’s Critique of Nonexperimental Estimators?” Journal of Econometrics, 125, pp. 305-353 (with discussion).</w:t>
      </w:r>
    </w:p>
    <w:p>
      <w:pPr>
        <w:spacing w:line="480" w:lineRule="auto"/>
        <w:ind w:left="720" w:hanging="720"/>
        <w:jc w:val="both"/>
        <w:rPr>
          <w:rFonts w:ascii="Times New Roman" w:hAnsi="Times New Roman" w:cs="Times New Roman"/>
          <w:sz w:val="24"/>
          <w:szCs w:val="24"/>
          <w:lang w:val="en-AU"/>
        </w:rPr>
      </w:pPr>
      <w:r>
        <w:rPr>
          <w:rFonts w:ascii="Times New Roman" w:eastAsia="MS Mincho" w:hAnsi="Times New Roman" w:cs="Times New Roman"/>
          <w:sz w:val="24"/>
          <w:szCs w:val="24"/>
          <w:lang w:val="en-US" w:eastAsia="ja-JP"/>
        </w:rPr>
        <w:t>StataCorp</w:t>
      </w:r>
      <w:r>
        <w:rPr>
          <w:rFonts w:ascii="Times New Roman" w:eastAsia="Times New Roman" w:hAnsi="Times New Roman" w:cs="Times New Roman"/>
          <w:sz w:val="24"/>
          <w:szCs w:val="24"/>
          <w:lang w:val="en-AU" w:eastAsia="en-AU"/>
        </w:rPr>
        <w:t>.</w:t>
      </w:r>
      <w:r>
        <w:rPr>
          <w:rFonts w:ascii="Times New Roman" w:eastAsia="MS Mincho" w:hAnsi="Times New Roman" w:cs="Times New Roman"/>
          <w:sz w:val="24"/>
          <w:szCs w:val="24"/>
          <w:lang w:val="en-US" w:eastAsia="ja-JP"/>
        </w:rPr>
        <w:t xml:space="preserve"> (2009). Stata Statistical Software: Release 11. College Station, TX: StataCorp LP</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World Bank. (2012). Food price watch, poverty reduction and equity group. Washington,D.C.: World Bank, August. Retrieved from http://siteresources.worldbank.org/EXTPOVERTY/Resources/336991-1311966520397/Food-PriceWatch-August-2012.pdf</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Yusuf AA, Iwuafor ENO, Abaidoo RC, Olufajo OO, Sanginga N (2009b) Grain legume rotation benefits to maize in the northern Guinea savanna of Nigeria: fixed-nitrogen versus other rotation effects. Nutr Cycl Agroecosyst 84:129–239</w:t>
      </w:r>
    </w:p>
    <w:p>
      <w:pPr>
        <w:spacing w:line="480" w:lineRule="auto"/>
        <w:ind w:left="720"/>
      </w:pPr>
    </w:p>
    <w:p>
      <w:pPr>
        <w:spacing w:line="480" w:lineRule="auto"/>
        <w:ind w:left="720"/>
      </w:pPr>
    </w:p>
    <w:p>
      <w:pPr>
        <w:spacing w:line="480" w:lineRule="auto"/>
        <w:ind w:left="720"/>
        <w:rPr>
          <w:lang w:val="en-AU"/>
        </w:rPr>
      </w:pPr>
    </w:p>
    <w:p>
      <w:pPr>
        <w:spacing w:after="0" w:line="480" w:lineRule="auto"/>
        <w:jc w:val="both"/>
        <w:rPr>
          <w:rFonts w:ascii="Times New Roman" w:hAnsi="Times New Roman" w:cs="Times New Roman"/>
          <w:b/>
          <w:color w:val="000000" w:themeColor="text1"/>
          <w:sz w:val="24"/>
        </w:rPr>
      </w:pPr>
    </w:p>
    <w:sectPr>
      <w:footnotePr>
        <w:numFmt w:val="upperLetter"/>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Ten-Roman">
    <w:altName w:val="Times New Roman"/>
    <w:panose1 w:val="00000000000000000000"/>
    <w:charset w:val="00"/>
    <w:family w:val="roman"/>
    <w:notTrueType/>
    <w:pitch w:val="default"/>
    <w:sig w:usb0="00000003" w:usb1="00000000" w:usb2="00000000" w:usb3="00000000" w:csb0="00000001" w:csb1="00000000"/>
  </w:font>
  <w:font w:name="TimesTen-Italic">
    <w:altName w:val="Times New Roman"/>
    <w:panose1 w:val="00000000000000000000"/>
    <w:charset w:val="00"/>
    <w:family w:val="roman"/>
    <w:notTrueType/>
    <w:pitch w:val="default"/>
    <w:sig w:usb0="00000003" w:usb1="00000000" w:usb2="00000000" w:usb3="00000000" w:csb0="00000001" w:csb1="00000000"/>
  </w:font>
  <w:font w:name="MTMI">
    <w:altName w:val="Times New Roman"/>
    <w:panose1 w:val="00000000000000000000"/>
    <w:charset w:val="A1"/>
    <w:family w:val="auto"/>
    <w:notTrueType/>
    <w:pitch w:val="default"/>
    <w:sig w:usb0="00000081" w:usb1="00000000" w:usb2="00000000" w:usb3="00000000" w:csb0="00000008" w:csb1="00000000"/>
  </w:font>
  <w:font w:name="MTSYN">
    <w:altName w:val="Arial Unicode MS"/>
    <w:panose1 w:val="00000000000000000000"/>
    <w:charset w:val="81"/>
    <w:family w:val="auto"/>
    <w:notTrueType/>
    <w:pitch w:val="default"/>
    <w:sig w:usb0="00000001" w:usb1="09060000" w:usb2="00000010" w:usb3="00000000" w:csb0="00080000" w:csb1="00000000"/>
  </w:font>
  <w:font w:name="TimesTen-Bold">
    <w:altName w:val="Times New Roman"/>
    <w:panose1 w:val="00000000000000000000"/>
    <w:charset w:val="00"/>
    <w:family w:val="roman"/>
    <w:notTrueType/>
    <w:pitch w:val="default"/>
    <w:sig w:usb0="00000003" w:usb1="00000000" w:usb2="00000000" w:usb3="00000000" w:csb0="00000001" w:csb1="00000000"/>
  </w:font>
  <w:font w:name="MTGUB">
    <w:altName w:val="Times New Roman"/>
    <w:panose1 w:val="00000000000000000000"/>
    <w:charset w:val="A1"/>
    <w:family w:val="auto"/>
    <w:notTrueType/>
    <w:pitch w:val="default"/>
    <w:sig w:usb0="00000081" w:usb1="00000000" w:usb2="00000000" w:usb3="00000000" w:csb0="00000008" w:csb1="00000000"/>
  </w:font>
  <w:font w:name="CG Times">
    <w:altName w:val="Times New Roman"/>
    <w:charset w:val="00"/>
    <w:family w:val="roman"/>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7056234"/>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pPr>
      <w:r>
        <w:rPr>
          <w:rStyle w:val="FootnoteReference"/>
        </w:rPr>
        <w:footnoteRef/>
      </w:r>
      <w:r>
        <w:t xml:space="preserve"> The exchange rate in 2012 was: 1US$= 8.62 Moroccan Dirhams (DH)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D0E9B"/>
    <w:multiLevelType w:val="hybridMultilevel"/>
    <w:tmpl w:val="DD3E2576"/>
    <w:lvl w:ilvl="0" w:tplc="B9CC398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9F575F"/>
    <w:multiLevelType w:val="hybridMultilevel"/>
    <w:tmpl w:val="1C58B12C"/>
    <w:lvl w:ilvl="0" w:tplc="94DC6004">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CE6244"/>
    <w:multiLevelType w:val="hybridMultilevel"/>
    <w:tmpl w:val="0844680E"/>
    <w:lvl w:ilvl="0" w:tplc="94DC6004">
      <w:start w:val="2"/>
      <w:numFmt w:val="bullet"/>
      <w:lvlText w:val="-"/>
      <w:lvlJc w:val="left"/>
      <w:pPr>
        <w:tabs>
          <w:tab w:val="num" w:pos="1159"/>
        </w:tabs>
        <w:ind w:left="1159" w:hanging="360"/>
      </w:pPr>
      <w:rPr>
        <w:rFonts w:ascii="Arial" w:eastAsia="Times New Roman" w:hAnsi="Arial" w:cs="Arial" w:hint="default"/>
      </w:rPr>
    </w:lvl>
    <w:lvl w:ilvl="1" w:tplc="04070003" w:tentative="1">
      <w:start w:val="1"/>
      <w:numFmt w:val="bullet"/>
      <w:lvlText w:val="o"/>
      <w:lvlJc w:val="left"/>
      <w:pPr>
        <w:tabs>
          <w:tab w:val="num" w:pos="1879"/>
        </w:tabs>
        <w:ind w:left="1879" w:hanging="360"/>
      </w:pPr>
      <w:rPr>
        <w:rFonts w:ascii="Courier New" w:hAnsi="Courier New" w:cs="Courier New" w:hint="default"/>
      </w:rPr>
    </w:lvl>
    <w:lvl w:ilvl="2" w:tplc="04070005" w:tentative="1">
      <w:start w:val="1"/>
      <w:numFmt w:val="bullet"/>
      <w:lvlText w:val=""/>
      <w:lvlJc w:val="left"/>
      <w:pPr>
        <w:tabs>
          <w:tab w:val="num" w:pos="2599"/>
        </w:tabs>
        <w:ind w:left="2599" w:hanging="360"/>
      </w:pPr>
      <w:rPr>
        <w:rFonts w:ascii="Wingdings" w:hAnsi="Wingdings" w:hint="default"/>
      </w:rPr>
    </w:lvl>
    <w:lvl w:ilvl="3" w:tplc="04070001" w:tentative="1">
      <w:start w:val="1"/>
      <w:numFmt w:val="bullet"/>
      <w:lvlText w:val=""/>
      <w:lvlJc w:val="left"/>
      <w:pPr>
        <w:tabs>
          <w:tab w:val="num" w:pos="3319"/>
        </w:tabs>
        <w:ind w:left="3319" w:hanging="360"/>
      </w:pPr>
      <w:rPr>
        <w:rFonts w:ascii="Symbol" w:hAnsi="Symbol" w:hint="default"/>
      </w:rPr>
    </w:lvl>
    <w:lvl w:ilvl="4" w:tplc="04070003" w:tentative="1">
      <w:start w:val="1"/>
      <w:numFmt w:val="bullet"/>
      <w:lvlText w:val="o"/>
      <w:lvlJc w:val="left"/>
      <w:pPr>
        <w:tabs>
          <w:tab w:val="num" w:pos="4039"/>
        </w:tabs>
        <w:ind w:left="4039" w:hanging="360"/>
      </w:pPr>
      <w:rPr>
        <w:rFonts w:ascii="Courier New" w:hAnsi="Courier New" w:cs="Courier New" w:hint="default"/>
      </w:rPr>
    </w:lvl>
    <w:lvl w:ilvl="5" w:tplc="04070005" w:tentative="1">
      <w:start w:val="1"/>
      <w:numFmt w:val="bullet"/>
      <w:lvlText w:val=""/>
      <w:lvlJc w:val="left"/>
      <w:pPr>
        <w:tabs>
          <w:tab w:val="num" w:pos="4759"/>
        </w:tabs>
        <w:ind w:left="4759" w:hanging="360"/>
      </w:pPr>
      <w:rPr>
        <w:rFonts w:ascii="Wingdings" w:hAnsi="Wingdings" w:hint="default"/>
      </w:rPr>
    </w:lvl>
    <w:lvl w:ilvl="6" w:tplc="04070001" w:tentative="1">
      <w:start w:val="1"/>
      <w:numFmt w:val="bullet"/>
      <w:lvlText w:val=""/>
      <w:lvlJc w:val="left"/>
      <w:pPr>
        <w:tabs>
          <w:tab w:val="num" w:pos="5479"/>
        </w:tabs>
        <w:ind w:left="5479" w:hanging="360"/>
      </w:pPr>
      <w:rPr>
        <w:rFonts w:ascii="Symbol" w:hAnsi="Symbol" w:hint="default"/>
      </w:rPr>
    </w:lvl>
    <w:lvl w:ilvl="7" w:tplc="04070003" w:tentative="1">
      <w:start w:val="1"/>
      <w:numFmt w:val="bullet"/>
      <w:lvlText w:val="o"/>
      <w:lvlJc w:val="left"/>
      <w:pPr>
        <w:tabs>
          <w:tab w:val="num" w:pos="6199"/>
        </w:tabs>
        <w:ind w:left="6199" w:hanging="360"/>
      </w:pPr>
      <w:rPr>
        <w:rFonts w:ascii="Courier New" w:hAnsi="Courier New" w:cs="Courier New" w:hint="default"/>
      </w:rPr>
    </w:lvl>
    <w:lvl w:ilvl="8" w:tplc="04070005" w:tentative="1">
      <w:start w:val="1"/>
      <w:numFmt w:val="bullet"/>
      <w:lvlText w:val=""/>
      <w:lvlJc w:val="left"/>
      <w:pPr>
        <w:tabs>
          <w:tab w:val="num" w:pos="6919"/>
        </w:tabs>
        <w:ind w:left="6919" w:hanging="360"/>
      </w:pPr>
      <w:rPr>
        <w:rFonts w:ascii="Wingdings" w:hAnsi="Wingdings" w:hint="default"/>
      </w:rPr>
    </w:lvl>
  </w:abstractNum>
  <w:abstractNum w:abstractNumId="3" w15:restartNumberingAfterBreak="0">
    <w:nsid w:val="14EB3F5D"/>
    <w:multiLevelType w:val="multilevel"/>
    <w:tmpl w:val="1838932E"/>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8A21204"/>
    <w:multiLevelType w:val="multilevel"/>
    <w:tmpl w:val="CE763FE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3376F83"/>
    <w:multiLevelType w:val="hybridMultilevel"/>
    <w:tmpl w:val="BDD63EA8"/>
    <w:lvl w:ilvl="0" w:tplc="8940C0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ACBD02-ECED-4BF4-8D31-059C1C924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rPr>
      <w:vertAlign w:val="superscript"/>
    </w:rPr>
  </w:style>
  <w:style w:type="paragraph" w:styleId="ListParagraph">
    <w:name w:val="List Paragraph"/>
    <w:basedOn w:val="Normal"/>
    <w:uiPriority w:val="34"/>
    <w:qFormat/>
    <w:pPr>
      <w:ind w:left="720"/>
      <w:contextualSpacing/>
    </w:pPr>
    <w:rPr>
      <w:lang w:val="en-US"/>
    </w:rPr>
  </w:style>
  <w:style w:type="paragraph" w:styleId="Header">
    <w:name w:val="header"/>
    <w:basedOn w:val="Normal"/>
    <w:link w:val="HeaderChar"/>
    <w:uiPriority w:val="99"/>
    <w:unhideWhenUsed/>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rPr>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style>
  <w:style w:type="table" w:customStyle="1" w:styleId="Style5">
    <w:name w:val="Style5"/>
    <w:basedOn w:val="TableNormal"/>
    <w:uiPriority w:val="99"/>
    <w:qFormat/>
    <w:pPr>
      <w:spacing w:after="0" w:line="360" w:lineRule="auto"/>
    </w:pPr>
    <w:rPr>
      <w:rFonts w:eastAsia="Times New Roman"/>
      <w:lang w:val="en-AU" w:eastAsia="en-AU"/>
    </w:rPr>
    <w:tblPr/>
  </w:style>
  <w:style w:type="character" w:styleId="Hyperlink">
    <w:name w:val="Hyperlink"/>
    <w:basedOn w:val="DefaultParagraphFont"/>
    <w:rPr>
      <w:color w:val="0000FF"/>
      <w:u w:val="single"/>
    </w:rPr>
  </w:style>
  <w:style w:type="table" w:styleId="TableSimple1">
    <w:name w:val="Table Simple 1"/>
    <w:basedOn w:val="TableNormal"/>
    <w:pPr>
      <w:spacing w:after="0" w:line="360" w:lineRule="auto"/>
    </w:pPr>
    <w:rPr>
      <w:rFonts w:ascii="Times New Roman" w:eastAsia="Times New Roman" w:hAnsi="Times New Roman" w:cs="Times New Roman"/>
      <w:sz w:val="20"/>
      <w:szCs w:val="20"/>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FollowedHyperlink1">
    <w:name w:val="FollowedHyperlink1"/>
    <w:basedOn w:val="DefaultParagraphFont"/>
    <w:uiPriority w:val="99"/>
    <w:semiHidden/>
    <w:unhideWhenUsed/>
    <w:rPr>
      <w:color w:val="800080"/>
      <w:u w:val="single"/>
    </w:rPr>
  </w:style>
  <w:style w:type="paragraph" w:styleId="ListContinue">
    <w:name w:val="List Continue"/>
    <w:basedOn w:val="Normal"/>
    <w:pPr>
      <w:suppressAutoHyphens/>
      <w:autoSpaceDN w:val="0"/>
      <w:spacing w:after="120" w:line="480" w:lineRule="auto"/>
      <w:ind w:left="360"/>
      <w:jc w:val="both"/>
      <w:textAlignment w:val="baseline"/>
    </w:pPr>
    <w:rPr>
      <w:rFonts w:ascii="Times New Roman" w:eastAsia="Trebuchet MS" w:hAnsi="Times New Roman" w:cs="Times New Roman"/>
      <w:lang w:val="fr-FR" w:eastAsia="en-AU"/>
    </w:rPr>
  </w:style>
  <w:style w:type="paragraph" w:styleId="CommentSubject">
    <w:name w:val="annotation subject"/>
    <w:basedOn w:val="CommentText"/>
    <w:next w:val="CommentText"/>
    <w:link w:val="CommentSubjectChar"/>
    <w:uiPriority w:val="99"/>
    <w:semiHidden/>
    <w:unhideWhenUsed/>
    <w:pPr>
      <w:spacing w:after="200"/>
    </w:pPr>
    <w:rPr>
      <w:rFonts w:eastAsia="Times New Roman"/>
      <w:b/>
      <w:bCs/>
      <w:lang w:val="en-AU" w:eastAsia="en-AU"/>
    </w:rPr>
  </w:style>
  <w:style w:type="character" w:customStyle="1" w:styleId="CommentSubjectChar">
    <w:name w:val="Comment Subject Char"/>
    <w:basedOn w:val="CommentTextChar"/>
    <w:link w:val="CommentSubject"/>
    <w:uiPriority w:val="99"/>
    <w:semiHidden/>
    <w:rPr>
      <w:rFonts w:eastAsia="Times New Roman"/>
      <w:b/>
      <w:bCs/>
      <w:sz w:val="20"/>
      <w:szCs w:val="20"/>
      <w:lang w:val="en-AU" w:eastAsia="en-AU"/>
    </w:rPr>
  </w:style>
  <w:style w:type="table" w:customStyle="1" w:styleId="LightShading1">
    <w:name w:val="Light Shading1"/>
    <w:basedOn w:val="TableNormal"/>
    <w:uiPriority w:val="60"/>
    <w:pPr>
      <w:spacing w:after="0" w:line="240" w:lineRule="auto"/>
    </w:pPr>
    <w:rPr>
      <w:rFonts w:eastAsia="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Subtitle">
    <w:name w:val="Subtitle"/>
    <w:basedOn w:val="Normal"/>
    <w:link w:val="SubtitleChar"/>
    <w:qFormat/>
    <w:pPr>
      <w:spacing w:after="0" w:line="360" w:lineRule="auto"/>
      <w:jc w:val="both"/>
    </w:pPr>
    <w:rPr>
      <w:rFonts w:ascii="Times New Roman" w:eastAsia="Times New Roman" w:hAnsi="Times New Roman" w:cs="Times New Roman"/>
      <w:b/>
      <w:bCs/>
      <w:sz w:val="24"/>
      <w:szCs w:val="24"/>
      <w:lang w:val="en-US"/>
    </w:rPr>
  </w:style>
  <w:style w:type="character" w:customStyle="1" w:styleId="SubtitleChar">
    <w:name w:val="Subtitle Char"/>
    <w:basedOn w:val="DefaultParagraphFont"/>
    <w:link w:val="Subtitle"/>
    <w:rPr>
      <w:rFonts w:ascii="Times New Roman" w:eastAsia="Times New Roman" w:hAnsi="Times New Roman" w:cs="Times New Roman"/>
      <w:b/>
      <w:bCs/>
      <w:sz w:val="24"/>
      <w:szCs w:val="24"/>
      <w:lang w:val="en-US"/>
    </w:rPr>
  </w:style>
  <w:style w:type="table" w:customStyle="1" w:styleId="Style51">
    <w:name w:val="Style51"/>
    <w:basedOn w:val="TableNormal"/>
    <w:uiPriority w:val="99"/>
    <w:qFormat/>
    <w:pPr>
      <w:spacing w:after="0" w:line="360" w:lineRule="auto"/>
    </w:pPr>
    <w:rPr>
      <w:rFonts w:eastAsia="Calibri"/>
      <w:lang w:val="en-US"/>
    </w:rPr>
    <w:tblPr/>
  </w:style>
  <w:style w:type="character" w:styleId="PlaceholderText">
    <w:name w:val="Placeholder Text"/>
    <w:basedOn w:val="DefaultParagraphFont"/>
    <w:uiPriority w:val="99"/>
    <w:semiHidden/>
    <w:rPr>
      <w:color w:val="808080"/>
    </w:rPr>
  </w:style>
  <w:style w:type="character" w:customStyle="1" w:styleId="qualified-channel-title-text">
    <w:name w:val="qualified-channel-title-text"/>
    <w:basedOn w:val="DefaultParagraphFont"/>
  </w:style>
  <w:style w:type="character" w:styleId="Emphasis">
    <w:name w:val="Emphasis"/>
    <w:basedOn w:val="DefaultParagraphFont"/>
    <w:uiPriority w:val="20"/>
    <w:qFormat/>
    <w:rPr>
      <w:b/>
      <w:bCs/>
      <w:i w:val="0"/>
      <w:iCs w:val="0"/>
    </w:rPr>
  </w:style>
  <w:style w:type="character" w:customStyle="1" w:styleId="st1">
    <w:name w:val="st1"/>
    <w:basedOn w:val="DefaultParagraphFont"/>
  </w:style>
  <w:style w:type="table" w:customStyle="1" w:styleId="TableGrid1">
    <w:name w:val="Table Grid1"/>
    <w:basedOn w:val="TableNormal"/>
    <w:next w:val="TableGrid"/>
    <w:uiPriority w:val="59"/>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style>
  <w:style w:type="numbering" w:customStyle="1" w:styleId="NoList11">
    <w:name w:val="No List11"/>
    <w:next w:val="NoList"/>
    <w:uiPriority w:val="99"/>
    <w:semiHidden/>
    <w:unhideWhenUsed/>
  </w:style>
  <w:style w:type="table" w:customStyle="1" w:styleId="TableGrid2">
    <w:name w:val="Table Grid2"/>
    <w:basedOn w:val="TableNormal"/>
    <w:next w:val="TableGrid"/>
    <w:uiPriority w:val="5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Pr>
      <w:color w:val="954F72" w:themeColor="followedHyperlink"/>
      <w:u w:val="single"/>
    </w:rPr>
  </w:style>
  <w:style w:type="table" w:customStyle="1" w:styleId="TableGrid3">
    <w:name w:val="Table Grid3"/>
    <w:basedOn w:val="TableNormal"/>
    <w:next w:val="TableGrid"/>
    <w:uiPriority w:val="59"/>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
    <w:name w:val="Light Shading11"/>
    <w:basedOn w:val="TableNormal"/>
    <w:uiPriority w:val="60"/>
    <w:pPr>
      <w:spacing w:after="0" w:line="240" w:lineRule="auto"/>
    </w:pPr>
    <w:rPr>
      <w:rFonts w:eastAsia="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2">
    <w:name w:val="Light Shading12"/>
    <w:basedOn w:val="TableNormal"/>
    <w:uiPriority w:val="60"/>
    <w:pPr>
      <w:spacing w:after="0" w:line="240" w:lineRule="auto"/>
    </w:pPr>
    <w:rPr>
      <w:rFonts w:eastAsia="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4">
    <w:name w:val="Table Grid4"/>
    <w:basedOn w:val="TableNormal"/>
    <w:next w:val="TableGrid"/>
    <w:uiPriority w:val="59"/>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
    <w:name w:val="Light Shading111"/>
    <w:basedOn w:val="TableNormal"/>
    <w:uiPriority w:val="60"/>
    <w:pPr>
      <w:spacing w:after="0" w:line="240" w:lineRule="auto"/>
    </w:pPr>
    <w:rPr>
      <w:rFonts w:eastAsia="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3">
    <w:name w:val="Light Shading13"/>
    <w:basedOn w:val="TableNormal"/>
    <w:uiPriority w:val="60"/>
    <w:pPr>
      <w:spacing w:after="0" w:line="240" w:lineRule="auto"/>
    </w:pPr>
    <w:rPr>
      <w:rFonts w:eastAsia="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5">
    <w:name w:val="Table Grid5"/>
    <w:basedOn w:val="TableNormal"/>
    <w:next w:val="TableGrid"/>
    <w:uiPriority w:val="59"/>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2">
    <w:name w:val="Light Shading112"/>
    <w:basedOn w:val="TableNormal"/>
    <w:uiPriority w:val="60"/>
    <w:pPr>
      <w:spacing w:after="0" w:line="240" w:lineRule="auto"/>
    </w:pPr>
    <w:rPr>
      <w:rFonts w:eastAsia="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4">
    <w:name w:val="Light Shading14"/>
    <w:basedOn w:val="TableNormal"/>
    <w:uiPriority w:val="60"/>
    <w:pPr>
      <w:spacing w:after="0" w:line="240" w:lineRule="auto"/>
    </w:pPr>
    <w:rPr>
      <w:rFonts w:eastAsia="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LineNumber">
    <w:name w:val="line number"/>
    <w:basedOn w:val="DefaultParagraphFon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839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yigezu@cgiar.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nra.org.ma/" TargetMode="Externa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hyperlink" Target="http://www.ncbi.nlm.nih.gov/pubmed/168047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32</Pages>
  <Words>6886</Words>
  <Characters>39253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icarda</Company>
  <LinksUpToDate>false</LinksUpToDate>
  <CharactersWithSpaces>46047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TEL-SHATER</dc:creator>
  <cp:keywords/>
  <dc:description/>
  <cp:lastModifiedBy>Yigezu</cp:lastModifiedBy>
  <cp:revision>8</cp:revision>
  <dcterms:created xsi:type="dcterms:W3CDTF">2016-12-21T07:49:00Z</dcterms:created>
  <dcterms:modified xsi:type="dcterms:W3CDTF">2016-12-21T08:03:00Z</dcterms:modified>
</cp:coreProperties>
</file>