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8649B" w14:textId="77777777" w:rsidR="000452F3" w:rsidRDefault="000452F3" w:rsidP="00077A46">
      <w:pPr>
        <w:spacing w:after="0" w:line="240" w:lineRule="auto"/>
        <w:rPr>
          <w:b/>
          <w:sz w:val="36"/>
          <w:szCs w:val="36"/>
        </w:rPr>
      </w:pPr>
    </w:p>
    <w:p w14:paraId="5D3861DA" w14:textId="77777777" w:rsidR="000452F3" w:rsidRDefault="000452F3" w:rsidP="00077A46">
      <w:pPr>
        <w:spacing w:after="0" w:line="240" w:lineRule="auto"/>
        <w:rPr>
          <w:b/>
          <w:sz w:val="36"/>
          <w:szCs w:val="36"/>
        </w:rPr>
      </w:pPr>
      <w:r w:rsidRPr="000452F3">
        <w:rPr>
          <w:b/>
          <w:noProof/>
          <w:sz w:val="36"/>
          <w:szCs w:val="36"/>
        </w:rPr>
        <w:drawing>
          <wp:anchor distT="0" distB="0" distL="114300" distR="114300" simplePos="0" relativeHeight="251659264" behindDoc="0" locked="0" layoutInCell="1" allowOverlap="1" wp14:anchorId="0E6BF06B" wp14:editId="5DF2E24E">
            <wp:simplePos x="0" y="0"/>
            <wp:positionH relativeFrom="margin">
              <wp:posOffset>0</wp:posOffset>
            </wp:positionH>
            <wp:positionV relativeFrom="paragraph">
              <wp:posOffset>0</wp:posOffset>
            </wp:positionV>
            <wp:extent cx="3122490" cy="1046480"/>
            <wp:effectExtent l="0" t="0" r="1905" b="1270"/>
            <wp:wrapNone/>
            <wp:docPr id="1" name="Picture 1" descr="Image result for GL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D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2490" cy="1046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52F3">
        <w:rPr>
          <w:b/>
          <w:noProof/>
          <w:sz w:val="36"/>
          <w:szCs w:val="36"/>
        </w:rPr>
        <w:drawing>
          <wp:anchor distT="0" distB="0" distL="114300" distR="114300" simplePos="0" relativeHeight="251660288" behindDoc="0" locked="0" layoutInCell="1" allowOverlap="1" wp14:anchorId="49E0B555" wp14:editId="4C996667">
            <wp:simplePos x="0" y="0"/>
            <wp:positionH relativeFrom="column">
              <wp:posOffset>3830320</wp:posOffset>
            </wp:positionH>
            <wp:positionV relativeFrom="paragraph">
              <wp:posOffset>60960</wp:posOffset>
            </wp:positionV>
            <wp:extent cx="1542429" cy="130048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2429" cy="1300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ED657" w14:textId="77777777" w:rsidR="000452F3" w:rsidRDefault="000452F3" w:rsidP="00077A46">
      <w:pPr>
        <w:spacing w:after="0" w:line="240" w:lineRule="auto"/>
        <w:rPr>
          <w:b/>
          <w:sz w:val="36"/>
          <w:szCs w:val="36"/>
        </w:rPr>
      </w:pPr>
    </w:p>
    <w:p w14:paraId="6F41A1E4" w14:textId="77777777" w:rsidR="000452F3" w:rsidRDefault="000452F3" w:rsidP="00077A46">
      <w:pPr>
        <w:spacing w:after="0" w:line="240" w:lineRule="auto"/>
        <w:rPr>
          <w:b/>
          <w:sz w:val="36"/>
          <w:szCs w:val="36"/>
        </w:rPr>
      </w:pPr>
    </w:p>
    <w:p w14:paraId="43ECA34F" w14:textId="77777777" w:rsidR="000452F3" w:rsidRDefault="000452F3" w:rsidP="00077A46">
      <w:pPr>
        <w:spacing w:after="0" w:line="240" w:lineRule="auto"/>
        <w:rPr>
          <w:b/>
          <w:sz w:val="36"/>
          <w:szCs w:val="36"/>
        </w:rPr>
      </w:pPr>
    </w:p>
    <w:p w14:paraId="6841F4B9" w14:textId="77777777" w:rsidR="000452F3" w:rsidRDefault="000452F3" w:rsidP="00077A46">
      <w:pPr>
        <w:spacing w:after="0" w:line="240" w:lineRule="auto"/>
        <w:rPr>
          <w:b/>
          <w:sz w:val="36"/>
          <w:szCs w:val="36"/>
        </w:rPr>
      </w:pPr>
    </w:p>
    <w:p w14:paraId="4556540B" w14:textId="77777777" w:rsidR="000452F3" w:rsidRDefault="000452F3" w:rsidP="00077A46">
      <w:pPr>
        <w:spacing w:after="0" w:line="240" w:lineRule="auto"/>
        <w:rPr>
          <w:b/>
          <w:sz w:val="36"/>
          <w:szCs w:val="36"/>
        </w:rPr>
      </w:pPr>
    </w:p>
    <w:p w14:paraId="1BE306FC" w14:textId="77777777" w:rsidR="000452F3" w:rsidRDefault="000452F3" w:rsidP="00077A46">
      <w:pPr>
        <w:spacing w:after="0" w:line="240" w:lineRule="auto"/>
        <w:rPr>
          <w:b/>
          <w:sz w:val="36"/>
          <w:szCs w:val="36"/>
        </w:rPr>
      </w:pPr>
    </w:p>
    <w:p w14:paraId="6F8FB4FB" w14:textId="77777777" w:rsidR="000452F3" w:rsidRDefault="000452F3" w:rsidP="00077A46">
      <w:pPr>
        <w:spacing w:after="0" w:line="240" w:lineRule="auto"/>
        <w:rPr>
          <w:b/>
          <w:sz w:val="36"/>
          <w:szCs w:val="36"/>
        </w:rPr>
      </w:pPr>
    </w:p>
    <w:p w14:paraId="771EED4D" w14:textId="77777777" w:rsidR="000452F3" w:rsidRDefault="000452F3" w:rsidP="00077A46">
      <w:pPr>
        <w:spacing w:after="0" w:line="240" w:lineRule="auto"/>
        <w:rPr>
          <w:b/>
          <w:sz w:val="36"/>
          <w:szCs w:val="36"/>
        </w:rPr>
      </w:pPr>
    </w:p>
    <w:p w14:paraId="7882A75E" w14:textId="77777777" w:rsidR="000452F3" w:rsidRDefault="000452F3" w:rsidP="00077A46">
      <w:pPr>
        <w:spacing w:after="0" w:line="240" w:lineRule="auto"/>
        <w:rPr>
          <w:b/>
          <w:sz w:val="36"/>
          <w:szCs w:val="36"/>
        </w:rPr>
      </w:pPr>
    </w:p>
    <w:p w14:paraId="475BBFDA" w14:textId="77777777" w:rsidR="000452F3" w:rsidRDefault="000452F3" w:rsidP="00077A46">
      <w:pPr>
        <w:spacing w:after="0" w:line="240" w:lineRule="auto"/>
        <w:rPr>
          <w:b/>
          <w:sz w:val="36"/>
          <w:szCs w:val="36"/>
        </w:rPr>
      </w:pPr>
    </w:p>
    <w:p w14:paraId="25DBEE08" w14:textId="77777777" w:rsidR="000452F3" w:rsidRPr="000452F3" w:rsidRDefault="00077A46" w:rsidP="000452F3">
      <w:pPr>
        <w:spacing w:after="0" w:line="240" w:lineRule="auto"/>
        <w:jc w:val="center"/>
        <w:rPr>
          <w:b/>
          <w:sz w:val="52"/>
          <w:szCs w:val="52"/>
        </w:rPr>
      </w:pPr>
      <w:r w:rsidRPr="000452F3">
        <w:rPr>
          <w:b/>
          <w:sz w:val="52"/>
          <w:szCs w:val="52"/>
        </w:rPr>
        <w:t xml:space="preserve">GLDC Impact Evidencing Strategy </w:t>
      </w:r>
    </w:p>
    <w:p w14:paraId="01476899" w14:textId="77777777" w:rsidR="00EC2B9D" w:rsidRPr="000452F3" w:rsidRDefault="00077A46" w:rsidP="000452F3">
      <w:pPr>
        <w:spacing w:after="0" w:line="240" w:lineRule="auto"/>
        <w:jc w:val="center"/>
        <w:rPr>
          <w:b/>
          <w:sz w:val="48"/>
          <w:szCs w:val="48"/>
        </w:rPr>
      </w:pPr>
      <w:r w:rsidRPr="000452F3">
        <w:rPr>
          <w:b/>
          <w:i/>
          <w:sz w:val="48"/>
          <w:szCs w:val="48"/>
        </w:rPr>
        <w:t>Concept Note</w:t>
      </w:r>
    </w:p>
    <w:p w14:paraId="2B847832" w14:textId="77777777" w:rsidR="00077A46" w:rsidRDefault="00077A46" w:rsidP="00077A46">
      <w:pPr>
        <w:spacing w:after="0" w:line="240" w:lineRule="auto"/>
        <w:rPr>
          <w:sz w:val="28"/>
          <w:szCs w:val="28"/>
        </w:rPr>
      </w:pPr>
    </w:p>
    <w:p w14:paraId="1403DC00" w14:textId="77777777" w:rsidR="000452F3" w:rsidRDefault="000452F3" w:rsidP="00077A46">
      <w:pPr>
        <w:spacing w:after="0" w:line="240" w:lineRule="auto"/>
        <w:rPr>
          <w:sz w:val="28"/>
          <w:szCs w:val="28"/>
        </w:rPr>
      </w:pPr>
    </w:p>
    <w:p w14:paraId="731BB610" w14:textId="77777777" w:rsidR="000452F3" w:rsidRDefault="000452F3" w:rsidP="00077A46">
      <w:pPr>
        <w:spacing w:after="0" w:line="240" w:lineRule="auto"/>
        <w:rPr>
          <w:sz w:val="28"/>
          <w:szCs w:val="28"/>
        </w:rPr>
        <w:sectPr w:rsidR="000452F3">
          <w:footerReference w:type="default" r:id="rId13"/>
          <w:pgSz w:w="12240" w:h="15840"/>
          <w:pgMar w:top="1440" w:right="1440" w:bottom="1440" w:left="1440" w:header="720" w:footer="720" w:gutter="0"/>
          <w:cols w:space="720"/>
          <w:docGrid w:linePitch="360"/>
        </w:sectPr>
      </w:pPr>
    </w:p>
    <w:p w14:paraId="09248601" w14:textId="77777777" w:rsidR="00077A46" w:rsidRPr="000452F3" w:rsidRDefault="00077A46" w:rsidP="000452F3">
      <w:pPr>
        <w:pStyle w:val="Heading1"/>
        <w:numPr>
          <w:ilvl w:val="0"/>
          <w:numId w:val="2"/>
        </w:numPr>
        <w:ind w:left="426" w:hanging="426"/>
        <w:rPr>
          <w:sz w:val="36"/>
          <w:szCs w:val="36"/>
        </w:rPr>
      </w:pPr>
      <w:r w:rsidRPr="000452F3">
        <w:rPr>
          <w:sz w:val="36"/>
          <w:szCs w:val="36"/>
        </w:rPr>
        <w:lastRenderedPageBreak/>
        <w:t xml:space="preserve">Introduction and </w:t>
      </w:r>
      <w:r w:rsidR="000452F3" w:rsidRPr="000452F3">
        <w:rPr>
          <w:sz w:val="36"/>
          <w:szCs w:val="36"/>
        </w:rPr>
        <w:t>background</w:t>
      </w:r>
    </w:p>
    <w:p w14:paraId="59358BBC" w14:textId="5B789EFB" w:rsidR="000452F3" w:rsidRPr="00231BF6" w:rsidRDefault="000452F3" w:rsidP="000452F3">
      <w:pPr>
        <w:spacing w:after="0" w:line="240" w:lineRule="auto"/>
        <w:jc w:val="both"/>
        <w:rPr>
          <w:rFonts w:cstheme="minorHAnsi"/>
        </w:rPr>
      </w:pPr>
      <w:r w:rsidRPr="00231BF6">
        <w:rPr>
          <w:rFonts w:cstheme="minorHAnsi"/>
        </w:rPr>
        <w:t>The CGIAR Research Program for Grain Legumes and Dryland Cereals (GLDC) has committed itself to achieving an ambitious set of impact targets. These contribute to those</w:t>
      </w:r>
      <w:r w:rsidR="00B27188" w:rsidRPr="00231BF6">
        <w:rPr>
          <w:rFonts w:cstheme="minorHAnsi"/>
        </w:rPr>
        <w:t xml:space="preserve"> of </w:t>
      </w:r>
      <w:r w:rsidRPr="00231BF6">
        <w:rPr>
          <w:rFonts w:cstheme="minorHAnsi"/>
        </w:rPr>
        <w:t xml:space="preserve">the overall CGIAR system and include:  </w:t>
      </w:r>
    </w:p>
    <w:p w14:paraId="763E8E0D"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8.9M farm households have adopted improved GLDC varieties</w:t>
      </w:r>
    </w:p>
    <w:p w14:paraId="58DC71FF"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4.4M people assisted to exit poverty (50% women)</w:t>
      </w:r>
    </w:p>
    <w:p w14:paraId="1C0E256C"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1.2%/year rate of yield increase for GLDC crops</w:t>
      </w:r>
    </w:p>
    <w:p w14:paraId="65BE5548"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12.7M more people (50% women) assisted to meet minimum dietary energy requirements</w:t>
      </w:r>
    </w:p>
    <w:p w14:paraId="51DA9C13"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7.5M women of reproductive age assisted to meet daily protein dietary requirements</w:t>
      </w:r>
    </w:p>
    <w:p w14:paraId="4AA2547A" w14:textId="77777777" w:rsidR="000452F3" w:rsidRPr="00231BF6" w:rsidRDefault="000452F3" w:rsidP="000452F3">
      <w:pPr>
        <w:numPr>
          <w:ilvl w:val="0"/>
          <w:numId w:val="3"/>
        </w:numPr>
        <w:spacing w:after="0" w:line="240" w:lineRule="auto"/>
        <w:ind w:left="714" w:hanging="357"/>
        <w:jc w:val="both"/>
        <w:rPr>
          <w:rFonts w:cstheme="minorHAnsi"/>
        </w:rPr>
      </w:pPr>
      <w:r w:rsidRPr="00231BF6">
        <w:rPr>
          <w:rFonts w:cstheme="minorHAnsi"/>
        </w:rPr>
        <w:t>4.9M tons of cumulative carbon input to soils from increased GLDC productivity</w:t>
      </w:r>
    </w:p>
    <w:p w14:paraId="508FA26A" w14:textId="77777777" w:rsidR="000452F3" w:rsidRPr="00231BF6" w:rsidRDefault="000452F3" w:rsidP="000452F3">
      <w:pPr>
        <w:spacing w:after="0" w:line="240" w:lineRule="auto"/>
        <w:jc w:val="both"/>
        <w:rPr>
          <w:rFonts w:cstheme="minorHAnsi"/>
        </w:rPr>
      </w:pPr>
    </w:p>
    <w:p w14:paraId="31568B09" w14:textId="2BF8C0DA" w:rsidR="000452F3" w:rsidRPr="00231BF6" w:rsidRDefault="000452F3" w:rsidP="000452F3">
      <w:pPr>
        <w:spacing w:after="0" w:line="240" w:lineRule="auto"/>
        <w:jc w:val="both"/>
        <w:rPr>
          <w:rFonts w:cstheme="minorHAnsi"/>
        </w:rPr>
      </w:pPr>
      <w:r w:rsidRPr="00231BF6">
        <w:rPr>
          <w:rFonts w:cstheme="minorHAnsi"/>
        </w:rPr>
        <w:t xml:space="preserve">GLDC management is seeking a means of credibly and practically evidencing the extent to it has and will meet these targets. To </w:t>
      </w:r>
      <w:r w:rsidR="00AA68F8">
        <w:rPr>
          <w:rFonts w:cstheme="minorHAnsi"/>
        </w:rPr>
        <w:t>inform the development of such an impact evidencing</w:t>
      </w:r>
      <w:r w:rsidRPr="00231BF6">
        <w:rPr>
          <w:rFonts w:cstheme="minorHAnsi"/>
        </w:rPr>
        <w:t xml:space="preserve"> strategy, GLDC convened a </w:t>
      </w:r>
      <w:r w:rsidR="007E192E">
        <w:rPr>
          <w:rFonts w:cstheme="minorHAnsi"/>
        </w:rPr>
        <w:t xml:space="preserve">three-day </w:t>
      </w:r>
      <w:r w:rsidR="00AA68F8">
        <w:rPr>
          <w:rFonts w:cstheme="minorHAnsi"/>
        </w:rPr>
        <w:t>w</w:t>
      </w:r>
      <w:r w:rsidRPr="00231BF6">
        <w:rPr>
          <w:rFonts w:cstheme="minorHAnsi"/>
        </w:rPr>
        <w:t xml:space="preserve">orkshop in Nairobi </w:t>
      </w:r>
      <w:r w:rsidR="009C0071">
        <w:rPr>
          <w:rFonts w:cstheme="minorHAnsi"/>
        </w:rPr>
        <w:t>(</w:t>
      </w:r>
      <w:r w:rsidR="00577B24">
        <w:rPr>
          <w:rFonts w:cstheme="minorHAnsi"/>
        </w:rPr>
        <w:t xml:space="preserve">August </w:t>
      </w:r>
      <w:r w:rsidR="009C0071">
        <w:rPr>
          <w:rFonts w:cstheme="minorHAnsi"/>
        </w:rPr>
        <w:t>28-30,</w:t>
      </w:r>
      <w:r w:rsidRPr="00231BF6">
        <w:rPr>
          <w:rFonts w:cstheme="minorHAnsi"/>
        </w:rPr>
        <w:t xml:space="preserve"> 2019</w:t>
      </w:r>
      <w:r w:rsidR="009C0071">
        <w:rPr>
          <w:rFonts w:cstheme="minorHAnsi"/>
        </w:rPr>
        <w:t>)</w:t>
      </w:r>
      <w:r w:rsidRPr="00231BF6">
        <w:rPr>
          <w:rFonts w:cstheme="minorHAnsi"/>
        </w:rPr>
        <w:t>.</w:t>
      </w:r>
      <w:r w:rsidR="009C0071">
        <w:rPr>
          <w:rFonts w:cstheme="minorHAnsi"/>
        </w:rPr>
        <w:t xml:space="preserve"> </w:t>
      </w:r>
      <w:r w:rsidR="00736447">
        <w:rPr>
          <w:rFonts w:cstheme="minorHAnsi"/>
        </w:rPr>
        <w:t>This workshop confirmed the program</w:t>
      </w:r>
      <w:r w:rsidR="00743582">
        <w:rPr>
          <w:rFonts w:cstheme="minorHAnsi"/>
        </w:rPr>
        <w:t xml:space="preserve">’s evidence needs, mapped available evidence against these needs, identified key evidence gaps, </w:t>
      </w:r>
      <w:r w:rsidR="000046AF">
        <w:rPr>
          <w:rFonts w:cstheme="minorHAnsi"/>
        </w:rPr>
        <w:t xml:space="preserve">and finally possible ways of addressing these gaps. </w:t>
      </w:r>
      <w:r w:rsidR="00DF68E2">
        <w:rPr>
          <w:rFonts w:cstheme="minorHAnsi"/>
        </w:rPr>
        <w:t xml:space="preserve">This concept note </w:t>
      </w:r>
      <w:r w:rsidR="00550CBB">
        <w:rPr>
          <w:rFonts w:cstheme="minorHAnsi"/>
        </w:rPr>
        <w:t xml:space="preserve">builds upon the results of this workshop and presents </w:t>
      </w:r>
      <w:r w:rsidR="001F429D">
        <w:rPr>
          <w:rFonts w:cstheme="minorHAnsi"/>
        </w:rPr>
        <w:t>a potential integrated impact evidencing strategy for the GLDC program.</w:t>
      </w:r>
    </w:p>
    <w:p w14:paraId="60209988" w14:textId="79AE2B98" w:rsidR="00077A46" w:rsidRDefault="00077A46" w:rsidP="00E443DD">
      <w:pPr>
        <w:pStyle w:val="ListParagraph"/>
        <w:spacing w:after="0" w:line="240" w:lineRule="auto"/>
        <w:ind w:left="284" w:hanging="284"/>
      </w:pPr>
    </w:p>
    <w:p w14:paraId="29CB5437" w14:textId="77777777" w:rsidR="00952D85" w:rsidRDefault="00952D85" w:rsidP="00E443DD">
      <w:pPr>
        <w:pStyle w:val="ListParagraph"/>
        <w:spacing w:after="0" w:line="240" w:lineRule="auto"/>
        <w:ind w:left="284" w:hanging="284"/>
      </w:pPr>
    </w:p>
    <w:p w14:paraId="361B0A87" w14:textId="3D0C8AF1" w:rsidR="00077A46" w:rsidRDefault="00077A46" w:rsidP="00E443DD">
      <w:pPr>
        <w:pStyle w:val="Heading1"/>
        <w:numPr>
          <w:ilvl w:val="0"/>
          <w:numId w:val="2"/>
        </w:numPr>
        <w:ind w:left="284" w:hanging="284"/>
      </w:pPr>
      <w:r>
        <w:t>Strategic framework</w:t>
      </w:r>
    </w:p>
    <w:p w14:paraId="5A5176BD" w14:textId="07A51A7B" w:rsidR="0071772F" w:rsidRDefault="00180404" w:rsidP="00911081">
      <w:pPr>
        <w:spacing w:after="0" w:line="240" w:lineRule="auto"/>
        <w:jc w:val="both"/>
        <w:rPr>
          <w:rFonts w:cstheme="minorHAnsi"/>
        </w:rPr>
      </w:pPr>
      <w:r>
        <w:rPr>
          <w:rFonts w:ascii="Arial" w:hAnsi="Arial" w:cs="Arial"/>
          <w:noProof/>
        </w:rPr>
        <w:drawing>
          <wp:anchor distT="0" distB="0" distL="114300" distR="114300" simplePos="0" relativeHeight="251664384" behindDoc="0" locked="0" layoutInCell="1" allowOverlap="1" wp14:anchorId="0CEA676E" wp14:editId="02833E62">
            <wp:simplePos x="0" y="0"/>
            <wp:positionH relativeFrom="column">
              <wp:posOffset>3169121</wp:posOffset>
            </wp:positionH>
            <wp:positionV relativeFrom="paragraph">
              <wp:posOffset>79027</wp:posOffset>
            </wp:positionV>
            <wp:extent cx="2788285" cy="2582545"/>
            <wp:effectExtent l="19050" t="19050" r="12065" b="273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88285" cy="2582545"/>
                    </a:xfrm>
                    <a:prstGeom prst="rect">
                      <a:avLst/>
                    </a:prstGeom>
                    <a:noFill/>
                    <a:ln w="15875">
                      <a:solidFill>
                        <a:schemeClr val="tx1"/>
                      </a:solidFill>
                    </a:ln>
                  </pic:spPr>
                </pic:pic>
              </a:graphicData>
            </a:graphic>
            <wp14:sizeRelH relativeFrom="page">
              <wp14:pctWidth>0</wp14:pctWidth>
            </wp14:sizeRelH>
            <wp14:sizeRelV relativeFrom="page">
              <wp14:pctHeight>0</wp14:pctHeight>
            </wp14:sizeRelV>
          </wp:anchor>
        </w:drawing>
      </w:r>
      <w:r w:rsidR="000C5BFC">
        <w:rPr>
          <w:rFonts w:cstheme="minorHAnsi"/>
        </w:rPr>
        <w:t xml:space="preserve">Seven impact </w:t>
      </w:r>
      <w:r w:rsidR="00710972">
        <w:rPr>
          <w:rFonts w:cstheme="minorHAnsi"/>
        </w:rPr>
        <w:t>‘</w:t>
      </w:r>
      <w:r w:rsidR="000C5BFC">
        <w:rPr>
          <w:rFonts w:cstheme="minorHAnsi"/>
        </w:rPr>
        <w:t xml:space="preserve">nodes’ lie at the foundation of </w:t>
      </w:r>
      <w:r w:rsidR="00491F95">
        <w:rPr>
          <w:rFonts w:cstheme="minorHAnsi"/>
        </w:rPr>
        <w:t>GLDC’s impact evidencing strategy</w:t>
      </w:r>
      <w:r w:rsidR="000C5BFC">
        <w:rPr>
          <w:rFonts w:cstheme="minorHAnsi"/>
        </w:rPr>
        <w:t xml:space="preserve">. </w:t>
      </w:r>
      <w:r w:rsidR="000B14EB">
        <w:rPr>
          <w:rFonts w:cstheme="minorHAnsi"/>
        </w:rPr>
        <w:t xml:space="preserve">These are presented in Figure 1 and are central elements of the program’s implicit </w:t>
      </w:r>
      <w:r>
        <w:rPr>
          <w:rFonts w:cstheme="minorHAnsi"/>
        </w:rPr>
        <w:t>Theory of Change (</w:t>
      </w:r>
      <w:proofErr w:type="spellStart"/>
      <w:r>
        <w:rPr>
          <w:rFonts w:cstheme="minorHAnsi"/>
        </w:rPr>
        <w:t>ToC</w:t>
      </w:r>
      <w:proofErr w:type="spellEnd"/>
      <w:r>
        <w:rPr>
          <w:rFonts w:cstheme="minorHAnsi"/>
        </w:rPr>
        <w:t xml:space="preserve">). </w:t>
      </w:r>
      <w:r w:rsidR="0023008B">
        <w:rPr>
          <w:rFonts w:cstheme="minorHAnsi"/>
        </w:rPr>
        <w:t xml:space="preserve">Table 1 </w:t>
      </w:r>
      <w:r w:rsidR="00611821">
        <w:rPr>
          <w:rFonts w:cstheme="minorHAnsi"/>
        </w:rPr>
        <w:t>presents a description of each node and, if relevant, how t</w:t>
      </w:r>
      <w:r w:rsidR="007106B3">
        <w:rPr>
          <w:rFonts w:cstheme="minorHAnsi"/>
        </w:rPr>
        <w:t xml:space="preserve">hey map to GLDC’s stated contribution to the System Level Outcome (SLO) targets and Intermediate Development Outcomes (IDOs). </w:t>
      </w:r>
    </w:p>
    <w:p w14:paraId="63F58D1D" w14:textId="5E3386B9" w:rsidR="00EB720F" w:rsidRDefault="00EB720F" w:rsidP="00911081">
      <w:pPr>
        <w:spacing w:after="0" w:line="240" w:lineRule="auto"/>
        <w:jc w:val="both"/>
        <w:rPr>
          <w:rFonts w:cstheme="minorHAnsi"/>
        </w:rPr>
      </w:pPr>
    </w:p>
    <w:p w14:paraId="79C44457" w14:textId="0EB724BF" w:rsidR="00EB720F" w:rsidRDefault="00EB720F" w:rsidP="00911081">
      <w:pPr>
        <w:spacing w:after="0" w:line="240" w:lineRule="auto"/>
        <w:jc w:val="both"/>
        <w:rPr>
          <w:rFonts w:cstheme="minorHAnsi"/>
        </w:rPr>
      </w:pPr>
      <w:r>
        <w:rPr>
          <w:rFonts w:cstheme="minorHAnsi"/>
        </w:rPr>
        <w:t>The nodal descriptors can be considered as hypotheses</w:t>
      </w:r>
      <w:r w:rsidR="00AB2F17">
        <w:rPr>
          <w:rFonts w:cstheme="minorHAnsi"/>
        </w:rPr>
        <w:t xml:space="preserve">. The core task of the impact evidencing strategy is to evidence the extent to which these </w:t>
      </w:r>
      <w:r w:rsidR="004F4BEC">
        <w:rPr>
          <w:rFonts w:cstheme="minorHAnsi"/>
        </w:rPr>
        <w:t xml:space="preserve">hypotheses </w:t>
      </w:r>
      <w:r w:rsidR="00AB2F17">
        <w:rPr>
          <w:rFonts w:cstheme="minorHAnsi"/>
        </w:rPr>
        <w:t xml:space="preserve">are true. </w:t>
      </w:r>
      <w:r w:rsidR="00DA406A">
        <w:rPr>
          <w:rFonts w:cstheme="minorHAnsi"/>
        </w:rPr>
        <w:t xml:space="preserve">Through this process, it is expected that we will be able estimate the extent to which the </w:t>
      </w:r>
      <w:r w:rsidR="00EA3CE2">
        <w:rPr>
          <w:rFonts w:cstheme="minorHAnsi"/>
        </w:rPr>
        <w:t xml:space="preserve">program has achieved or is on target towards achieving the SLO targets. </w:t>
      </w:r>
    </w:p>
    <w:p w14:paraId="23095C73" w14:textId="392C6FEF" w:rsidR="008F6A80" w:rsidRDefault="008F6A80" w:rsidP="00911081">
      <w:pPr>
        <w:spacing w:after="0" w:line="240" w:lineRule="auto"/>
        <w:jc w:val="both"/>
        <w:rPr>
          <w:rFonts w:cstheme="minorHAnsi"/>
        </w:rPr>
      </w:pPr>
    </w:p>
    <w:p w14:paraId="78CEFA97" w14:textId="07CAB6BE" w:rsidR="008F6A80" w:rsidRDefault="008F6A80" w:rsidP="00911081">
      <w:pPr>
        <w:spacing w:after="0" w:line="240" w:lineRule="auto"/>
        <w:jc w:val="both"/>
        <w:rPr>
          <w:rFonts w:cstheme="minorHAnsi"/>
        </w:rPr>
      </w:pPr>
      <w:r>
        <w:rPr>
          <w:rFonts w:cstheme="minorHAnsi"/>
        </w:rPr>
        <w:t>The P</w:t>
      </w:r>
      <w:r w:rsidR="002F088C">
        <w:rPr>
          <w:rFonts w:cstheme="minorHAnsi"/>
        </w:rPr>
        <w:t>roductivity &amp; pro</w:t>
      </w:r>
      <w:r w:rsidR="00742C26">
        <w:rPr>
          <w:rFonts w:cstheme="minorHAnsi"/>
        </w:rPr>
        <w:t>fits</w:t>
      </w:r>
      <w:r w:rsidR="002F088C">
        <w:rPr>
          <w:rFonts w:cstheme="minorHAnsi"/>
        </w:rPr>
        <w:t xml:space="preserve">; Diets; and </w:t>
      </w:r>
      <w:r w:rsidR="00B258B3">
        <w:rPr>
          <w:rFonts w:cstheme="minorHAnsi"/>
        </w:rPr>
        <w:t xml:space="preserve">NRM &amp; resilience nodes are </w:t>
      </w:r>
      <w:r w:rsidR="00742C26">
        <w:rPr>
          <w:rFonts w:cstheme="minorHAnsi"/>
        </w:rPr>
        <w:t>actual impact</w:t>
      </w:r>
      <w:r w:rsidR="001A08E6">
        <w:rPr>
          <w:rFonts w:cstheme="minorHAnsi"/>
        </w:rPr>
        <w:t xml:space="preserve"> areas</w:t>
      </w:r>
      <w:r w:rsidR="00B74837">
        <w:rPr>
          <w:rFonts w:cstheme="minorHAnsi"/>
        </w:rPr>
        <w:t xml:space="preserve">. </w:t>
      </w:r>
      <w:r w:rsidR="00C71454">
        <w:rPr>
          <w:rFonts w:cstheme="minorHAnsi"/>
        </w:rPr>
        <w:t>As w</w:t>
      </w:r>
      <w:r w:rsidR="0069653A">
        <w:rPr>
          <w:rFonts w:cstheme="minorHAnsi"/>
        </w:rPr>
        <w:t>ill become clear below, s</w:t>
      </w:r>
      <w:r w:rsidR="00B74837">
        <w:rPr>
          <w:rFonts w:cstheme="minorHAnsi"/>
        </w:rPr>
        <w:t>everal comp</w:t>
      </w:r>
      <w:r w:rsidR="00E7687E">
        <w:rPr>
          <w:rFonts w:cstheme="minorHAnsi"/>
        </w:rPr>
        <w:t>le</w:t>
      </w:r>
      <w:r w:rsidR="00B74837">
        <w:rPr>
          <w:rFonts w:cstheme="minorHAnsi"/>
        </w:rPr>
        <w:t>ted impact studies</w:t>
      </w:r>
      <w:r w:rsidR="00C71454">
        <w:rPr>
          <w:rFonts w:cstheme="minorHAnsi"/>
        </w:rPr>
        <w:t xml:space="preserve"> estimate </w:t>
      </w:r>
      <w:r w:rsidR="00C673F8">
        <w:rPr>
          <w:rFonts w:cstheme="minorHAnsi"/>
        </w:rPr>
        <w:t xml:space="preserve">impacts related to the former </w:t>
      </w:r>
      <w:r w:rsidR="00E7687E">
        <w:rPr>
          <w:rFonts w:cstheme="minorHAnsi"/>
        </w:rPr>
        <w:t xml:space="preserve">node </w:t>
      </w:r>
      <w:r w:rsidR="00827DF1">
        <w:rPr>
          <w:rFonts w:cstheme="minorHAnsi"/>
        </w:rPr>
        <w:t>vis-à-vis particular crops</w:t>
      </w:r>
      <w:r w:rsidR="0069653A">
        <w:rPr>
          <w:rFonts w:cstheme="minorHAnsi"/>
        </w:rPr>
        <w:t xml:space="preserve"> and in specific contexts. Impact evidence </w:t>
      </w:r>
      <w:r w:rsidR="004716B6">
        <w:rPr>
          <w:rFonts w:cstheme="minorHAnsi"/>
        </w:rPr>
        <w:t>is less for the latter two nodes</w:t>
      </w:r>
      <w:r w:rsidR="00A35599">
        <w:rPr>
          <w:rFonts w:cstheme="minorHAnsi"/>
        </w:rPr>
        <w:t xml:space="preserve">. However, </w:t>
      </w:r>
      <w:r w:rsidR="001A08E6">
        <w:rPr>
          <w:rFonts w:cstheme="minorHAnsi"/>
        </w:rPr>
        <w:t>GLDC’s proposed impact evidencing</w:t>
      </w:r>
      <w:r w:rsidR="00A35599">
        <w:rPr>
          <w:rFonts w:cstheme="minorHAnsi"/>
        </w:rPr>
        <w:t xml:space="preserve"> </w:t>
      </w:r>
      <w:r w:rsidR="00290EE6">
        <w:rPr>
          <w:rFonts w:cstheme="minorHAnsi"/>
        </w:rPr>
        <w:t>stra</w:t>
      </w:r>
      <w:r w:rsidR="00266258">
        <w:rPr>
          <w:rFonts w:cstheme="minorHAnsi"/>
        </w:rPr>
        <w:t xml:space="preserve">tegy does not necessitate </w:t>
      </w:r>
      <w:r w:rsidR="00501AD9">
        <w:rPr>
          <w:rFonts w:cstheme="minorHAnsi"/>
        </w:rPr>
        <w:t xml:space="preserve">the undertaking of </w:t>
      </w:r>
      <w:r w:rsidR="0020109F">
        <w:rPr>
          <w:rFonts w:cstheme="minorHAnsi"/>
        </w:rPr>
        <w:t xml:space="preserve">multiple new impact studies for </w:t>
      </w:r>
      <w:r w:rsidR="008A3ADE">
        <w:rPr>
          <w:rFonts w:cstheme="minorHAnsi"/>
        </w:rPr>
        <w:t>the crops and countries not covered</w:t>
      </w:r>
      <w:r w:rsidR="00820B92">
        <w:rPr>
          <w:rFonts w:cstheme="minorHAnsi"/>
        </w:rPr>
        <w:t xml:space="preserve"> under the Productivity &amp; profits node</w:t>
      </w:r>
      <w:r w:rsidR="0059302B">
        <w:rPr>
          <w:rFonts w:cstheme="minorHAnsi"/>
        </w:rPr>
        <w:t xml:space="preserve">. Similarly, </w:t>
      </w:r>
      <w:r w:rsidR="005D108D">
        <w:rPr>
          <w:rFonts w:cstheme="minorHAnsi"/>
        </w:rPr>
        <w:t>it will not necessitate numerous new impact studies</w:t>
      </w:r>
      <w:r w:rsidR="00820B92">
        <w:rPr>
          <w:rFonts w:cstheme="minorHAnsi"/>
        </w:rPr>
        <w:t xml:space="preserve"> </w:t>
      </w:r>
      <w:r w:rsidR="00713C27">
        <w:rPr>
          <w:rFonts w:cstheme="minorHAnsi"/>
        </w:rPr>
        <w:t xml:space="preserve">for </w:t>
      </w:r>
      <w:r w:rsidR="0020109F">
        <w:rPr>
          <w:rFonts w:cstheme="minorHAnsi"/>
        </w:rPr>
        <w:t xml:space="preserve">all crops and in all priority countries for </w:t>
      </w:r>
      <w:r w:rsidR="00BB1511">
        <w:rPr>
          <w:rFonts w:cstheme="minorHAnsi"/>
        </w:rPr>
        <w:t xml:space="preserve">the Diets and NRM &amp; resilience </w:t>
      </w:r>
      <w:r w:rsidR="0020109F">
        <w:rPr>
          <w:rFonts w:cstheme="minorHAnsi"/>
        </w:rPr>
        <w:t>nodes</w:t>
      </w:r>
      <w:r w:rsidR="006A48F0">
        <w:rPr>
          <w:rFonts w:cstheme="minorHAnsi"/>
        </w:rPr>
        <w:t>.</w:t>
      </w:r>
      <w:r w:rsidR="00BB1511">
        <w:rPr>
          <w:rFonts w:cstheme="minorHAnsi"/>
        </w:rPr>
        <w:t xml:space="preserve"> This would be infeasible</w:t>
      </w:r>
      <w:r w:rsidR="003F31EA">
        <w:rPr>
          <w:rFonts w:cstheme="minorHAnsi"/>
        </w:rPr>
        <w:t>, both practically and financially</w:t>
      </w:r>
      <w:r w:rsidR="00724C9F">
        <w:rPr>
          <w:rFonts w:cstheme="minorHAnsi"/>
        </w:rPr>
        <w:t xml:space="preserve">. </w:t>
      </w:r>
      <w:r w:rsidR="00AC6EB7">
        <w:rPr>
          <w:rFonts w:cstheme="minorHAnsi"/>
        </w:rPr>
        <w:t xml:space="preserve">Rather, </w:t>
      </w:r>
      <w:r w:rsidR="00E90AD1">
        <w:rPr>
          <w:rFonts w:cstheme="minorHAnsi"/>
        </w:rPr>
        <w:t>the strategy</w:t>
      </w:r>
      <w:r w:rsidR="002F09DF">
        <w:rPr>
          <w:rFonts w:cstheme="minorHAnsi"/>
        </w:rPr>
        <w:t xml:space="preserve"> focus</w:t>
      </w:r>
      <w:r w:rsidR="003F31EA">
        <w:rPr>
          <w:rFonts w:cstheme="minorHAnsi"/>
        </w:rPr>
        <w:t>es</w:t>
      </w:r>
      <w:r w:rsidR="002F09DF">
        <w:rPr>
          <w:rFonts w:cstheme="minorHAnsi"/>
        </w:rPr>
        <w:t xml:space="preserve"> on the center of Figure 1</w:t>
      </w:r>
      <w:r w:rsidR="00011EAF">
        <w:rPr>
          <w:rFonts w:cstheme="minorHAnsi"/>
        </w:rPr>
        <w:t xml:space="preserve">: it seeks to credibly </w:t>
      </w:r>
      <w:r w:rsidR="00E90AD1">
        <w:rPr>
          <w:rFonts w:cstheme="minorHAnsi"/>
        </w:rPr>
        <w:t xml:space="preserve">estimate the </w:t>
      </w:r>
      <w:r w:rsidR="00011EAF">
        <w:rPr>
          <w:rFonts w:cstheme="minorHAnsi"/>
        </w:rPr>
        <w:t>scale</w:t>
      </w:r>
      <w:r w:rsidR="003743D3">
        <w:rPr>
          <w:rFonts w:cstheme="minorHAnsi"/>
        </w:rPr>
        <w:t xml:space="preserve"> and depth of adoption</w:t>
      </w:r>
      <w:r w:rsidR="00D119B5">
        <w:rPr>
          <w:rFonts w:cstheme="minorHAnsi"/>
        </w:rPr>
        <w:t xml:space="preserve"> of GLDC crop varieties and management practices</w:t>
      </w:r>
      <w:r w:rsidR="00157119">
        <w:rPr>
          <w:rFonts w:cstheme="minorHAnsi"/>
        </w:rPr>
        <w:t>, while using</w:t>
      </w:r>
      <w:r w:rsidR="008D42F1">
        <w:rPr>
          <w:rFonts w:cstheme="minorHAnsi"/>
        </w:rPr>
        <w:t xml:space="preserve"> evidence from more focused impact studies </w:t>
      </w:r>
      <w:r w:rsidR="00D44684">
        <w:rPr>
          <w:rFonts w:cstheme="minorHAnsi"/>
        </w:rPr>
        <w:t>estimate</w:t>
      </w:r>
      <w:r w:rsidR="00B478ED">
        <w:rPr>
          <w:rFonts w:cstheme="minorHAnsi"/>
        </w:rPr>
        <w:t xml:space="preserve"> </w:t>
      </w:r>
      <w:r w:rsidR="001832EA">
        <w:rPr>
          <w:rFonts w:cstheme="minorHAnsi"/>
        </w:rPr>
        <w:t>the program’s contribution to the non-adoption related SLO targets.</w:t>
      </w:r>
      <w:r w:rsidR="00D44684">
        <w:rPr>
          <w:rFonts w:cstheme="minorHAnsi"/>
        </w:rPr>
        <w:t xml:space="preserve"> </w:t>
      </w:r>
      <w:r w:rsidR="003743D3">
        <w:rPr>
          <w:rFonts w:cstheme="minorHAnsi"/>
        </w:rPr>
        <w:t xml:space="preserve"> </w:t>
      </w:r>
      <w:r w:rsidR="006A48F0">
        <w:rPr>
          <w:rFonts w:cstheme="minorHAnsi"/>
        </w:rPr>
        <w:t xml:space="preserve"> </w:t>
      </w:r>
    </w:p>
    <w:p w14:paraId="442DBE1D" w14:textId="6BE6F038" w:rsidR="0023008B" w:rsidRPr="00D21BBF" w:rsidRDefault="0023008B" w:rsidP="0023008B">
      <w:pPr>
        <w:spacing w:after="0" w:line="240" w:lineRule="auto"/>
        <w:rPr>
          <w:rFonts w:ascii="Arial" w:hAnsi="Arial" w:cs="Arial"/>
          <w:b/>
        </w:rPr>
      </w:pPr>
      <w:r w:rsidRPr="00D21BBF">
        <w:rPr>
          <w:rFonts w:ascii="Arial" w:hAnsi="Arial" w:cs="Arial"/>
          <w:b/>
        </w:rPr>
        <w:lastRenderedPageBreak/>
        <w:t xml:space="preserve">Table </w:t>
      </w:r>
      <w:r>
        <w:rPr>
          <w:rFonts w:ascii="Arial" w:hAnsi="Arial" w:cs="Arial"/>
          <w:b/>
        </w:rPr>
        <w:t>1</w:t>
      </w:r>
      <w:r w:rsidRPr="00D21BBF">
        <w:rPr>
          <w:rFonts w:ascii="Arial" w:hAnsi="Arial" w:cs="Arial"/>
          <w:b/>
        </w:rPr>
        <w:t xml:space="preserve">. Key ‘nodes’ in GLDC’s implicit Theory of Change </w:t>
      </w:r>
    </w:p>
    <w:tbl>
      <w:tblPr>
        <w:tblStyle w:val="TableGrid"/>
        <w:tblW w:w="9624"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545"/>
        <w:gridCol w:w="3685"/>
        <w:gridCol w:w="2268"/>
        <w:gridCol w:w="2126"/>
      </w:tblGrid>
      <w:tr w:rsidR="00DE1C09" w:rsidRPr="00D21BBF" w14:paraId="3B093128" w14:textId="77777777" w:rsidTr="00DE1C09">
        <w:tc>
          <w:tcPr>
            <w:tcW w:w="1545" w:type="dxa"/>
            <w:shd w:val="clear" w:color="auto" w:fill="FFFFFF" w:themeFill="background1"/>
          </w:tcPr>
          <w:p w14:paraId="29E327BE" w14:textId="77777777" w:rsidR="0023008B" w:rsidRPr="00DE1C09" w:rsidRDefault="0023008B" w:rsidP="00DE1C09">
            <w:pPr>
              <w:jc w:val="center"/>
              <w:rPr>
                <w:rFonts w:cstheme="minorHAnsi"/>
                <w:b/>
                <w:sz w:val="20"/>
                <w:szCs w:val="20"/>
              </w:rPr>
            </w:pPr>
            <w:r w:rsidRPr="00DE1C09">
              <w:rPr>
                <w:rFonts w:cstheme="minorHAnsi"/>
                <w:b/>
                <w:sz w:val="20"/>
                <w:szCs w:val="20"/>
              </w:rPr>
              <w:t>Node</w:t>
            </w:r>
          </w:p>
        </w:tc>
        <w:tc>
          <w:tcPr>
            <w:tcW w:w="3685" w:type="dxa"/>
            <w:shd w:val="clear" w:color="auto" w:fill="FFFFFF" w:themeFill="background1"/>
          </w:tcPr>
          <w:p w14:paraId="0A786943" w14:textId="7EE4B286" w:rsidR="0023008B" w:rsidRPr="00DE1C09" w:rsidRDefault="0023008B" w:rsidP="00DE1C09">
            <w:pPr>
              <w:jc w:val="center"/>
              <w:rPr>
                <w:rFonts w:cstheme="minorHAnsi"/>
                <w:b/>
                <w:sz w:val="20"/>
                <w:szCs w:val="20"/>
              </w:rPr>
            </w:pPr>
            <w:r w:rsidRPr="00DE1C09">
              <w:rPr>
                <w:rFonts w:cstheme="minorHAnsi"/>
                <w:b/>
                <w:sz w:val="20"/>
                <w:szCs w:val="20"/>
              </w:rPr>
              <w:t>Descrip</w:t>
            </w:r>
            <w:r w:rsidR="00EB720F" w:rsidRPr="00DE1C09">
              <w:rPr>
                <w:rFonts w:cstheme="minorHAnsi"/>
                <w:b/>
                <w:sz w:val="20"/>
                <w:szCs w:val="20"/>
              </w:rPr>
              <w:t>tor</w:t>
            </w:r>
          </w:p>
        </w:tc>
        <w:tc>
          <w:tcPr>
            <w:tcW w:w="2268" w:type="dxa"/>
            <w:shd w:val="clear" w:color="auto" w:fill="FFFFFF" w:themeFill="background1"/>
          </w:tcPr>
          <w:p w14:paraId="486ADC85" w14:textId="1EA85BE7" w:rsidR="0023008B" w:rsidRPr="00DE1C09" w:rsidRDefault="0023008B" w:rsidP="00DE1C09">
            <w:pPr>
              <w:jc w:val="center"/>
              <w:rPr>
                <w:rFonts w:cstheme="minorHAnsi"/>
                <w:b/>
                <w:sz w:val="20"/>
                <w:szCs w:val="20"/>
              </w:rPr>
            </w:pPr>
            <w:r w:rsidRPr="00DE1C09">
              <w:rPr>
                <w:rFonts w:cstheme="minorHAnsi"/>
                <w:b/>
                <w:sz w:val="20"/>
                <w:szCs w:val="20"/>
              </w:rPr>
              <w:t>System Level Outcome (SLO) Target</w:t>
            </w:r>
            <w:r w:rsidR="00457A20">
              <w:rPr>
                <w:rStyle w:val="FootnoteReference"/>
                <w:rFonts w:cstheme="minorHAnsi"/>
                <w:b/>
                <w:sz w:val="20"/>
                <w:szCs w:val="20"/>
              </w:rPr>
              <w:footnoteReference w:id="1"/>
            </w:r>
          </w:p>
        </w:tc>
        <w:tc>
          <w:tcPr>
            <w:tcW w:w="2126" w:type="dxa"/>
            <w:shd w:val="clear" w:color="auto" w:fill="FFFFFF" w:themeFill="background1"/>
          </w:tcPr>
          <w:p w14:paraId="469AC876" w14:textId="5E172BD2" w:rsidR="0023008B" w:rsidRPr="00DE1C09" w:rsidRDefault="0023008B" w:rsidP="00DE1C09">
            <w:pPr>
              <w:jc w:val="center"/>
              <w:rPr>
                <w:rFonts w:cstheme="minorHAnsi"/>
                <w:b/>
                <w:sz w:val="20"/>
                <w:szCs w:val="20"/>
              </w:rPr>
            </w:pPr>
            <w:r w:rsidRPr="00DE1C09">
              <w:rPr>
                <w:rFonts w:cstheme="minorHAnsi"/>
                <w:b/>
                <w:sz w:val="20"/>
                <w:szCs w:val="20"/>
              </w:rPr>
              <w:t>Intermediate Development Outcome (IDO)</w:t>
            </w:r>
            <w:r w:rsidR="00457A20">
              <w:rPr>
                <w:rStyle w:val="FootnoteReference"/>
                <w:rFonts w:cstheme="minorHAnsi"/>
                <w:b/>
                <w:sz w:val="20"/>
                <w:szCs w:val="20"/>
              </w:rPr>
              <w:footnoteReference w:id="2"/>
            </w:r>
          </w:p>
        </w:tc>
      </w:tr>
      <w:tr w:rsidR="0023008B" w:rsidRPr="00D21BBF" w14:paraId="071449C1" w14:textId="77777777" w:rsidTr="00DE1C09">
        <w:tc>
          <w:tcPr>
            <w:tcW w:w="1545" w:type="dxa"/>
          </w:tcPr>
          <w:p w14:paraId="6AAFA0A6"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Market &amp; farmer demand</w:t>
            </w:r>
          </w:p>
        </w:tc>
        <w:tc>
          <w:tcPr>
            <w:tcW w:w="3685" w:type="dxa"/>
          </w:tcPr>
          <w:p w14:paraId="6EB2E754" w14:textId="18D0FA6D" w:rsidR="0023008B" w:rsidRPr="00457A20" w:rsidRDefault="0023008B" w:rsidP="00DE1C09">
            <w:pPr>
              <w:rPr>
                <w:rFonts w:cstheme="minorHAnsi"/>
                <w:sz w:val="19"/>
                <w:szCs w:val="19"/>
              </w:rPr>
            </w:pPr>
            <w:r w:rsidRPr="00457A20">
              <w:rPr>
                <w:rFonts w:cstheme="minorHAnsi"/>
                <w:bCs/>
                <w:sz w:val="19"/>
                <w:szCs w:val="19"/>
              </w:rPr>
              <w:t xml:space="preserve">GLDC technologies (e.g. new crop varieties and complementary management practices) are </w:t>
            </w:r>
            <w:r w:rsidR="00AB2F17" w:rsidRPr="00457A20">
              <w:rPr>
                <w:rFonts w:cstheme="minorHAnsi"/>
                <w:bCs/>
                <w:sz w:val="19"/>
                <w:szCs w:val="19"/>
              </w:rPr>
              <w:t xml:space="preserve">(and will continue to be) </w:t>
            </w:r>
            <w:r w:rsidRPr="00457A20">
              <w:rPr>
                <w:rFonts w:cstheme="minorHAnsi"/>
                <w:bCs/>
                <w:sz w:val="19"/>
                <w:szCs w:val="19"/>
              </w:rPr>
              <w:t xml:space="preserve">well matched with market demand (pre-existing or stimulated) and varying farmer preferences/needs (known or anticipated) </w:t>
            </w:r>
          </w:p>
        </w:tc>
        <w:tc>
          <w:tcPr>
            <w:tcW w:w="2268" w:type="dxa"/>
          </w:tcPr>
          <w:p w14:paraId="6061785A" w14:textId="77777777" w:rsidR="0023008B" w:rsidRPr="00457A20" w:rsidRDefault="0023008B" w:rsidP="00DE1C09">
            <w:pPr>
              <w:rPr>
                <w:rFonts w:cstheme="minorHAnsi"/>
                <w:sz w:val="19"/>
                <w:szCs w:val="19"/>
              </w:rPr>
            </w:pPr>
            <w:r w:rsidRPr="00457A20">
              <w:rPr>
                <w:rFonts w:cstheme="minorHAnsi"/>
                <w:sz w:val="19"/>
                <w:szCs w:val="19"/>
              </w:rPr>
              <w:t>Precondition</w:t>
            </w:r>
          </w:p>
        </w:tc>
        <w:tc>
          <w:tcPr>
            <w:tcW w:w="2126" w:type="dxa"/>
          </w:tcPr>
          <w:p w14:paraId="1652F1D6" w14:textId="77777777" w:rsidR="0023008B" w:rsidRPr="00457A20" w:rsidRDefault="0023008B" w:rsidP="00DE1C09">
            <w:pPr>
              <w:rPr>
                <w:rFonts w:cstheme="minorHAnsi"/>
                <w:sz w:val="19"/>
                <w:szCs w:val="19"/>
              </w:rPr>
            </w:pPr>
          </w:p>
        </w:tc>
      </w:tr>
      <w:tr w:rsidR="0023008B" w:rsidRPr="00D21BBF" w14:paraId="7C79AA6B" w14:textId="77777777" w:rsidTr="00DE1C09">
        <w:tc>
          <w:tcPr>
            <w:tcW w:w="1545" w:type="dxa"/>
          </w:tcPr>
          <w:p w14:paraId="305E2EA1"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 xml:space="preserve">Delivery </w:t>
            </w:r>
          </w:p>
        </w:tc>
        <w:tc>
          <w:tcPr>
            <w:tcW w:w="3685" w:type="dxa"/>
          </w:tcPr>
          <w:p w14:paraId="282FB533" w14:textId="77777777" w:rsidR="0023008B" w:rsidRPr="00457A20" w:rsidRDefault="0023008B" w:rsidP="00DE1C09">
            <w:pPr>
              <w:rPr>
                <w:rFonts w:cstheme="minorHAnsi"/>
                <w:sz w:val="19"/>
                <w:szCs w:val="19"/>
              </w:rPr>
            </w:pPr>
            <w:r w:rsidRPr="00457A20">
              <w:rPr>
                <w:rFonts w:cstheme="minorHAnsi"/>
                <w:bCs/>
                <w:sz w:val="19"/>
                <w:szCs w:val="19"/>
                <w:lang w:val="en-IN"/>
              </w:rPr>
              <w:t>National Seed Delivery Systems (NSDS) and National Agricultural Extension Systems (NAES) are delivering and promoting GLDC technologies at scale</w:t>
            </w:r>
          </w:p>
        </w:tc>
        <w:tc>
          <w:tcPr>
            <w:tcW w:w="2268" w:type="dxa"/>
          </w:tcPr>
          <w:p w14:paraId="49472FC8" w14:textId="77777777" w:rsidR="0023008B" w:rsidRPr="00457A20" w:rsidRDefault="0023008B" w:rsidP="00DE1C09">
            <w:pPr>
              <w:rPr>
                <w:rFonts w:cstheme="minorHAnsi"/>
                <w:sz w:val="19"/>
                <w:szCs w:val="19"/>
              </w:rPr>
            </w:pPr>
            <w:r w:rsidRPr="00457A20">
              <w:rPr>
                <w:rFonts w:cstheme="minorHAnsi"/>
                <w:sz w:val="19"/>
                <w:szCs w:val="19"/>
              </w:rPr>
              <w:t>Precondition</w:t>
            </w:r>
          </w:p>
        </w:tc>
        <w:tc>
          <w:tcPr>
            <w:tcW w:w="2126" w:type="dxa"/>
          </w:tcPr>
          <w:p w14:paraId="4B00E5B8" w14:textId="77777777" w:rsidR="0023008B" w:rsidRPr="00457A20" w:rsidRDefault="0023008B" w:rsidP="00DE1C09">
            <w:pPr>
              <w:rPr>
                <w:rFonts w:cstheme="minorHAnsi"/>
                <w:sz w:val="19"/>
                <w:szCs w:val="19"/>
              </w:rPr>
            </w:pPr>
            <w:r w:rsidRPr="00457A20">
              <w:rPr>
                <w:rFonts w:cstheme="minorHAnsi"/>
                <w:sz w:val="19"/>
                <w:szCs w:val="19"/>
              </w:rPr>
              <w:t xml:space="preserve">D1 National partners &amp; beneficiaries enabled </w:t>
            </w:r>
          </w:p>
        </w:tc>
      </w:tr>
      <w:tr w:rsidR="0023008B" w:rsidRPr="00D21BBF" w14:paraId="1999E21D" w14:textId="77777777" w:rsidTr="00DE1C09">
        <w:tc>
          <w:tcPr>
            <w:tcW w:w="1545" w:type="dxa"/>
          </w:tcPr>
          <w:p w14:paraId="628BBE42"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Enabling environment</w:t>
            </w:r>
          </w:p>
        </w:tc>
        <w:tc>
          <w:tcPr>
            <w:tcW w:w="3685" w:type="dxa"/>
          </w:tcPr>
          <w:p w14:paraId="260EDFB1" w14:textId="77777777" w:rsidR="0023008B" w:rsidRPr="00457A20" w:rsidRDefault="0023008B" w:rsidP="00DE1C09">
            <w:pPr>
              <w:rPr>
                <w:rFonts w:cstheme="minorHAnsi"/>
                <w:sz w:val="19"/>
                <w:szCs w:val="19"/>
              </w:rPr>
            </w:pPr>
            <w:r w:rsidRPr="00457A20">
              <w:rPr>
                <w:rFonts w:cstheme="minorHAnsi"/>
                <w:bCs/>
                <w:sz w:val="19"/>
                <w:szCs w:val="19"/>
                <w:lang w:val="en-IN"/>
              </w:rPr>
              <w:t xml:space="preserve">Potential policy and institutional barriers affecting the successful scaling of GLDC technologies have been assessed and (as relevant) mitigated, e.g. via stakeholder engagement </w:t>
            </w:r>
          </w:p>
        </w:tc>
        <w:tc>
          <w:tcPr>
            <w:tcW w:w="2268" w:type="dxa"/>
          </w:tcPr>
          <w:p w14:paraId="23A84A7E" w14:textId="77777777" w:rsidR="0023008B" w:rsidRPr="00457A20" w:rsidRDefault="0023008B" w:rsidP="00DE1C09">
            <w:pPr>
              <w:rPr>
                <w:rFonts w:cstheme="minorHAnsi"/>
                <w:sz w:val="19"/>
                <w:szCs w:val="19"/>
              </w:rPr>
            </w:pPr>
            <w:r w:rsidRPr="00457A20">
              <w:rPr>
                <w:rFonts w:cstheme="minorHAnsi"/>
                <w:sz w:val="19"/>
                <w:szCs w:val="19"/>
              </w:rPr>
              <w:t>Precondition</w:t>
            </w:r>
          </w:p>
        </w:tc>
        <w:tc>
          <w:tcPr>
            <w:tcW w:w="2126" w:type="dxa"/>
          </w:tcPr>
          <w:p w14:paraId="0A3E784D" w14:textId="77777777" w:rsidR="0023008B" w:rsidRPr="00457A20" w:rsidRDefault="0023008B" w:rsidP="00DE1C09">
            <w:pPr>
              <w:rPr>
                <w:rFonts w:cstheme="minorHAnsi"/>
                <w:sz w:val="19"/>
                <w:szCs w:val="19"/>
              </w:rPr>
            </w:pPr>
            <w:r w:rsidRPr="00457A20">
              <w:rPr>
                <w:rFonts w:cstheme="minorHAnsi"/>
                <w:sz w:val="19"/>
                <w:szCs w:val="19"/>
              </w:rPr>
              <w:t>C1 Enabling environment improved</w:t>
            </w:r>
          </w:p>
        </w:tc>
      </w:tr>
      <w:tr w:rsidR="0023008B" w:rsidRPr="00D21BBF" w14:paraId="1C332FA9" w14:textId="77777777" w:rsidTr="00DE1C09">
        <w:tc>
          <w:tcPr>
            <w:tcW w:w="1545" w:type="dxa"/>
          </w:tcPr>
          <w:p w14:paraId="3F843898"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Adoption</w:t>
            </w:r>
          </w:p>
        </w:tc>
        <w:tc>
          <w:tcPr>
            <w:tcW w:w="3685" w:type="dxa"/>
          </w:tcPr>
          <w:p w14:paraId="4E7BF2B0" w14:textId="77777777" w:rsidR="0023008B" w:rsidRPr="00457A20" w:rsidRDefault="0023008B" w:rsidP="00DE1C09">
            <w:pPr>
              <w:rPr>
                <w:rFonts w:cstheme="minorHAnsi"/>
                <w:sz w:val="19"/>
                <w:szCs w:val="19"/>
              </w:rPr>
            </w:pPr>
            <w:r w:rsidRPr="00457A20">
              <w:rPr>
                <w:rFonts w:cstheme="minorHAnsi"/>
                <w:bCs/>
                <w:sz w:val="19"/>
                <w:szCs w:val="19"/>
                <w:lang w:val="en-IN"/>
              </w:rPr>
              <w:t xml:space="preserve">Large numbers of smallholders are sustainably </w:t>
            </w:r>
            <w:proofErr w:type="spellStart"/>
            <w:r w:rsidRPr="00457A20">
              <w:rPr>
                <w:rFonts w:cstheme="minorHAnsi"/>
                <w:bCs/>
                <w:sz w:val="19"/>
                <w:szCs w:val="19"/>
                <w:lang w:val="en-IN"/>
              </w:rPr>
              <w:t>uptaking</w:t>
            </w:r>
            <w:proofErr w:type="spellEnd"/>
            <w:r w:rsidRPr="00457A20">
              <w:rPr>
                <w:rFonts w:cstheme="minorHAnsi"/>
                <w:bCs/>
                <w:sz w:val="19"/>
                <w:szCs w:val="19"/>
                <w:lang w:val="en-IN"/>
              </w:rPr>
              <w:t xml:space="preserve"> and making effective use of ‘best fit’ and impactful GLDC technologies </w:t>
            </w:r>
          </w:p>
        </w:tc>
        <w:tc>
          <w:tcPr>
            <w:tcW w:w="2268" w:type="dxa"/>
          </w:tcPr>
          <w:p w14:paraId="041A311E" w14:textId="77777777" w:rsidR="0023008B" w:rsidRPr="00457A20" w:rsidRDefault="0023008B" w:rsidP="00DE1C09">
            <w:pPr>
              <w:pStyle w:val="ListParagraph"/>
              <w:numPr>
                <w:ilvl w:val="0"/>
                <w:numId w:val="7"/>
              </w:numPr>
              <w:ind w:left="177" w:hanging="177"/>
              <w:rPr>
                <w:rFonts w:cstheme="minorHAnsi"/>
                <w:sz w:val="19"/>
                <w:szCs w:val="19"/>
              </w:rPr>
            </w:pPr>
            <w:r w:rsidRPr="00457A20">
              <w:rPr>
                <w:rFonts w:cstheme="minorHAnsi"/>
                <w:sz w:val="19"/>
                <w:szCs w:val="19"/>
              </w:rPr>
              <w:t>8.9M farm households have adopted improved GLDC varieties</w:t>
            </w:r>
          </w:p>
        </w:tc>
        <w:tc>
          <w:tcPr>
            <w:tcW w:w="2126" w:type="dxa"/>
          </w:tcPr>
          <w:p w14:paraId="7BDB03F1" w14:textId="77777777" w:rsidR="0023008B" w:rsidRPr="00457A20" w:rsidRDefault="0023008B" w:rsidP="00DE1C09">
            <w:pPr>
              <w:rPr>
                <w:rFonts w:cstheme="minorHAnsi"/>
                <w:sz w:val="19"/>
                <w:szCs w:val="19"/>
              </w:rPr>
            </w:pPr>
          </w:p>
        </w:tc>
      </w:tr>
      <w:tr w:rsidR="0023008B" w:rsidRPr="00D21BBF" w14:paraId="3DE2736E" w14:textId="77777777" w:rsidTr="00DE1C09">
        <w:tc>
          <w:tcPr>
            <w:tcW w:w="1545" w:type="dxa"/>
          </w:tcPr>
          <w:p w14:paraId="72B82AA7"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Diets</w:t>
            </w:r>
          </w:p>
        </w:tc>
        <w:tc>
          <w:tcPr>
            <w:tcW w:w="3685" w:type="dxa"/>
          </w:tcPr>
          <w:p w14:paraId="1E4934B8" w14:textId="77777777" w:rsidR="0023008B" w:rsidRPr="00457A20" w:rsidRDefault="0023008B" w:rsidP="00DE1C09">
            <w:pPr>
              <w:rPr>
                <w:rFonts w:cstheme="minorHAnsi"/>
                <w:sz w:val="19"/>
                <w:szCs w:val="19"/>
              </w:rPr>
            </w:pPr>
            <w:r w:rsidRPr="00457A20">
              <w:rPr>
                <w:rFonts w:cstheme="minorHAnsi"/>
                <w:bCs/>
                <w:sz w:val="19"/>
                <w:szCs w:val="19"/>
                <w:lang w:val="en-IN"/>
              </w:rPr>
              <w:t>GLDC improved crop varieties are being widely consumed (by producers and/or other consumers), which, in turn, is leading to improved nutritional outcomes, especially women and children and women of reproductive age</w:t>
            </w:r>
          </w:p>
        </w:tc>
        <w:tc>
          <w:tcPr>
            <w:tcW w:w="2268" w:type="dxa"/>
          </w:tcPr>
          <w:p w14:paraId="7978279E" w14:textId="77777777" w:rsidR="0023008B" w:rsidRPr="00457A20" w:rsidRDefault="0023008B" w:rsidP="00DE1C09">
            <w:pPr>
              <w:pStyle w:val="ListParagraph"/>
              <w:numPr>
                <w:ilvl w:val="0"/>
                <w:numId w:val="6"/>
              </w:numPr>
              <w:ind w:left="177" w:hanging="177"/>
              <w:rPr>
                <w:rFonts w:cstheme="minorHAnsi"/>
                <w:sz w:val="19"/>
                <w:szCs w:val="19"/>
              </w:rPr>
            </w:pPr>
            <w:r w:rsidRPr="00457A20">
              <w:rPr>
                <w:rFonts w:cstheme="minorHAnsi"/>
                <w:sz w:val="19"/>
                <w:szCs w:val="19"/>
              </w:rPr>
              <w:t>12.7M (50% women) assisted to meet minimum dietary energy requirements</w:t>
            </w:r>
          </w:p>
          <w:p w14:paraId="17B36D58" w14:textId="77777777" w:rsidR="0023008B" w:rsidRPr="00457A20" w:rsidRDefault="0023008B" w:rsidP="00DE1C09">
            <w:pPr>
              <w:pStyle w:val="ListParagraph"/>
              <w:numPr>
                <w:ilvl w:val="0"/>
                <w:numId w:val="6"/>
              </w:numPr>
              <w:ind w:left="177" w:hanging="177"/>
              <w:rPr>
                <w:rFonts w:cstheme="minorHAnsi"/>
                <w:sz w:val="19"/>
                <w:szCs w:val="19"/>
              </w:rPr>
            </w:pPr>
            <w:r w:rsidRPr="00457A20">
              <w:rPr>
                <w:rFonts w:cstheme="minorHAnsi"/>
                <w:sz w:val="19"/>
                <w:szCs w:val="19"/>
              </w:rPr>
              <w:t>28.9M (50 % women) assisted to meet daily protein dietary requirements.</w:t>
            </w:r>
          </w:p>
          <w:p w14:paraId="35A46424" w14:textId="77777777" w:rsidR="0023008B" w:rsidRPr="00457A20" w:rsidRDefault="0023008B" w:rsidP="00DE1C09">
            <w:pPr>
              <w:pStyle w:val="ListParagraph"/>
              <w:numPr>
                <w:ilvl w:val="0"/>
                <w:numId w:val="6"/>
              </w:numPr>
              <w:ind w:left="177" w:hanging="177"/>
              <w:rPr>
                <w:rFonts w:cstheme="minorHAnsi"/>
                <w:sz w:val="19"/>
                <w:szCs w:val="19"/>
              </w:rPr>
            </w:pPr>
            <w:r w:rsidRPr="00457A20">
              <w:rPr>
                <w:rFonts w:cstheme="minorHAnsi"/>
                <w:sz w:val="19"/>
                <w:szCs w:val="19"/>
              </w:rPr>
              <w:t>7.5M women of reproductive age assisted to meet daily protein dietary requirements</w:t>
            </w:r>
          </w:p>
        </w:tc>
        <w:tc>
          <w:tcPr>
            <w:tcW w:w="2126" w:type="dxa"/>
          </w:tcPr>
          <w:p w14:paraId="7EA292B0" w14:textId="77777777" w:rsidR="0023008B" w:rsidRPr="00457A20" w:rsidRDefault="0023008B" w:rsidP="00DE1C09">
            <w:pPr>
              <w:rPr>
                <w:rFonts w:cstheme="minorHAnsi"/>
                <w:sz w:val="19"/>
                <w:szCs w:val="19"/>
              </w:rPr>
            </w:pPr>
            <w:r w:rsidRPr="00457A20">
              <w:rPr>
                <w:rFonts w:cstheme="minorHAnsi"/>
                <w:sz w:val="19"/>
                <w:szCs w:val="19"/>
              </w:rPr>
              <w:t>2.1 Improved diets for poor and vulnerable people</w:t>
            </w:r>
          </w:p>
        </w:tc>
      </w:tr>
      <w:tr w:rsidR="0023008B" w:rsidRPr="00D21BBF" w14:paraId="3D90E0EB" w14:textId="77777777" w:rsidTr="00DE1C09">
        <w:tc>
          <w:tcPr>
            <w:tcW w:w="1545" w:type="dxa"/>
          </w:tcPr>
          <w:p w14:paraId="337328CA"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Productivity &amp; profits</w:t>
            </w:r>
          </w:p>
        </w:tc>
        <w:tc>
          <w:tcPr>
            <w:tcW w:w="3685" w:type="dxa"/>
          </w:tcPr>
          <w:p w14:paraId="63F0A173" w14:textId="77777777" w:rsidR="0023008B" w:rsidRPr="00457A20" w:rsidRDefault="0023008B" w:rsidP="00DE1C09">
            <w:pPr>
              <w:rPr>
                <w:rFonts w:cstheme="minorHAnsi"/>
                <w:sz w:val="19"/>
                <w:szCs w:val="19"/>
              </w:rPr>
            </w:pPr>
            <w:r w:rsidRPr="00457A20">
              <w:rPr>
                <w:rFonts w:cstheme="minorHAnsi"/>
                <w:bCs/>
                <w:sz w:val="19"/>
                <w:szCs w:val="19"/>
                <w:lang w:val="en-IN"/>
              </w:rPr>
              <w:t xml:space="preserve">The uptake of GLDC technologies is leading to enhanced farm productivity and/or efficiency, resulting in greater net returns for varying typologies </w:t>
            </w:r>
            <w:r w:rsidRPr="00457A20">
              <w:rPr>
                <w:rFonts w:cstheme="minorHAnsi"/>
                <w:bCs/>
                <w:sz w:val="19"/>
                <w:szCs w:val="19"/>
              </w:rPr>
              <w:t xml:space="preserve">of </w:t>
            </w:r>
            <w:r w:rsidRPr="00457A20">
              <w:rPr>
                <w:rFonts w:cstheme="minorHAnsi"/>
                <w:bCs/>
                <w:sz w:val="19"/>
                <w:szCs w:val="19"/>
                <w:lang w:val="en-IN"/>
              </w:rPr>
              <w:t>farming households</w:t>
            </w:r>
          </w:p>
        </w:tc>
        <w:tc>
          <w:tcPr>
            <w:tcW w:w="2268" w:type="dxa"/>
          </w:tcPr>
          <w:p w14:paraId="216EB157" w14:textId="77777777" w:rsidR="0023008B" w:rsidRPr="00457A20" w:rsidRDefault="0023008B" w:rsidP="00DE1C09">
            <w:pPr>
              <w:pStyle w:val="ListParagraph"/>
              <w:numPr>
                <w:ilvl w:val="0"/>
                <w:numId w:val="8"/>
              </w:numPr>
              <w:ind w:left="177" w:hanging="177"/>
              <w:rPr>
                <w:rFonts w:cstheme="minorHAnsi"/>
                <w:sz w:val="19"/>
                <w:szCs w:val="19"/>
              </w:rPr>
            </w:pPr>
            <w:r w:rsidRPr="00457A20">
              <w:rPr>
                <w:rFonts w:cstheme="minorHAnsi"/>
                <w:sz w:val="19"/>
                <w:szCs w:val="19"/>
              </w:rPr>
              <w:t>1.2%/year rate of yield increase for GLDC crops</w:t>
            </w:r>
          </w:p>
          <w:p w14:paraId="4E8BE81A" w14:textId="77777777" w:rsidR="0023008B" w:rsidRPr="00457A20" w:rsidRDefault="0023008B" w:rsidP="00DE1C09">
            <w:pPr>
              <w:pStyle w:val="ListParagraph"/>
              <w:numPr>
                <w:ilvl w:val="0"/>
                <w:numId w:val="8"/>
              </w:numPr>
              <w:ind w:left="177" w:hanging="177"/>
              <w:rPr>
                <w:rFonts w:cstheme="minorHAnsi"/>
                <w:sz w:val="19"/>
                <w:szCs w:val="19"/>
              </w:rPr>
            </w:pPr>
            <w:r w:rsidRPr="00457A20">
              <w:rPr>
                <w:rFonts w:cstheme="minorHAnsi"/>
                <w:sz w:val="19"/>
                <w:szCs w:val="19"/>
              </w:rPr>
              <w:t>4.4M people assisted to exit poverty (50% women)</w:t>
            </w:r>
          </w:p>
        </w:tc>
        <w:tc>
          <w:tcPr>
            <w:tcW w:w="2126" w:type="dxa"/>
          </w:tcPr>
          <w:p w14:paraId="6853FBD1" w14:textId="77777777" w:rsidR="0023008B" w:rsidRPr="00457A20" w:rsidRDefault="0023008B" w:rsidP="00DE1C09">
            <w:pPr>
              <w:rPr>
                <w:rFonts w:cstheme="minorHAnsi"/>
                <w:sz w:val="19"/>
                <w:szCs w:val="19"/>
              </w:rPr>
            </w:pPr>
            <w:r w:rsidRPr="00457A20">
              <w:rPr>
                <w:rFonts w:cstheme="minorHAnsi"/>
                <w:sz w:val="19"/>
                <w:szCs w:val="19"/>
              </w:rPr>
              <w:t>1.3 Increased incomes and employment</w:t>
            </w:r>
          </w:p>
          <w:p w14:paraId="78F080FA" w14:textId="77777777" w:rsidR="0023008B" w:rsidRPr="00457A20" w:rsidRDefault="0023008B" w:rsidP="00DE1C09">
            <w:pPr>
              <w:rPr>
                <w:rFonts w:cstheme="minorHAnsi"/>
                <w:sz w:val="19"/>
                <w:szCs w:val="19"/>
              </w:rPr>
            </w:pPr>
            <w:r w:rsidRPr="00457A20">
              <w:rPr>
                <w:rFonts w:cstheme="minorHAnsi"/>
                <w:sz w:val="19"/>
                <w:szCs w:val="19"/>
              </w:rPr>
              <w:t>1.4 Increased productivity</w:t>
            </w:r>
          </w:p>
        </w:tc>
      </w:tr>
      <w:tr w:rsidR="0023008B" w:rsidRPr="00D21BBF" w14:paraId="2A40B552" w14:textId="77777777" w:rsidTr="00DE1C09">
        <w:tc>
          <w:tcPr>
            <w:tcW w:w="1545" w:type="dxa"/>
          </w:tcPr>
          <w:p w14:paraId="7A117900" w14:textId="77777777" w:rsidR="0023008B" w:rsidRPr="00457A20" w:rsidRDefault="0023008B" w:rsidP="00457A20">
            <w:pPr>
              <w:pStyle w:val="ListParagraph"/>
              <w:numPr>
                <w:ilvl w:val="0"/>
                <w:numId w:val="5"/>
              </w:numPr>
              <w:ind w:left="305" w:hanging="284"/>
              <w:rPr>
                <w:rFonts w:cstheme="minorHAnsi"/>
                <w:sz w:val="19"/>
                <w:szCs w:val="19"/>
              </w:rPr>
            </w:pPr>
            <w:r w:rsidRPr="00457A20">
              <w:rPr>
                <w:rFonts w:cstheme="minorHAnsi"/>
                <w:sz w:val="19"/>
                <w:szCs w:val="19"/>
              </w:rPr>
              <w:t xml:space="preserve">NRM &amp; resilience </w:t>
            </w:r>
          </w:p>
        </w:tc>
        <w:tc>
          <w:tcPr>
            <w:tcW w:w="3685" w:type="dxa"/>
          </w:tcPr>
          <w:p w14:paraId="0B5BE8D8" w14:textId="77777777" w:rsidR="0023008B" w:rsidRPr="00457A20" w:rsidRDefault="0023008B" w:rsidP="00DE1C09">
            <w:pPr>
              <w:rPr>
                <w:rFonts w:cstheme="minorHAnsi"/>
                <w:sz w:val="19"/>
                <w:szCs w:val="19"/>
              </w:rPr>
            </w:pPr>
            <w:r w:rsidRPr="00457A20">
              <w:rPr>
                <w:rFonts w:cstheme="minorHAnsi"/>
                <w:bCs/>
                <w:sz w:val="19"/>
                <w:szCs w:val="19"/>
                <w:lang w:val="en-IN"/>
              </w:rPr>
              <w:t>The uptake of GLDC improved technologies is improving the management of natural resources (e.g. by improving soil fertility, carbon sequestration, and water use efficiency) and farming system resilience (e.g. via integration of more drought tolerant crops)</w:t>
            </w:r>
          </w:p>
        </w:tc>
        <w:tc>
          <w:tcPr>
            <w:tcW w:w="2268" w:type="dxa"/>
          </w:tcPr>
          <w:p w14:paraId="6000530D" w14:textId="77777777" w:rsidR="0023008B" w:rsidRPr="00457A20" w:rsidRDefault="0023008B" w:rsidP="00DE1C09">
            <w:pPr>
              <w:pStyle w:val="ListParagraph"/>
              <w:numPr>
                <w:ilvl w:val="0"/>
                <w:numId w:val="9"/>
              </w:numPr>
              <w:ind w:left="177" w:hanging="177"/>
              <w:rPr>
                <w:rFonts w:cstheme="minorHAnsi"/>
                <w:sz w:val="19"/>
                <w:szCs w:val="19"/>
              </w:rPr>
            </w:pPr>
            <w:r w:rsidRPr="00457A20">
              <w:rPr>
                <w:rFonts w:cstheme="minorHAnsi"/>
                <w:sz w:val="19"/>
                <w:szCs w:val="19"/>
              </w:rPr>
              <w:t>4.9M tons of cumulative carbon input to soils from increased GLDC productivity</w:t>
            </w:r>
          </w:p>
          <w:p w14:paraId="077EF67D" w14:textId="77777777" w:rsidR="0023008B" w:rsidRPr="00457A20" w:rsidRDefault="0023008B" w:rsidP="00DE1C09">
            <w:pPr>
              <w:rPr>
                <w:rFonts w:cstheme="minorHAnsi"/>
                <w:sz w:val="19"/>
                <w:szCs w:val="19"/>
              </w:rPr>
            </w:pPr>
          </w:p>
        </w:tc>
        <w:tc>
          <w:tcPr>
            <w:tcW w:w="2126" w:type="dxa"/>
          </w:tcPr>
          <w:p w14:paraId="2CC2C7F1" w14:textId="77777777" w:rsidR="0023008B" w:rsidRPr="00457A20" w:rsidRDefault="0023008B" w:rsidP="00DE1C09">
            <w:pPr>
              <w:rPr>
                <w:rFonts w:cstheme="minorHAnsi"/>
                <w:sz w:val="19"/>
                <w:szCs w:val="19"/>
              </w:rPr>
            </w:pPr>
            <w:r w:rsidRPr="00457A20">
              <w:rPr>
                <w:rFonts w:cstheme="minorHAnsi"/>
                <w:sz w:val="19"/>
                <w:szCs w:val="19"/>
              </w:rPr>
              <w:t>1.1 Increased resilience of the poor to climate change and other shocks</w:t>
            </w:r>
          </w:p>
          <w:p w14:paraId="477D3AAC" w14:textId="77777777" w:rsidR="0023008B" w:rsidRPr="00457A20" w:rsidRDefault="0023008B" w:rsidP="00DE1C09">
            <w:pPr>
              <w:rPr>
                <w:rFonts w:cstheme="minorHAnsi"/>
                <w:sz w:val="19"/>
                <w:szCs w:val="19"/>
              </w:rPr>
            </w:pPr>
            <w:r w:rsidRPr="00457A20">
              <w:rPr>
                <w:rFonts w:cstheme="minorHAnsi"/>
                <w:sz w:val="19"/>
                <w:szCs w:val="19"/>
              </w:rPr>
              <w:t xml:space="preserve">3.3 More sustainably managed </w:t>
            </w:r>
            <w:proofErr w:type="spellStart"/>
            <w:r w:rsidRPr="00457A20">
              <w:rPr>
                <w:rFonts w:cstheme="minorHAnsi"/>
                <w:sz w:val="19"/>
                <w:szCs w:val="19"/>
              </w:rPr>
              <w:t>agro</w:t>
            </w:r>
            <w:proofErr w:type="spellEnd"/>
            <w:r w:rsidRPr="00457A20">
              <w:rPr>
                <w:rFonts w:cstheme="minorHAnsi"/>
                <w:sz w:val="19"/>
                <w:szCs w:val="19"/>
              </w:rPr>
              <w:t>-ecosystems</w:t>
            </w:r>
          </w:p>
        </w:tc>
      </w:tr>
    </w:tbl>
    <w:p w14:paraId="0F8D8B82" w14:textId="77777777" w:rsidR="0023008B" w:rsidRDefault="0023008B" w:rsidP="00911081">
      <w:pPr>
        <w:spacing w:after="0" w:line="240" w:lineRule="auto"/>
        <w:jc w:val="both"/>
        <w:rPr>
          <w:rFonts w:ascii="Arial" w:hAnsi="Arial" w:cs="Arial"/>
        </w:rPr>
      </w:pPr>
    </w:p>
    <w:p w14:paraId="4090F2AC" w14:textId="13BA8FB9" w:rsidR="00180404" w:rsidRDefault="00180404" w:rsidP="00911081">
      <w:pPr>
        <w:spacing w:after="0" w:line="240" w:lineRule="auto"/>
        <w:jc w:val="both"/>
        <w:rPr>
          <w:rFonts w:ascii="Arial" w:hAnsi="Arial" w:cs="Arial"/>
        </w:rPr>
      </w:pPr>
    </w:p>
    <w:p w14:paraId="3B69ABD3" w14:textId="16EA2FD3" w:rsidR="00092577" w:rsidRPr="00092577" w:rsidRDefault="00004A17" w:rsidP="00911081">
      <w:pPr>
        <w:spacing w:after="0" w:line="240" w:lineRule="auto"/>
        <w:jc w:val="both"/>
        <w:rPr>
          <w:rFonts w:cstheme="minorHAnsi"/>
        </w:rPr>
      </w:pPr>
      <w:r w:rsidRPr="00092577">
        <w:rPr>
          <w:rFonts w:cstheme="minorHAnsi"/>
        </w:rPr>
        <w:lastRenderedPageBreak/>
        <w:t xml:space="preserve">As indicted in the next section, </w:t>
      </w:r>
      <w:r w:rsidR="00C65ACE" w:rsidRPr="00092577">
        <w:rPr>
          <w:rFonts w:cstheme="minorHAnsi"/>
        </w:rPr>
        <w:t xml:space="preserve">a fairly large number of GLDC crop adoption studies </w:t>
      </w:r>
      <w:r w:rsidR="000E1EF3" w:rsidRPr="00092577">
        <w:rPr>
          <w:rFonts w:cstheme="minorHAnsi"/>
        </w:rPr>
        <w:t xml:space="preserve">have already been undertaken, are in progress, </w:t>
      </w:r>
      <w:r w:rsidR="00AB318E" w:rsidRPr="00092577">
        <w:rPr>
          <w:rFonts w:cstheme="minorHAnsi"/>
        </w:rPr>
        <w:t>or</w:t>
      </w:r>
      <w:r w:rsidR="000E1EF3" w:rsidRPr="00092577">
        <w:rPr>
          <w:rFonts w:cstheme="minorHAnsi"/>
        </w:rPr>
        <w:t xml:space="preserve"> are planned. This evidence will b</w:t>
      </w:r>
      <w:r w:rsidR="008A0E89" w:rsidRPr="00092577">
        <w:rPr>
          <w:rFonts w:cstheme="minorHAnsi"/>
        </w:rPr>
        <w:t>e synthesized and made use of heavily</w:t>
      </w:r>
      <w:r w:rsidR="0092092A" w:rsidRPr="00092577">
        <w:rPr>
          <w:rFonts w:cstheme="minorHAnsi"/>
        </w:rPr>
        <w:t xml:space="preserve"> in the strategy’s execution</w:t>
      </w:r>
      <w:r w:rsidR="008A0E89" w:rsidRPr="00092577">
        <w:rPr>
          <w:rFonts w:cstheme="minorHAnsi"/>
        </w:rPr>
        <w:t xml:space="preserve">. However, there </w:t>
      </w:r>
      <w:r w:rsidR="00D5001C" w:rsidRPr="00092577">
        <w:rPr>
          <w:rFonts w:cstheme="minorHAnsi"/>
        </w:rPr>
        <w:t xml:space="preserve">are gaps, e.g. </w:t>
      </w:r>
      <w:r w:rsidR="00EB4332" w:rsidRPr="00092577">
        <w:rPr>
          <w:rFonts w:cstheme="minorHAnsi"/>
        </w:rPr>
        <w:t>the adoption of GLDC management practices</w:t>
      </w:r>
      <w:r w:rsidR="007A420C">
        <w:rPr>
          <w:rFonts w:cstheme="minorHAnsi"/>
        </w:rPr>
        <w:t xml:space="preserve"> or the consumption of GLDC crops</w:t>
      </w:r>
      <w:r w:rsidR="00EB4332" w:rsidRPr="00092577">
        <w:rPr>
          <w:rFonts w:cstheme="minorHAnsi"/>
        </w:rPr>
        <w:t>, so several additional adoption studies are also needed</w:t>
      </w:r>
      <w:r w:rsidR="006F69F7" w:rsidRPr="00092577">
        <w:rPr>
          <w:rFonts w:cstheme="minorHAnsi"/>
        </w:rPr>
        <w:t>. The</w:t>
      </w:r>
      <w:r w:rsidR="0094049B" w:rsidRPr="00092577">
        <w:rPr>
          <w:rFonts w:cstheme="minorHAnsi"/>
        </w:rPr>
        <w:t xml:space="preserve"> collection of the</w:t>
      </w:r>
      <w:r w:rsidR="003F0442" w:rsidRPr="00092577">
        <w:rPr>
          <w:rFonts w:cstheme="minorHAnsi"/>
        </w:rPr>
        <w:t xml:space="preserve">se additional adoption </w:t>
      </w:r>
      <w:r w:rsidR="0094049B" w:rsidRPr="00092577">
        <w:rPr>
          <w:rFonts w:cstheme="minorHAnsi"/>
        </w:rPr>
        <w:t xml:space="preserve">data will be integrated as part of the execution </w:t>
      </w:r>
      <w:r w:rsidR="00EB4332" w:rsidRPr="00092577">
        <w:rPr>
          <w:rFonts w:cstheme="minorHAnsi"/>
        </w:rPr>
        <w:t xml:space="preserve">the </w:t>
      </w:r>
      <w:r w:rsidR="00ED7160" w:rsidRPr="00092577">
        <w:rPr>
          <w:rFonts w:cstheme="minorHAnsi"/>
        </w:rPr>
        <w:t>abovementioned</w:t>
      </w:r>
      <w:r w:rsidR="00EB4332" w:rsidRPr="00092577">
        <w:rPr>
          <w:rFonts w:cstheme="minorHAnsi"/>
        </w:rPr>
        <w:t xml:space="preserve"> set of</w:t>
      </w:r>
      <w:r w:rsidR="00ED7160" w:rsidRPr="00092577">
        <w:rPr>
          <w:rFonts w:cstheme="minorHAnsi"/>
        </w:rPr>
        <w:t xml:space="preserve"> ‘strategically focused’ impact studies.</w:t>
      </w:r>
      <w:r w:rsidR="0094049B" w:rsidRPr="00092577">
        <w:rPr>
          <w:rFonts w:cstheme="minorHAnsi"/>
        </w:rPr>
        <w:t xml:space="preserve"> </w:t>
      </w:r>
    </w:p>
    <w:p w14:paraId="52676D48" w14:textId="77777777" w:rsidR="00092577" w:rsidRPr="00092577" w:rsidRDefault="00092577" w:rsidP="00911081">
      <w:pPr>
        <w:spacing w:after="0" w:line="240" w:lineRule="auto"/>
        <w:jc w:val="both"/>
        <w:rPr>
          <w:rFonts w:cstheme="minorHAnsi"/>
        </w:rPr>
      </w:pPr>
    </w:p>
    <w:p w14:paraId="77285A82" w14:textId="35D9571B" w:rsidR="00180404" w:rsidRPr="00092577" w:rsidRDefault="0094049B" w:rsidP="00911081">
      <w:pPr>
        <w:spacing w:after="0" w:line="240" w:lineRule="auto"/>
        <w:jc w:val="both"/>
        <w:rPr>
          <w:rFonts w:cstheme="minorHAnsi"/>
        </w:rPr>
      </w:pPr>
      <w:r w:rsidRPr="00092577">
        <w:rPr>
          <w:rFonts w:cstheme="minorHAnsi"/>
        </w:rPr>
        <w:t>Moreover</w:t>
      </w:r>
      <w:r w:rsidR="007E1B15" w:rsidRPr="00092577">
        <w:rPr>
          <w:rFonts w:cstheme="minorHAnsi"/>
        </w:rPr>
        <w:t xml:space="preserve">, we plan to </w:t>
      </w:r>
      <w:r w:rsidR="00B67ECA" w:rsidRPr="00092577">
        <w:rPr>
          <w:rFonts w:cstheme="minorHAnsi"/>
        </w:rPr>
        <w:t xml:space="preserve">indirectly estimate the scale of adoption through more accessible </w:t>
      </w:r>
      <w:r w:rsidR="00DA68BF" w:rsidRPr="00092577">
        <w:rPr>
          <w:rFonts w:cstheme="minorHAnsi"/>
        </w:rPr>
        <w:t>seed delivery dat</w:t>
      </w:r>
      <w:r w:rsidR="00C77C9C" w:rsidRPr="00092577">
        <w:rPr>
          <w:rFonts w:cstheme="minorHAnsi"/>
        </w:rPr>
        <w:t xml:space="preserve">a, coupled with evidence of its demand. </w:t>
      </w:r>
      <w:r w:rsidR="00E67011">
        <w:rPr>
          <w:rFonts w:cstheme="minorHAnsi"/>
        </w:rPr>
        <w:t xml:space="preserve">If we know that x number of </w:t>
      </w:r>
      <w:r w:rsidR="00476AFF">
        <w:rPr>
          <w:rFonts w:cstheme="minorHAnsi"/>
        </w:rPr>
        <w:t xml:space="preserve">tons of seed are being distributed and/or sold, combined with insights on demand and </w:t>
      </w:r>
      <w:r w:rsidR="00B25EA1">
        <w:rPr>
          <w:rFonts w:cstheme="minorHAnsi"/>
        </w:rPr>
        <w:t xml:space="preserve">approximate quantity </w:t>
      </w:r>
      <w:r w:rsidR="004B3844">
        <w:rPr>
          <w:rFonts w:cstheme="minorHAnsi"/>
        </w:rPr>
        <w:t xml:space="preserve">utilized per household, reasonable adoption estimates should be possible. </w:t>
      </w:r>
      <w:r w:rsidR="003B67DE">
        <w:rPr>
          <w:rFonts w:cstheme="minorHAnsi"/>
        </w:rPr>
        <w:t xml:space="preserve">Given that </w:t>
      </w:r>
      <w:r w:rsidR="009A1257">
        <w:rPr>
          <w:rFonts w:cstheme="minorHAnsi"/>
        </w:rPr>
        <w:t>GLDC is a</w:t>
      </w:r>
      <w:r w:rsidR="007A420C">
        <w:rPr>
          <w:rFonts w:cstheme="minorHAnsi"/>
        </w:rPr>
        <w:t>n</w:t>
      </w:r>
      <w:r w:rsidR="009A1257">
        <w:rPr>
          <w:rFonts w:cstheme="minorHAnsi"/>
        </w:rPr>
        <w:t xml:space="preserve"> agri-food systems CRP, </w:t>
      </w:r>
      <w:r w:rsidR="004F5E12">
        <w:rPr>
          <w:rFonts w:cstheme="minorHAnsi"/>
        </w:rPr>
        <w:t xml:space="preserve">evidence on the extent to which the program is creating an enabling environment </w:t>
      </w:r>
      <w:proofErr w:type="gramStart"/>
      <w:r w:rsidR="005A7AF1">
        <w:rPr>
          <w:rFonts w:cstheme="minorHAnsi"/>
        </w:rPr>
        <w:t>in order for</w:t>
      </w:r>
      <w:proofErr w:type="gramEnd"/>
      <w:r w:rsidR="005A7AF1">
        <w:rPr>
          <w:rFonts w:cstheme="minorHAnsi"/>
        </w:rPr>
        <w:t xml:space="preserve"> the large-scale adoption and, in turn, impact </w:t>
      </w:r>
      <w:r w:rsidR="00436280">
        <w:rPr>
          <w:rFonts w:cstheme="minorHAnsi"/>
        </w:rPr>
        <w:t xml:space="preserve">of GLDC crops and management practices </w:t>
      </w:r>
      <w:r w:rsidR="00406A79">
        <w:rPr>
          <w:rFonts w:cstheme="minorHAnsi"/>
        </w:rPr>
        <w:t>to manifest is additionally important part of GLDC’s ‘impact story’.</w:t>
      </w:r>
    </w:p>
    <w:p w14:paraId="48C255E5" w14:textId="455F3F1F" w:rsidR="00180404" w:rsidRDefault="00180404" w:rsidP="00911081">
      <w:pPr>
        <w:spacing w:after="0" w:line="240" w:lineRule="auto"/>
        <w:jc w:val="both"/>
        <w:rPr>
          <w:rFonts w:ascii="Arial" w:hAnsi="Arial" w:cs="Arial"/>
        </w:rPr>
      </w:pPr>
    </w:p>
    <w:p w14:paraId="72055669" w14:textId="77777777" w:rsidR="007D4036" w:rsidRDefault="007D4036" w:rsidP="00911081">
      <w:pPr>
        <w:spacing w:after="0" w:line="240" w:lineRule="auto"/>
        <w:jc w:val="both"/>
        <w:rPr>
          <w:rFonts w:ascii="Arial" w:hAnsi="Arial" w:cs="Arial"/>
        </w:rPr>
      </w:pPr>
    </w:p>
    <w:p w14:paraId="45B0FA51" w14:textId="77777777" w:rsidR="00077A46" w:rsidRDefault="00077A46" w:rsidP="00E443DD">
      <w:pPr>
        <w:pStyle w:val="Heading1"/>
        <w:numPr>
          <w:ilvl w:val="0"/>
          <w:numId w:val="2"/>
        </w:numPr>
        <w:ind w:left="284" w:hanging="284"/>
      </w:pPr>
      <w:r>
        <w:t>Existing</w:t>
      </w:r>
      <w:r w:rsidR="00E443DD">
        <w:t>/</w:t>
      </w:r>
      <w:r>
        <w:t>in-progress evidence</w:t>
      </w:r>
      <w:r w:rsidR="00E443DD">
        <w:t xml:space="preserve"> and key gaps</w:t>
      </w:r>
    </w:p>
    <w:p w14:paraId="4927E40B" w14:textId="05D8D9D4" w:rsidR="007A420C" w:rsidRDefault="007A420C" w:rsidP="007A420C">
      <w:pPr>
        <w:spacing w:after="0" w:line="240" w:lineRule="auto"/>
        <w:jc w:val="both"/>
        <w:rPr>
          <w:rFonts w:cstheme="minorHAnsi"/>
        </w:rPr>
      </w:pPr>
      <w:r>
        <w:rPr>
          <w:rFonts w:cstheme="minorHAnsi"/>
        </w:rPr>
        <w:t>Based on the consideration outlined above, t</w:t>
      </w:r>
      <w:r w:rsidRPr="007A420C">
        <w:rPr>
          <w:rFonts w:cstheme="minorHAnsi"/>
        </w:rPr>
        <w:t xml:space="preserve">he </w:t>
      </w:r>
      <w:r>
        <w:rPr>
          <w:rFonts w:cstheme="minorHAnsi"/>
        </w:rPr>
        <w:t xml:space="preserve">impact node centered </w:t>
      </w:r>
      <w:r w:rsidRPr="007A420C">
        <w:rPr>
          <w:rFonts w:cstheme="minorHAnsi"/>
        </w:rPr>
        <w:t xml:space="preserve">strategy will </w:t>
      </w:r>
      <w:r>
        <w:rPr>
          <w:rFonts w:cstheme="minorHAnsi"/>
        </w:rPr>
        <w:t xml:space="preserve">focus on </w:t>
      </w:r>
      <w:r w:rsidRPr="007A420C">
        <w:rPr>
          <w:rFonts w:cstheme="minorHAnsi"/>
        </w:rPr>
        <w:t>key impact crop-country combinations while relying on proxy indicators to outline how similar impacts will likely have materialized in other countries.</w:t>
      </w:r>
      <w:r>
        <w:rPr>
          <w:rFonts w:cstheme="minorHAnsi"/>
        </w:rPr>
        <w:t xml:space="preserve"> </w:t>
      </w:r>
      <w:r w:rsidRPr="007A420C">
        <w:rPr>
          <w:rFonts w:cstheme="minorHAnsi"/>
        </w:rPr>
        <w:t xml:space="preserve">The main considerations for the prioritization will be: 1. Size of the population likely affected, 2. Importance of the crop promoted and 3. Prior knowledge or availability of data. The key countries for GLDC to achieve its targets in Africa </w:t>
      </w:r>
      <w:proofErr w:type="gramStart"/>
      <w:r w:rsidRPr="007A420C">
        <w:rPr>
          <w:rFonts w:cstheme="minorHAnsi"/>
        </w:rPr>
        <w:t>are:</w:t>
      </w:r>
      <w:proofErr w:type="gramEnd"/>
      <w:r w:rsidRPr="007A420C">
        <w:rPr>
          <w:rFonts w:cstheme="minorHAnsi"/>
        </w:rPr>
        <w:t xml:space="preserve"> Nigeria, Tanzania and Ethiopia. They will account for </w:t>
      </w:r>
      <w:proofErr w:type="gramStart"/>
      <w:r w:rsidRPr="007A420C">
        <w:rPr>
          <w:rFonts w:cstheme="minorHAnsi"/>
        </w:rPr>
        <w:t>the majority of</w:t>
      </w:r>
      <w:proofErr w:type="gramEnd"/>
      <w:r w:rsidRPr="007A420C">
        <w:rPr>
          <w:rFonts w:cstheme="minorHAnsi"/>
        </w:rPr>
        <w:t xml:space="preserve"> the population affected by the program. For Asia, Myanmar and India are of critical importance for the delivery pipeline. The important GLDC impact crops in these countries are: 1. Nigeria – Groundnut, Cowpea and Sorghum; 2. Tanzania: Groundnut; Ethiopia: Chickpea; 4. Myanmar: Chickpea, groundnut; India: Groundnut, Sorghum, Chickpea. </w:t>
      </w:r>
      <w:r w:rsidRPr="007A420C">
        <w:rPr>
          <w:rFonts w:cstheme="minorHAnsi"/>
          <w:i/>
          <w:iCs/>
        </w:rPr>
        <w:t>These will be verified and amended during the workshop in Nairobi as well as through cross-checks with the ex-ante assessment data that was used to prioritize targets under GLDC.</w:t>
      </w:r>
      <w:r w:rsidRPr="007A420C">
        <w:rPr>
          <w:rFonts w:cstheme="minorHAnsi"/>
        </w:rPr>
        <w:t xml:space="preserve"> </w:t>
      </w:r>
    </w:p>
    <w:p w14:paraId="6B295056" w14:textId="77777777" w:rsidR="00B332C9" w:rsidRPr="007A420C" w:rsidRDefault="00B332C9" w:rsidP="007A420C">
      <w:pPr>
        <w:spacing w:after="0" w:line="240" w:lineRule="auto"/>
        <w:jc w:val="both"/>
        <w:rPr>
          <w:rFonts w:cstheme="minorHAnsi"/>
        </w:rPr>
      </w:pPr>
    </w:p>
    <w:p w14:paraId="52964BDA" w14:textId="336FE2FE" w:rsidR="00AF0FB2" w:rsidRDefault="00AF0FB2" w:rsidP="00AF0FB2">
      <w:pPr>
        <w:spacing w:after="0" w:line="240" w:lineRule="auto"/>
        <w:jc w:val="both"/>
        <w:rPr>
          <w:rFonts w:cstheme="minorHAnsi"/>
        </w:rPr>
      </w:pPr>
      <w:r>
        <w:rPr>
          <w:rFonts w:cstheme="minorHAnsi"/>
        </w:rPr>
        <w:t xml:space="preserve">One key observation from the </w:t>
      </w:r>
      <w:r w:rsidRPr="007A420C">
        <w:rPr>
          <w:rFonts w:cstheme="minorHAnsi"/>
        </w:rPr>
        <w:t>workshop held in Nairobi was the lack of systematic collation of available evidence generated through mapped projects or other efforts around the GLDC crop – country foci. A critical work</w:t>
      </w:r>
      <w:r w:rsidR="00B332C9">
        <w:rPr>
          <w:rFonts w:cstheme="minorHAnsi"/>
        </w:rPr>
        <w:t xml:space="preserve"> </w:t>
      </w:r>
      <w:r w:rsidRPr="007A420C">
        <w:rPr>
          <w:rFonts w:cstheme="minorHAnsi"/>
        </w:rPr>
        <w:t>package in the evidencing strategy is thereby the “Collation of completed evidence, mentioned in evidence tables. May need to hire a post-doctoral student? It’s important to keep the momentum going and if you are mentioned in the table as a source of information, send the relevant document to Karl Hughes, cc to Kai Mausch.”</w:t>
      </w:r>
      <w:r>
        <w:rPr>
          <w:rFonts w:cstheme="minorHAnsi"/>
        </w:rPr>
        <w:t xml:space="preserve"> (Orr et al. 2019)</w:t>
      </w:r>
    </w:p>
    <w:p w14:paraId="1CEE22A7" w14:textId="77777777" w:rsidR="00B332C9" w:rsidRPr="007A420C" w:rsidRDefault="00B332C9" w:rsidP="00AF0FB2">
      <w:pPr>
        <w:spacing w:after="0" w:line="240" w:lineRule="auto"/>
        <w:jc w:val="both"/>
        <w:rPr>
          <w:rFonts w:cstheme="minorHAnsi"/>
        </w:rPr>
      </w:pPr>
    </w:p>
    <w:p w14:paraId="51CCA8AD" w14:textId="77777777" w:rsidR="00B332C9" w:rsidRDefault="00AF0FB2" w:rsidP="00AF0FB2">
      <w:pPr>
        <w:spacing w:after="0" w:line="240" w:lineRule="auto"/>
        <w:jc w:val="both"/>
        <w:rPr>
          <w:rFonts w:cstheme="minorHAnsi"/>
        </w:rPr>
      </w:pPr>
      <w:r w:rsidRPr="007A420C">
        <w:rPr>
          <w:rFonts w:cstheme="minorHAnsi"/>
        </w:rPr>
        <w:t>This will be one key activity during the GLDC annual meeting in Nairobi. A template will be developed to allow for the generation of comparable and useable measures of dissemination and impact. The template will combine critically important aspects of the available studies including sample size and representativeness, adoption rates, impact indicators, likely wider applicability</w:t>
      </w:r>
      <w:r w:rsidR="00B332C9">
        <w:rPr>
          <w:rFonts w:cstheme="minorHAnsi"/>
        </w:rPr>
        <w:t>.</w:t>
      </w:r>
    </w:p>
    <w:p w14:paraId="6AE8D0FF" w14:textId="5977538A" w:rsidR="00AF0FB2" w:rsidRPr="007A420C" w:rsidRDefault="00AF0FB2" w:rsidP="00AF0FB2">
      <w:pPr>
        <w:spacing w:after="0" w:line="240" w:lineRule="auto"/>
        <w:jc w:val="both"/>
        <w:rPr>
          <w:rFonts w:cstheme="minorHAnsi"/>
        </w:rPr>
      </w:pPr>
      <w:r w:rsidRPr="007A420C">
        <w:rPr>
          <w:rFonts w:cstheme="minorHAnsi"/>
        </w:rPr>
        <w:t xml:space="preserve"> </w:t>
      </w:r>
    </w:p>
    <w:p w14:paraId="37DFA8E6" w14:textId="20398B80" w:rsidR="00AF0FB2" w:rsidRDefault="00AF0FB2" w:rsidP="00AF0FB2">
      <w:pPr>
        <w:spacing w:after="0" w:line="240" w:lineRule="auto"/>
        <w:jc w:val="both"/>
        <w:rPr>
          <w:rFonts w:cstheme="minorHAnsi"/>
        </w:rPr>
      </w:pPr>
      <w:r>
        <w:rPr>
          <w:rFonts w:cstheme="minorHAnsi"/>
        </w:rPr>
        <w:t xml:space="preserve">One available resource will be a recently completed review of impact studies around GLDC crops from GLDC scientists as well as other researchers will form the starting point for the collation of existing evidence. Table 1 provides an overview of what </w:t>
      </w:r>
      <w:proofErr w:type="gramStart"/>
      <w:r>
        <w:rPr>
          <w:rFonts w:cstheme="minorHAnsi"/>
        </w:rPr>
        <w:t>has to</w:t>
      </w:r>
      <w:proofErr w:type="gramEnd"/>
      <w:r>
        <w:rPr>
          <w:rFonts w:cstheme="minorHAnsi"/>
        </w:rPr>
        <w:t xml:space="preserve"> be considered robust evidence while Annex 2 provides a list of all studies found during the review exercise</w:t>
      </w:r>
      <w:r w:rsidR="00F2314A">
        <w:rPr>
          <w:rFonts w:cstheme="minorHAnsi"/>
        </w:rPr>
        <w:t xml:space="preserve"> and which can be used to update adoption data to support node 4 even if the impacts outlined may not be rigorous enough</w:t>
      </w:r>
      <w:r>
        <w:rPr>
          <w:rFonts w:cstheme="minorHAnsi"/>
        </w:rPr>
        <w:t>.</w:t>
      </w:r>
    </w:p>
    <w:tbl>
      <w:tblPr>
        <w:tblW w:w="9233" w:type="dxa"/>
        <w:jc w:val="center"/>
        <w:tblBorders>
          <w:top w:val="single" w:sz="12" w:space="0" w:color="auto"/>
          <w:bottom w:val="single" w:sz="12" w:space="0" w:color="auto"/>
          <w:insideH w:val="single" w:sz="4" w:space="0" w:color="auto"/>
        </w:tblBorders>
        <w:tblLayout w:type="fixed"/>
        <w:tblLook w:val="04A0" w:firstRow="1" w:lastRow="0" w:firstColumn="1" w:lastColumn="0" w:noHBand="0" w:noVBand="1"/>
      </w:tblPr>
      <w:tblGrid>
        <w:gridCol w:w="3077"/>
        <w:gridCol w:w="3078"/>
        <w:gridCol w:w="3078"/>
      </w:tblGrid>
      <w:tr w:rsidR="00AF0FB2" w:rsidRPr="007A420C" w14:paraId="12B30FEC" w14:textId="77777777" w:rsidTr="00662AE8">
        <w:trPr>
          <w:trHeight w:val="300"/>
          <w:jc w:val="center"/>
        </w:trPr>
        <w:tc>
          <w:tcPr>
            <w:tcW w:w="3077" w:type="dxa"/>
            <w:shd w:val="clear" w:color="auto" w:fill="auto"/>
            <w:noWrap/>
            <w:vAlign w:val="center"/>
            <w:hideMark/>
          </w:tcPr>
          <w:p w14:paraId="1A5F5281" w14:textId="77777777" w:rsidR="00AF0FB2" w:rsidRPr="007A420C" w:rsidRDefault="00AF0FB2" w:rsidP="00662AE8">
            <w:pPr>
              <w:keepNext/>
              <w:spacing w:after="0" w:line="240" w:lineRule="auto"/>
              <w:jc w:val="center"/>
              <w:rPr>
                <w:rFonts w:eastAsia="Times New Roman" w:cstheme="minorHAnsi"/>
                <w:b/>
                <w:bCs/>
              </w:rPr>
            </w:pPr>
            <w:r w:rsidRPr="007A420C">
              <w:rPr>
                <w:rFonts w:eastAsia="Times New Roman" w:cstheme="minorHAnsi"/>
                <w:b/>
                <w:bCs/>
              </w:rPr>
              <w:lastRenderedPageBreak/>
              <w:t>Study</w:t>
            </w:r>
          </w:p>
        </w:tc>
        <w:tc>
          <w:tcPr>
            <w:tcW w:w="3078" w:type="dxa"/>
            <w:shd w:val="clear" w:color="auto" w:fill="auto"/>
            <w:noWrap/>
            <w:vAlign w:val="center"/>
            <w:hideMark/>
          </w:tcPr>
          <w:p w14:paraId="55ECD543" w14:textId="77777777" w:rsidR="00AF0FB2" w:rsidRPr="007A420C" w:rsidRDefault="00AF0FB2" w:rsidP="00662AE8">
            <w:pPr>
              <w:keepNext/>
              <w:spacing w:after="0" w:line="240" w:lineRule="auto"/>
              <w:jc w:val="center"/>
              <w:rPr>
                <w:rFonts w:eastAsia="Times New Roman" w:cstheme="minorHAnsi"/>
                <w:b/>
                <w:bCs/>
              </w:rPr>
            </w:pPr>
            <w:r w:rsidRPr="007A420C">
              <w:rPr>
                <w:rFonts w:eastAsia="Times New Roman" w:cstheme="minorHAnsi"/>
                <w:b/>
                <w:bCs/>
              </w:rPr>
              <w:t>Change</w:t>
            </w:r>
          </w:p>
        </w:tc>
        <w:tc>
          <w:tcPr>
            <w:tcW w:w="3078" w:type="dxa"/>
            <w:shd w:val="clear" w:color="auto" w:fill="auto"/>
            <w:noWrap/>
            <w:vAlign w:val="bottom"/>
            <w:hideMark/>
          </w:tcPr>
          <w:p w14:paraId="79BE403B" w14:textId="77777777" w:rsidR="00AF0FB2" w:rsidRPr="007A420C" w:rsidRDefault="00AF0FB2" w:rsidP="00662AE8">
            <w:pPr>
              <w:keepNext/>
              <w:spacing w:after="0" w:line="240" w:lineRule="auto"/>
              <w:jc w:val="center"/>
              <w:rPr>
                <w:rFonts w:eastAsia="Times New Roman" w:cstheme="minorHAnsi"/>
                <w:b/>
                <w:bCs/>
              </w:rPr>
            </w:pPr>
            <w:r w:rsidRPr="007A420C">
              <w:rPr>
                <w:rFonts w:eastAsia="Times New Roman" w:cstheme="minorHAnsi"/>
                <w:b/>
                <w:bCs/>
              </w:rPr>
              <w:t>Effect</w:t>
            </w:r>
          </w:p>
        </w:tc>
      </w:tr>
      <w:tr w:rsidR="00AF0FB2" w:rsidRPr="007A420C" w14:paraId="563C4881" w14:textId="77777777" w:rsidTr="00662AE8">
        <w:trPr>
          <w:trHeight w:val="512"/>
          <w:jc w:val="center"/>
        </w:trPr>
        <w:tc>
          <w:tcPr>
            <w:tcW w:w="3077" w:type="dxa"/>
            <w:shd w:val="clear" w:color="auto" w:fill="auto"/>
            <w:noWrap/>
            <w:vAlign w:val="center"/>
            <w:hideMark/>
          </w:tcPr>
          <w:p w14:paraId="7A768734" w14:textId="77777777" w:rsidR="00AF0FB2" w:rsidRPr="007A420C" w:rsidRDefault="00AF0FB2" w:rsidP="00662AE8">
            <w:pPr>
              <w:keepNext/>
              <w:spacing w:after="0" w:line="240" w:lineRule="auto"/>
              <w:jc w:val="center"/>
              <w:rPr>
                <w:rFonts w:eastAsia="Times New Roman" w:cstheme="minorHAnsi"/>
              </w:rPr>
            </w:pPr>
            <w:proofErr w:type="spellStart"/>
            <w:r w:rsidRPr="007A420C">
              <w:rPr>
                <w:rFonts w:eastAsia="Times New Roman" w:cstheme="minorHAnsi"/>
              </w:rPr>
              <w:t>Bulte</w:t>
            </w:r>
            <w:proofErr w:type="spellEnd"/>
            <w:r w:rsidRPr="007A420C">
              <w:rPr>
                <w:rFonts w:eastAsia="Times New Roman" w:cstheme="minorHAnsi"/>
              </w:rPr>
              <w:t xml:space="preserve"> et al., 2014</w:t>
            </w:r>
          </w:p>
        </w:tc>
        <w:tc>
          <w:tcPr>
            <w:tcW w:w="3078" w:type="dxa"/>
            <w:shd w:val="clear" w:color="auto" w:fill="auto"/>
            <w:vAlign w:val="center"/>
            <w:hideMark/>
          </w:tcPr>
          <w:p w14:paraId="302DD81E"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improved cowpea</w:t>
            </w:r>
          </w:p>
        </w:tc>
        <w:tc>
          <w:tcPr>
            <w:tcW w:w="3078" w:type="dxa"/>
            <w:shd w:val="clear" w:color="auto" w:fill="auto"/>
            <w:vAlign w:val="center"/>
            <w:hideMark/>
          </w:tcPr>
          <w:p w14:paraId="69C8C50C"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0-9% increase in yield</w:t>
            </w:r>
          </w:p>
        </w:tc>
      </w:tr>
      <w:tr w:rsidR="00AF0FB2" w:rsidRPr="007A420C" w14:paraId="04B53A94" w14:textId="77777777" w:rsidTr="00662AE8">
        <w:trPr>
          <w:trHeight w:val="638"/>
          <w:jc w:val="center"/>
        </w:trPr>
        <w:tc>
          <w:tcPr>
            <w:tcW w:w="3077" w:type="dxa"/>
            <w:shd w:val="clear" w:color="auto" w:fill="auto"/>
            <w:noWrap/>
            <w:vAlign w:val="center"/>
            <w:hideMark/>
          </w:tcPr>
          <w:p w14:paraId="61B67353"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Finkelstein et al., 2015</w:t>
            </w:r>
          </w:p>
        </w:tc>
        <w:tc>
          <w:tcPr>
            <w:tcW w:w="3078" w:type="dxa"/>
            <w:shd w:val="clear" w:color="auto" w:fill="auto"/>
            <w:vAlign w:val="center"/>
            <w:hideMark/>
          </w:tcPr>
          <w:p w14:paraId="2F7317A9"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Consumption of iron-fortified pearl millet for four months</w:t>
            </w:r>
          </w:p>
        </w:tc>
        <w:tc>
          <w:tcPr>
            <w:tcW w:w="3078" w:type="dxa"/>
            <w:shd w:val="clear" w:color="auto" w:fill="auto"/>
            <w:vAlign w:val="center"/>
            <w:hideMark/>
          </w:tcPr>
          <w:p w14:paraId="6D5F866F"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Statistically significant positive effects on three measures of iron-deficiency</w:t>
            </w:r>
          </w:p>
        </w:tc>
      </w:tr>
      <w:tr w:rsidR="00AF0FB2" w:rsidRPr="007A420C" w14:paraId="58A37F34" w14:textId="77777777" w:rsidTr="00662AE8">
        <w:trPr>
          <w:trHeight w:val="638"/>
          <w:jc w:val="center"/>
        </w:trPr>
        <w:tc>
          <w:tcPr>
            <w:tcW w:w="3077" w:type="dxa"/>
            <w:shd w:val="clear" w:color="auto" w:fill="auto"/>
            <w:noWrap/>
            <w:vAlign w:val="center"/>
            <w:hideMark/>
          </w:tcPr>
          <w:p w14:paraId="3794E2C2"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Manda et al., 2019</w:t>
            </w:r>
          </w:p>
        </w:tc>
        <w:tc>
          <w:tcPr>
            <w:tcW w:w="3078" w:type="dxa"/>
            <w:shd w:val="clear" w:color="auto" w:fill="auto"/>
            <w:vAlign w:val="center"/>
            <w:hideMark/>
          </w:tcPr>
          <w:p w14:paraId="65CBFFA5"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improved cowpea</w:t>
            </w:r>
          </w:p>
        </w:tc>
        <w:tc>
          <w:tcPr>
            <w:tcW w:w="3078" w:type="dxa"/>
            <w:shd w:val="clear" w:color="auto" w:fill="auto"/>
            <w:vAlign w:val="center"/>
            <w:hideMark/>
          </w:tcPr>
          <w:p w14:paraId="5E1B4E9B"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26% increase in yields and 61% increase in net returns</w:t>
            </w:r>
          </w:p>
        </w:tc>
      </w:tr>
      <w:tr w:rsidR="00AF0FB2" w:rsidRPr="007A420C" w14:paraId="6BBFA868" w14:textId="77777777" w:rsidTr="00662AE8">
        <w:trPr>
          <w:trHeight w:val="557"/>
          <w:jc w:val="center"/>
        </w:trPr>
        <w:tc>
          <w:tcPr>
            <w:tcW w:w="3077" w:type="dxa"/>
            <w:shd w:val="clear" w:color="auto" w:fill="auto"/>
            <w:noWrap/>
            <w:vAlign w:val="center"/>
          </w:tcPr>
          <w:p w14:paraId="1353C124"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Tufa et al., 2019</w:t>
            </w:r>
          </w:p>
        </w:tc>
        <w:tc>
          <w:tcPr>
            <w:tcW w:w="3078" w:type="dxa"/>
            <w:shd w:val="clear" w:color="auto" w:fill="auto"/>
            <w:vAlign w:val="center"/>
          </w:tcPr>
          <w:p w14:paraId="0F252DFD"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improves soybean</w:t>
            </w:r>
          </w:p>
        </w:tc>
        <w:tc>
          <w:tcPr>
            <w:tcW w:w="3078" w:type="dxa"/>
            <w:shd w:val="clear" w:color="auto" w:fill="auto"/>
            <w:vAlign w:val="center"/>
          </w:tcPr>
          <w:p w14:paraId="20620752"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61% increase in yield and 53% increase in income</w:t>
            </w:r>
          </w:p>
        </w:tc>
      </w:tr>
      <w:tr w:rsidR="00AF0FB2" w:rsidRPr="007A420C" w14:paraId="3BD53D67" w14:textId="77777777" w:rsidTr="00662AE8">
        <w:trPr>
          <w:trHeight w:val="557"/>
          <w:jc w:val="center"/>
        </w:trPr>
        <w:tc>
          <w:tcPr>
            <w:tcW w:w="3077" w:type="dxa"/>
            <w:shd w:val="clear" w:color="auto" w:fill="auto"/>
            <w:noWrap/>
            <w:vAlign w:val="center"/>
            <w:hideMark/>
          </w:tcPr>
          <w:p w14:paraId="32AC92E5"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Michler et al., 2018</w:t>
            </w:r>
          </w:p>
        </w:tc>
        <w:tc>
          <w:tcPr>
            <w:tcW w:w="3078" w:type="dxa"/>
            <w:shd w:val="clear" w:color="auto" w:fill="auto"/>
            <w:vAlign w:val="center"/>
            <w:hideMark/>
          </w:tcPr>
          <w:p w14:paraId="218C3170"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improved chickpea</w:t>
            </w:r>
          </w:p>
        </w:tc>
        <w:tc>
          <w:tcPr>
            <w:tcW w:w="3078" w:type="dxa"/>
            <w:shd w:val="clear" w:color="auto" w:fill="auto"/>
            <w:vAlign w:val="center"/>
            <w:hideMark/>
          </w:tcPr>
          <w:p w14:paraId="1A514BCA"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23-28% increase in household profits</w:t>
            </w:r>
          </w:p>
        </w:tc>
      </w:tr>
      <w:tr w:rsidR="00AF0FB2" w:rsidRPr="007A420C" w14:paraId="36E18E7C" w14:textId="77777777" w:rsidTr="00662AE8">
        <w:trPr>
          <w:trHeight w:val="953"/>
          <w:jc w:val="center"/>
        </w:trPr>
        <w:tc>
          <w:tcPr>
            <w:tcW w:w="3077" w:type="dxa"/>
            <w:shd w:val="clear" w:color="auto" w:fill="auto"/>
            <w:noWrap/>
            <w:vAlign w:val="center"/>
            <w:hideMark/>
          </w:tcPr>
          <w:p w14:paraId="7EA17B05" w14:textId="77777777" w:rsidR="00AF0FB2" w:rsidRPr="007A420C" w:rsidRDefault="00AF0FB2" w:rsidP="00662AE8">
            <w:pPr>
              <w:keepNext/>
              <w:spacing w:after="0" w:line="240" w:lineRule="auto"/>
              <w:jc w:val="center"/>
              <w:rPr>
                <w:rFonts w:eastAsia="Times New Roman" w:cstheme="minorHAnsi"/>
              </w:rPr>
            </w:pPr>
            <w:proofErr w:type="spellStart"/>
            <w:r w:rsidRPr="007A420C">
              <w:rPr>
                <w:rFonts w:eastAsia="Times New Roman" w:cstheme="minorHAnsi"/>
              </w:rPr>
              <w:t>Verkaart</w:t>
            </w:r>
            <w:proofErr w:type="spellEnd"/>
            <w:r w:rsidRPr="007A420C">
              <w:rPr>
                <w:rFonts w:eastAsia="Times New Roman" w:cstheme="minorHAnsi"/>
              </w:rPr>
              <w:t xml:space="preserve"> et al., 2017</w:t>
            </w:r>
          </w:p>
        </w:tc>
        <w:tc>
          <w:tcPr>
            <w:tcW w:w="3078" w:type="dxa"/>
            <w:shd w:val="clear" w:color="auto" w:fill="auto"/>
            <w:vAlign w:val="center"/>
            <w:hideMark/>
          </w:tcPr>
          <w:p w14:paraId="13F97085"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10% increase in area planted with improved chickpea</w:t>
            </w:r>
          </w:p>
        </w:tc>
        <w:tc>
          <w:tcPr>
            <w:tcW w:w="3078" w:type="dxa"/>
            <w:shd w:val="clear" w:color="auto" w:fill="auto"/>
            <w:vAlign w:val="center"/>
            <w:hideMark/>
          </w:tcPr>
          <w:p w14:paraId="635E61FA"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12.6% increase in household income; 3.9% reduction in probability of household poverty</w:t>
            </w:r>
          </w:p>
        </w:tc>
      </w:tr>
      <w:tr w:rsidR="00AF0FB2" w:rsidRPr="007A420C" w14:paraId="590135BA" w14:textId="77777777" w:rsidTr="00662AE8">
        <w:trPr>
          <w:trHeight w:val="620"/>
          <w:jc w:val="center"/>
        </w:trPr>
        <w:tc>
          <w:tcPr>
            <w:tcW w:w="3077" w:type="dxa"/>
            <w:shd w:val="clear" w:color="auto" w:fill="auto"/>
            <w:noWrap/>
            <w:vAlign w:val="center"/>
            <w:hideMark/>
          </w:tcPr>
          <w:p w14:paraId="0623FCA6" w14:textId="77777777" w:rsidR="00AF0FB2" w:rsidRPr="007A420C" w:rsidRDefault="00AF0FB2" w:rsidP="00662AE8">
            <w:pPr>
              <w:keepNext/>
              <w:spacing w:after="0" w:line="240" w:lineRule="auto"/>
              <w:jc w:val="center"/>
              <w:rPr>
                <w:rFonts w:eastAsia="Times New Roman" w:cstheme="minorHAnsi"/>
              </w:rPr>
            </w:pPr>
            <w:proofErr w:type="spellStart"/>
            <w:r w:rsidRPr="007A420C">
              <w:rPr>
                <w:rFonts w:eastAsia="Times New Roman" w:cstheme="minorHAnsi"/>
              </w:rPr>
              <w:t>Ndjeunga</w:t>
            </w:r>
            <w:proofErr w:type="spellEnd"/>
            <w:r w:rsidRPr="007A420C">
              <w:rPr>
                <w:rFonts w:eastAsia="Times New Roman" w:cstheme="minorHAnsi"/>
              </w:rPr>
              <w:t xml:space="preserve"> et al., 2013</w:t>
            </w:r>
          </w:p>
        </w:tc>
        <w:tc>
          <w:tcPr>
            <w:tcW w:w="3078" w:type="dxa"/>
            <w:shd w:val="clear" w:color="auto" w:fill="auto"/>
            <w:vAlign w:val="center"/>
            <w:hideMark/>
          </w:tcPr>
          <w:p w14:paraId="2DA0185D"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improved groundnut</w:t>
            </w:r>
          </w:p>
        </w:tc>
        <w:tc>
          <w:tcPr>
            <w:tcW w:w="3078" w:type="dxa"/>
            <w:shd w:val="clear" w:color="auto" w:fill="auto"/>
            <w:vAlign w:val="center"/>
            <w:hideMark/>
          </w:tcPr>
          <w:p w14:paraId="71D37A21"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155-202kg/ha increase in yields</w:t>
            </w:r>
          </w:p>
        </w:tc>
      </w:tr>
      <w:tr w:rsidR="00AF0FB2" w:rsidRPr="007A420C" w14:paraId="0AC2F3E5" w14:textId="77777777" w:rsidTr="00662AE8">
        <w:trPr>
          <w:trHeight w:val="1007"/>
          <w:jc w:val="center"/>
        </w:trPr>
        <w:tc>
          <w:tcPr>
            <w:tcW w:w="3077" w:type="dxa"/>
            <w:shd w:val="clear" w:color="auto" w:fill="auto"/>
            <w:noWrap/>
            <w:vAlign w:val="center"/>
            <w:hideMark/>
          </w:tcPr>
          <w:p w14:paraId="1E771696" w14:textId="77777777" w:rsidR="00AF0FB2" w:rsidRPr="007A420C" w:rsidRDefault="00AF0FB2" w:rsidP="00662AE8">
            <w:pPr>
              <w:keepNext/>
              <w:spacing w:after="0" w:line="240" w:lineRule="auto"/>
              <w:jc w:val="center"/>
              <w:rPr>
                <w:rFonts w:eastAsia="Times New Roman" w:cstheme="minorHAnsi"/>
              </w:rPr>
            </w:pPr>
            <w:proofErr w:type="spellStart"/>
            <w:r w:rsidRPr="007A420C">
              <w:rPr>
                <w:rFonts w:eastAsia="Times New Roman" w:cstheme="minorHAnsi"/>
              </w:rPr>
              <w:t>Simtowe</w:t>
            </w:r>
            <w:proofErr w:type="spellEnd"/>
            <w:r w:rsidRPr="007A420C">
              <w:rPr>
                <w:rFonts w:eastAsia="Times New Roman" w:cstheme="minorHAnsi"/>
              </w:rPr>
              <w:t xml:space="preserve"> et al., 2012</w:t>
            </w:r>
          </w:p>
        </w:tc>
        <w:tc>
          <w:tcPr>
            <w:tcW w:w="3078" w:type="dxa"/>
            <w:shd w:val="clear" w:color="auto" w:fill="auto"/>
            <w:vAlign w:val="center"/>
            <w:hideMark/>
          </w:tcPr>
          <w:p w14:paraId="59AA2F30"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Adoption of improved groundnut</w:t>
            </w:r>
          </w:p>
        </w:tc>
        <w:tc>
          <w:tcPr>
            <w:tcW w:w="3078" w:type="dxa"/>
            <w:shd w:val="clear" w:color="auto" w:fill="auto"/>
            <w:vAlign w:val="center"/>
            <w:hideMark/>
          </w:tcPr>
          <w:p w14:paraId="70E13534" w14:textId="77777777" w:rsidR="00AF0FB2" w:rsidRPr="007A420C" w:rsidRDefault="00AF0FB2" w:rsidP="00662AE8">
            <w:pPr>
              <w:keepNext/>
              <w:spacing w:after="0" w:line="240" w:lineRule="auto"/>
              <w:jc w:val="center"/>
              <w:rPr>
                <w:rFonts w:eastAsia="Times New Roman" w:cstheme="minorHAnsi"/>
              </w:rPr>
            </w:pPr>
            <w:r w:rsidRPr="007A420C">
              <w:rPr>
                <w:rFonts w:eastAsia="Times New Roman" w:cstheme="minorHAnsi"/>
              </w:rPr>
              <w:t>2% increase in household consumption expenditure; 12-17% decrease in poverty headcount</w:t>
            </w:r>
          </w:p>
        </w:tc>
      </w:tr>
    </w:tbl>
    <w:p w14:paraId="74135029" w14:textId="77777777" w:rsidR="00AF0FB2" w:rsidRPr="007A420C" w:rsidRDefault="00AF0FB2" w:rsidP="00AF0FB2">
      <w:pPr>
        <w:spacing w:line="480" w:lineRule="auto"/>
        <w:jc w:val="both"/>
        <w:rPr>
          <w:rStyle w:val="SubtleReference"/>
          <w:rFonts w:asciiTheme="minorHAnsi" w:hAnsiTheme="minorHAnsi" w:cstheme="minorHAnsi"/>
          <w:b w:val="0"/>
          <w:sz w:val="22"/>
        </w:rPr>
      </w:pPr>
      <w:r>
        <w:rPr>
          <w:rStyle w:val="SubtleReference"/>
          <w:rFonts w:asciiTheme="minorHAnsi" w:hAnsiTheme="minorHAnsi" w:cstheme="minorHAnsi"/>
          <w:b w:val="0"/>
          <w:sz w:val="22"/>
        </w:rPr>
        <w:t>Table 1</w:t>
      </w:r>
      <w:r w:rsidRPr="007A420C">
        <w:rPr>
          <w:rStyle w:val="SubtleReference"/>
          <w:rFonts w:asciiTheme="minorHAnsi" w:hAnsiTheme="minorHAnsi" w:cstheme="minorHAnsi"/>
          <w:b w:val="0"/>
          <w:sz w:val="22"/>
        </w:rPr>
        <w:t>. Evidence of better-identified causal effects</w:t>
      </w:r>
      <w:r>
        <w:rPr>
          <w:rStyle w:val="SubtleReference"/>
          <w:rFonts w:asciiTheme="minorHAnsi" w:hAnsiTheme="minorHAnsi" w:cstheme="minorHAnsi"/>
          <w:b w:val="0"/>
          <w:sz w:val="22"/>
        </w:rPr>
        <w:t xml:space="preserve"> (see Katovich et al. 2019). </w:t>
      </w:r>
    </w:p>
    <w:p w14:paraId="59B2E449" w14:textId="5290A555" w:rsidR="007A420C" w:rsidRDefault="00AF0FB2" w:rsidP="007A420C">
      <w:pPr>
        <w:spacing w:after="0" w:line="240" w:lineRule="auto"/>
        <w:jc w:val="both"/>
        <w:rPr>
          <w:rFonts w:cstheme="minorHAnsi"/>
        </w:rPr>
      </w:pPr>
      <w:r>
        <w:rPr>
          <w:rFonts w:cstheme="minorHAnsi"/>
        </w:rPr>
        <w:t>In addition, t</w:t>
      </w:r>
      <w:r w:rsidR="007A420C">
        <w:rPr>
          <w:rFonts w:cstheme="minorHAnsi"/>
        </w:rPr>
        <w:t xml:space="preserve">he collation of existing evidence undertaken so far led to a list of </w:t>
      </w:r>
      <w:r w:rsidR="007A420C" w:rsidRPr="007A420C">
        <w:rPr>
          <w:rFonts w:cstheme="minorHAnsi"/>
        </w:rPr>
        <w:t xml:space="preserve">studies that are on-going: </w:t>
      </w:r>
    </w:p>
    <w:p w14:paraId="121FF02D" w14:textId="60BBF54C" w:rsidR="007A420C" w:rsidRPr="007A420C" w:rsidRDefault="007A420C" w:rsidP="007A420C">
      <w:pPr>
        <w:pStyle w:val="ListParagraph"/>
        <w:numPr>
          <w:ilvl w:val="0"/>
          <w:numId w:val="11"/>
        </w:numPr>
        <w:spacing w:after="0" w:line="240" w:lineRule="auto"/>
        <w:jc w:val="both"/>
        <w:rPr>
          <w:rFonts w:cstheme="minorHAnsi"/>
        </w:rPr>
      </w:pPr>
      <w:r w:rsidRPr="007A420C">
        <w:rPr>
          <w:rFonts w:cstheme="minorHAnsi"/>
        </w:rPr>
        <w:t>Chickpea in Ethiopia</w:t>
      </w:r>
    </w:p>
    <w:p w14:paraId="3CE83133" w14:textId="024C73F7" w:rsidR="007A420C" w:rsidRPr="007A420C" w:rsidRDefault="007A420C" w:rsidP="007A420C">
      <w:pPr>
        <w:pStyle w:val="ListParagraph"/>
        <w:numPr>
          <w:ilvl w:val="0"/>
          <w:numId w:val="11"/>
        </w:numPr>
        <w:spacing w:after="0" w:line="240" w:lineRule="auto"/>
        <w:jc w:val="both"/>
        <w:rPr>
          <w:rFonts w:cstheme="minorHAnsi"/>
        </w:rPr>
      </w:pPr>
      <w:r w:rsidRPr="007A420C">
        <w:rPr>
          <w:rFonts w:cstheme="minorHAnsi"/>
        </w:rPr>
        <w:t xml:space="preserve">Groundnut in Nigeria </w:t>
      </w:r>
    </w:p>
    <w:p w14:paraId="4732840C" w14:textId="35FB366C" w:rsidR="007A420C" w:rsidRDefault="007A420C" w:rsidP="007A420C">
      <w:pPr>
        <w:pStyle w:val="ListParagraph"/>
        <w:numPr>
          <w:ilvl w:val="0"/>
          <w:numId w:val="11"/>
        </w:numPr>
        <w:spacing w:after="0" w:line="240" w:lineRule="auto"/>
        <w:jc w:val="both"/>
        <w:rPr>
          <w:rFonts w:cstheme="minorHAnsi"/>
        </w:rPr>
      </w:pPr>
      <w:r w:rsidRPr="007A420C">
        <w:rPr>
          <w:rFonts w:cstheme="minorHAnsi"/>
        </w:rPr>
        <w:t>Groundnut in Tanzania</w:t>
      </w:r>
    </w:p>
    <w:p w14:paraId="01639086" w14:textId="50943AD0" w:rsidR="007A420C" w:rsidRDefault="007A420C" w:rsidP="007A420C">
      <w:pPr>
        <w:pStyle w:val="ListParagraph"/>
        <w:numPr>
          <w:ilvl w:val="0"/>
          <w:numId w:val="11"/>
        </w:numPr>
        <w:spacing w:after="0" w:line="240" w:lineRule="auto"/>
        <w:jc w:val="both"/>
        <w:rPr>
          <w:rFonts w:cstheme="minorHAnsi"/>
        </w:rPr>
      </w:pPr>
      <w:r>
        <w:rPr>
          <w:rFonts w:cstheme="minorHAnsi"/>
        </w:rPr>
        <w:t xml:space="preserve">Crop Livestock systems </w:t>
      </w:r>
    </w:p>
    <w:p w14:paraId="789BC9B1" w14:textId="77777777" w:rsidR="00AF0FB2" w:rsidRPr="007A420C" w:rsidRDefault="00AF0FB2" w:rsidP="00AF0FB2">
      <w:pPr>
        <w:spacing w:after="0" w:line="240" w:lineRule="auto"/>
        <w:jc w:val="both"/>
        <w:rPr>
          <w:rFonts w:cstheme="minorHAnsi"/>
        </w:rPr>
      </w:pPr>
    </w:p>
    <w:p w14:paraId="317AD688" w14:textId="14BA6A70" w:rsidR="007A420C" w:rsidRDefault="007A420C" w:rsidP="007A420C">
      <w:pPr>
        <w:spacing w:after="0" w:line="240" w:lineRule="auto"/>
        <w:jc w:val="both"/>
        <w:rPr>
          <w:rFonts w:cstheme="minorHAnsi"/>
        </w:rPr>
      </w:pPr>
      <w:r w:rsidRPr="007A420C">
        <w:rPr>
          <w:rFonts w:cstheme="minorHAnsi"/>
        </w:rPr>
        <w:t xml:space="preserve">While some areas are yet to be solidified, one key gap in the </w:t>
      </w:r>
      <w:proofErr w:type="spellStart"/>
      <w:r w:rsidRPr="007A420C">
        <w:rPr>
          <w:rFonts w:cstheme="minorHAnsi"/>
        </w:rPr>
        <w:t>ToC</w:t>
      </w:r>
      <w:proofErr w:type="spellEnd"/>
      <w:r w:rsidRPr="007A420C">
        <w:rPr>
          <w:rFonts w:cstheme="minorHAnsi"/>
        </w:rPr>
        <w:t xml:space="preserve"> evidence has clearly emerged – the contribution of GLDC crops to the diets of the target populations. For this “GLDC needs to earmark funds for filling these evidence gaps and for impact assessment. Can also leverage other funds, because GLDC program can’t fund everything.”</w:t>
      </w:r>
      <w:r w:rsidR="00AF0FB2">
        <w:rPr>
          <w:rFonts w:cstheme="minorHAnsi"/>
        </w:rPr>
        <w:t xml:space="preserve"> (Orr et al. 2019) Figure 2 provides an overview of existing evidence against some key nodes of the </w:t>
      </w:r>
      <w:proofErr w:type="spellStart"/>
      <w:r w:rsidR="00AF0FB2">
        <w:rPr>
          <w:rFonts w:cstheme="minorHAnsi"/>
        </w:rPr>
        <w:t>ToC</w:t>
      </w:r>
      <w:proofErr w:type="spellEnd"/>
      <w:r w:rsidR="00AF0FB2">
        <w:rPr>
          <w:rFonts w:cstheme="minorHAnsi"/>
        </w:rPr>
        <w:t>.</w:t>
      </w:r>
    </w:p>
    <w:p w14:paraId="4B329748" w14:textId="77777777" w:rsidR="00AF0FB2" w:rsidRDefault="00AF0FB2" w:rsidP="00AF0FB2">
      <w:pPr>
        <w:pStyle w:val="ListParagraph"/>
        <w:spacing w:after="0" w:line="240" w:lineRule="auto"/>
        <w:ind w:left="284" w:hanging="284"/>
        <w:rPr>
          <w:sz w:val="28"/>
          <w:szCs w:val="28"/>
        </w:rPr>
      </w:pPr>
      <w:r>
        <w:rPr>
          <w:noProof/>
        </w:rPr>
        <w:lastRenderedPageBreak/>
        <mc:AlternateContent>
          <mc:Choice Requires="wps">
            <w:drawing>
              <wp:anchor distT="45720" distB="45720" distL="114300" distR="114300" simplePos="0" relativeHeight="251666432" behindDoc="0" locked="0" layoutInCell="1" allowOverlap="1" wp14:anchorId="02A4A903" wp14:editId="01F47BAF">
                <wp:simplePos x="0" y="0"/>
                <wp:positionH relativeFrom="column">
                  <wp:posOffset>0</wp:posOffset>
                </wp:positionH>
                <wp:positionV relativeFrom="paragraph">
                  <wp:posOffset>266065</wp:posOffset>
                </wp:positionV>
                <wp:extent cx="5698490" cy="5751830"/>
                <wp:effectExtent l="0" t="0" r="381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98490" cy="5751830"/>
                        </a:xfrm>
                        <a:prstGeom prst="rect">
                          <a:avLst/>
                        </a:prstGeom>
                        <a:solidFill>
                          <a:srgbClr val="FFFFFF"/>
                        </a:solidFill>
                        <a:ln w="9525">
                          <a:solidFill>
                            <a:srgbClr val="000000"/>
                          </a:solidFill>
                          <a:miter lim="800000"/>
                          <a:headEnd/>
                          <a:tailEnd/>
                        </a:ln>
                      </wps:spPr>
                      <wps:txbx>
                        <w:txbxContent>
                          <w:p w14:paraId="547104AB" w14:textId="77777777" w:rsidR="00AF0FB2" w:rsidRDefault="00AF0FB2" w:rsidP="00AF0FB2">
                            <w:r>
                              <w:rPr>
                                <w:noProof/>
                              </w:rPr>
                              <w:drawing>
                                <wp:inline distT="0" distB="0" distL="0" distR="0" wp14:anchorId="0ECCE845" wp14:editId="65F751DE">
                                  <wp:extent cx="2743200" cy="2413000"/>
                                  <wp:effectExtent l="0" t="0" r="0" b="6350"/>
                                  <wp:docPr id="15" name="Chart 15">
                                    <a:extLst xmlns:a="http://schemas.openxmlformats.org/drawingml/2006/main">
                                      <a:ext uri="{FF2B5EF4-FFF2-40B4-BE49-F238E27FC236}">
                                        <a16:creationId xmlns:a16="http://schemas.microsoft.com/office/drawing/2014/main" id="{297081DC-2F29-44CA-8794-B6A491F795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noProof/>
                              </w:rPr>
                              <w:drawing>
                                <wp:inline distT="0" distB="0" distL="0" distR="0" wp14:anchorId="5C0C9155" wp14:editId="693041FE">
                                  <wp:extent cx="2743200" cy="2573020"/>
                                  <wp:effectExtent l="0" t="0" r="0" b="0"/>
                                  <wp:docPr id="5" name="Chart 5">
                                    <a:extLst xmlns:a="http://schemas.openxmlformats.org/drawingml/2006/main">
                                      <a:ext uri="{FF2B5EF4-FFF2-40B4-BE49-F238E27FC236}">
                                        <a16:creationId xmlns:a16="http://schemas.microsoft.com/office/drawing/2014/main" id="{02DDD381-CF38-4875-B1D8-A6BEE0E2AA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noProof/>
                              </w:rPr>
                              <w:drawing>
                                <wp:inline distT="0" distB="0" distL="0" distR="0" wp14:anchorId="7B609E7D" wp14:editId="44AD0CDB">
                                  <wp:extent cx="2743200" cy="2912509"/>
                                  <wp:effectExtent l="0" t="0" r="0" b="2540"/>
                                  <wp:docPr id="7" name="Chart 7">
                                    <a:extLst xmlns:a="http://schemas.openxmlformats.org/drawingml/2006/main">
                                      <a:ext uri="{FF2B5EF4-FFF2-40B4-BE49-F238E27FC236}">
                                        <a16:creationId xmlns:a16="http://schemas.microsoft.com/office/drawing/2014/main" id="{1684177A-795A-4FD5-BBFF-A31958B5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rPr>
                              <w:drawing>
                                <wp:inline distT="0" distB="0" distL="0" distR="0" wp14:anchorId="3DD319AE" wp14:editId="668D062B">
                                  <wp:extent cx="2714625" cy="2971623"/>
                                  <wp:effectExtent l="0" t="0" r="0" b="635"/>
                                  <wp:docPr id="8" name="Chart 8">
                                    <a:extLst xmlns:a="http://schemas.openxmlformats.org/drawingml/2006/main">
                                      <a:ext uri="{FF2B5EF4-FFF2-40B4-BE49-F238E27FC236}">
                                        <a16:creationId xmlns:a16="http://schemas.microsoft.com/office/drawing/2014/main" id="{9EA8A713-567A-4D96-9D07-A1DBAD1DF5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4A903" id="_x0000_t202" coordsize="21600,21600" o:spt="202" path="m,l,21600r21600,l21600,xe">
                <v:stroke joinstyle="miter"/>
                <v:path gradientshapeok="t" o:connecttype="rect"/>
              </v:shapetype>
              <v:shape id="Text Box 2" o:spid="_x0000_s1026" type="#_x0000_t202" style="position:absolute;left:0;text-align:left;margin-left:0;margin-top:20.95pt;width:448.7pt;height:452.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">
                <v:path arrowok="t"/>
                <v:textbox>
                  <w:txbxContent>
                    <w:p w14:paraId="547104AB" w14:textId="77777777" w:rsidR="00AF0FB2" w:rsidRDefault="00AF0FB2" w:rsidP="00AF0FB2">
                      <w:r>
                        <w:rPr>
                          <w:noProof/>
                        </w:rPr>
                        <w:drawing>
                          <wp:inline distT="0" distB="0" distL="0" distR="0" wp14:anchorId="0ECCE845" wp14:editId="65F751DE">
                            <wp:extent cx="2743200" cy="2413000"/>
                            <wp:effectExtent l="0" t="0" r="0" b="6350"/>
                            <wp:docPr id="15" name="Chart 15">
                              <a:extLst xmlns:a="http://schemas.openxmlformats.org/drawingml/2006/main">
                                <a:ext uri="{FF2B5EF4-FFF2-40B4-BE49-F238E27FC236}">
                                  <a16:creationId xmlns:a16="http://schemas.microsoft.com/office/drawing/2014/main" id="{297081DC-2F29-44CA-8794-B6A491F795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noProof/>
                        </w:rPr>
                        <w:drawing>
                          <wp:inline distT="0" distB="0" distL="0" distR="0" wp14:anchorId="5C0C9155" wp14:editId="693041FE">
                            <wp:extent cx="2743200" cy="2573020"/>
                            <wp:effectExtent l="0" t="0" r="0" b="0"/>
                            <wp:docPr id="5" name="Chart 5">
                              <a:extLst xmlns:a="http://schemas.openxmlformats.org/drawingml/2006/main">
                                <a:ext uri="{FF2B5EF4-FFF2-40B4-BE49-F238E27FC236}">
                                  <a16:creationId xmlns:a16="http://schemas.microsoft.com/office/drawing/2014/main" id="{02DDD381-CF38-4875-B1D8-A6BEE0E2AA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noProof/>
                        </w:rPr>
                        <w:drawing>
                          <wp:inline distT="0" distB="0" distL="0" distR="0" wp14:anchorId="7B609E7D" wp14:editId="44AD0CDB">
                            <wp:extent cx="2743200" cy="2912509"/>
                            <wp:effectExtent l="0" t="0" r="0" b="2540"/>
                            <wp:docPr id="7" name="Chart 7">
                              <a:extLst xmlns:a="http://schemas.openxmlformats.org/drawingml/2006/main">
                                <a:ext uri="{FF2B5EF4-FFF2-40B4-BE49-F238E27FC236}">
                                  <a16:creationId xmlns:a16="http://schemas.microsoft.com/office/drawing/2014/main" id="{1684177A-795A-4FD5-BBFF-A31958B5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noProof/>
                        </w:rPr>
                        <w:drawing>
                          <wp:inline distT="0" distB="0" distL="0" distR="0" wp14:anchorId="3DD319AE" wp14:editId="668D062B">
                            <wp:extent cx="2714625" cy="2971623"/>
                            <wp:effectExtent l="0" t="0" r="0" b="635"/>
                            <wp:docPr id="8" name="Chart 8">
                              <a:extLst xmlns:a="http://schemas.openxmlformats.org/drawingml/2006/main">
                                <a:ext uri="{FF2B5EF4-FFF2-40B4-BE49-F238E27FC236}">
                                  <a16:creationId xmlns:a16="http://schemas.microsoft.com/office/drawing/2014/main" id="{9EA8A713-567A-4D96-9D07-A1DBAD1DF5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v:textbox>
                <w10:wrap type="square"/>
              </v:shape>
            </w:pict>
          </mc:Fallback>
        </mc:AlternateContent>
      </w:r>
    </w:p>
    <w:p w14:paraId="6EE28211" w14:textId="77777777" w:rsidR="00AF0FB2" w:rsidRPr="00577B24" w:rsidRDefault="00AF0FB2" w:rsidP="00AF0FB2">
      <w:pPr>
        <w:pStyle w:val="ListParagraph"/>
        <w:spacing w:after="0" w:line="240" w:lineRule="auto"/>
        <w:ind w:left="284" w:hanging="284"/>
      </w:pPr>
      <w:r w:rsidRPr="00577B24">
        <w:t>Figure 1. Number of GLDC impact studies by (clockwise from top left) crop, country, impact theme, and methodology</w:t>
      </w:r>
    </w:p>
    <w:p w14:paraId="4E920FB2" w14:textId="44EE9207" w:rsidR="00AF0FB2" w:rsidRDefault="00AF0FB2" w:rsidP="007A420C">
      <w:pPr>
        <w:spacing w:after="0" w:line="240" w:lineRule="auto"/>
        <w:jc w:val="both"/>
        <w:rPr>
          <w:rFonts w:cstheme="minorHAnsi"/>
        </w:rPr>
      </w:pPr>
    </w:p>
    <w:p w14:paraId="0F64EC90" w14:textId="5FB5A0DC" w:rsidR="00AF0FB2" w:rsidRPr="007A420C" w:rsidRDefault="00AF0FB2" w:rsidP="007A420C">
      <w:pPr>
        <w:spacing w:after="0" w:line="240" w:lineRule="auto"/>
        <w:jc w:val="both"/>
        <w:rPr>
          <w:rFonts w:cstheme="minorHAnsi"/>
        </w:rPr>
      </w:pPr>
      <w:r>
        <w:rPr>
          <w:rFonts w:cstheme="minorHAnsi"/>
        </w:rPr>
        <w:t xml:space="preserve">Unfortunately, this supports the notion of critical gaps in the evidence base around </w:t>
      </w:r>
      <w:r w:rsidR="003F2163">
        <w:rPr>
          <w:rFonts w:cstheme="minorHAnsi"/>
        </w:rPr>
        <w:t xml:space="preserve">environmental impacts as well as food and nutritional security which are node 5 and 7 in the foundation of the program rational. </w:t>
      </w:r>
    </w:p>
    <w:p w14:paraId="7D716B74" w14:textId="77777777" w:rsidR="00FB0794" w:rsidRDefault="00FB0794" w:rsidP="00E443DD">
      <w:pPr>
        <w:pStyle w:val="ListParagraph"/>
        <w:spacing w:after="0" w:line="240" w:lineRule="auto"/>
        <w:ind w:left="284" w:hanging="284"/>
        <w:rPr>
          <w:sz w:val="28"/>
          <w:szCs w:val="28"/>
        </w:rPr>
      </w:pPr>
    </w:p>
    <w:p w14:paraId="1197FA59" w14:textId="5958B496" w:rsidR="00077A46" w:rsidRDefault="00E443DD" w:rsidP="00E443DD">
      <w:pPr>
        <w:pStyle w:val="Heading1"/>
        <w:numPr>
          <w:ilvl w:val="0"/>
          <w:numId w:val="2"/>
        </w:numPr>
        <w:ind w:left="284" w:hanging="284"/>
      </w:pPr>
      <w:r>
        <w:t>Operational strategy</w:t>
      </w:r>
    </w:p>
    <w:p w14:paraId="12DEE32A" w14:textId="49AEABFD" w:rsidR="003F2163" w:rsidRDefault="003F2163" w:rsidP="003F2163">
      <w:pPr>
        <w:spacing w:after="0" w:line="240" w:lineRule="auto"/>
        <w:jc w:val="both"/>
        <w:rPr>
          <w:rFonts w:cstheme="minorHAnsi"/>
        </w:rPr>
      </w:pPr>
      <w:r w:rsidRPr="007A420C">
        <w:rPr>
          <w:rFonts w:cstheme="minorHAnsi"/>
        </w:rPr>
        <w:t xml:space="preserve">For this strategy to lead to significant buy in one key recommendation was the nomination of senior champions for the various centers and focal areas. These will further add weight to request of the core team that will assemble the data as well as support efforts to leverage further funds to generate additional </w:t>
      </w:r>
      <w:r w:rsidRPr="007A420C">
        <w:rPr>
          <w:rFonts w:cstheme="minorHAnsi"/>
        </w:rPr>
        <w:lastRenderedPageBreak/>
        <w:t>data where evidence is sparse or absent.</w:t>
      </w:r>
      <w:r>
        <w:rPr>
          <w:rFonts w:cstheme="minorHAnsi"/>
        </w:rPr>
        <w:t xml:space="preserve"> </w:t>
      </w:r>
      <w:r w:rsidRPr="007A420C">
        <w:rPr>
          <w:rFonts w:cstheme="minorHAnsi"/>
        </w:rPr>
        <w:t xml:space="preserve">“GLDC needs senior champions to push the impact evidencing strategy within GLDC. Suggested names; </w:t>
      </w:r>
      <w:r>
        <w:rPr>
          <w:rFonts w:cstheme="minorHAnsi"/>
        </w:rPr>
        <w:t>P</w:t>
      </w:r>
      <w:r w:rsidRPr="007A420C">
        <w:rPr>
          <w:rFonts w:cstheme="minorHAnsi"/>
        </w:rPr>
        <w:t>eter Carberry, Kiran Sharma, Ravi Prabhu and focal points. Specify what type of support needed.”</w:t>
      </w:r>
      <w:r>
        <w:rPr>
          <w:rFonts w:cstheme="minorHAnsi"/>
        </w:rPr>
        <w:t xml:space="preserve"> (Orr et al. 2019)</w:t>
      </w:r>
      <w:r w:rsidRPr="007A420C">
        <w:rPr>
          <w:rFonts w:cstheme="minorHAnsi"/>
        </w:rPr>
        <w:t xml:space="preserve"> The identification of these cha</w:t>
      </w:r>
      <w:r>
        <w:rPr>
          <w:rFonts w:cstheme="minorHAnsi"/>
        </w:rPr>
        <w:t>m</w:t>
      </w:r>
      <w:r w:rsidRPr="007A420C">
        <w:rPr>
          <w:rFonts w:cstheme="minorHAnsi"/>
        </w:rPr>
        <w:t>pions as well as wider awareness and buy-in will be generated through “A 45-minute slot to make a sales pitch for the impact evidencing strategy should be reserved for the Science Meeting in Nairobi, on 25th November. “</w:t>
      </w:r>
      <w:r>
        <w:rPr>
          <w:rFonts w:cstheme="minorHAnsi"/>
        </w:rPr>
        <w:t>(Orr et al. 2019)</w:t>
      </w:r>
    </w:p>
    <w:p w14:paraId="4D08D962" w14:textId="77777777" w:rsidR="00B332C9" w:rsidRPr="007A420C" w:rsidRDefault="00B332C9" w:rsidP="003F2163">
      <w:pPr>
        <w:spacing w:after="0" w:line="240" w:lineRule="auto"/>
        <w:jc w:val="both"/>
        <w:rPr>
          <w:rFonts w:cstheme="minorHAnsi"/>
        </w:rPr>
      </w:pPr>
    </w:p>
    <w:p w14:paraId="0BBD7703" w14:textId="77777777" w:rsidR="003F2163" w:rsidRPr="007A420C" w:rsidRDefault="003F2163" w:rsidP="003F2163">
      <w:pPr>
        <w:spacing w:after="0" w:line="240" w:lineRule="auto"/>
        <w:jc w:val="both"/>
        <w:rPr>
          <w:rFonts w:cstheme="minorHAnsi"/>
        </w:rPr>
      </w:pPr>
      <w:r w:rsidRPr="007A420C">
        <w:rPr>
          <w:rFonts w:cstheme="minorHAnsi"/>
        </w:rPr>
        <w:t xml:space="preserve">Based on this, a team will be identified that will be closely involved in the generation of additional funding: </w:t>
      </w:r>
    </w:p>
    <w:p w14:paraId="7E8B5CC4" w14:textId="67886196" w:rsidR="003F2163" w:rsidRDefault="003F2163" w:rsidP="003F2163">
      <w:pPr>
        <w:spacing w:after="0" w:line="240" w:lineRule="auto"/>
        <w:jc w:val="both"/>
        <w:rPr>
          <w:rFonts w:cstheme="minorHAnsi"/>
        </w:rPr>
      </w:pPr>
      <w:r w:rsidRPr="007A420C">
        <w:rPr>
          <w:rFonts w:cstheme="minorHAnsi"/>
        </w:rPr>
        <w:t>“Opportunities for complementary funding through AVISA: prepare Concept Notes for market segmentation studies needed for GLDC product profiles, and adoption studies. These have already been requested by Jeff Ehlers, the program officer for AVISA.”</w:t>
      </w:r>
      <w:r>
        <w:rPr>
          <w:rFonts w:cstheme="minorHAnsi"/>
        </w:rPr>
        <w:t xml:space="preserve"> (Orr et al. 2019) </w:t>
      </w:r>
      <w:r w:rsidRPr="007A420C">
        <w:rPr>
          <w:rFonts w:cstheme="minorHAnsi"/>
        </w:rPr>
        <w:t xml:space="preserve">This will focus on: “The results of the Workshop on the top priority evidence gaps need to be shared at the Science Meeting and endorsed by that meeting.” </w:t>
      </w:r>
      <w:r>
        <w:rPr>
          <w:rFonts w:cstheme="minorHAnsi"/>
        </w:rPr>
        <w:t>(Orr et al. 2019)</w:t>
      </w:r>
    </w:p>
    <w:p w14:paraId="7614A14A" w14:textId="77777777" w:rsidR="00B332C9" w:rsidRPr="007A420C" w:rsidRDefault="00B332C9" w:rsidP="003F2163">
      <w:pPr>
        <w:spacing w:after="0" w:line="240" w:lineRule="auto"/>
        <w:jc w:val="both"/>
        <w:rPr>
          <w:rFonts w:cstheme="minorHAnsi"/>
        </w:rPr>
      </w:pPr>
      <w:bookmarkStart w:id="0" w:name="_GoBack"/>
      <w:bookmarkEnd w:id="0"/>
    </w:p>
    <w:p w14:paraId="4372D1A0" w14:textId="77777777" w:rsidR="003F2163" w:rsidRPr="007A420C" w:rsidRDefault="003F2163" w:rsidP="003F2163">
      <w:pPr>
        <w:spacing w:after="0" w:line="240" w:lineRule="auto"/>
        <w:jc w:val="both"/>
        <w:rPr>
          <w:rFonts w:cstheme="minorHAnsi"/>
        </w:rPr>
      </w:pPr>
      <w:r w:rsidRPr="007A420C">
        <w:rPr>
          <w:rFonts w:cstheme="minorHAnsi"/>
        </w:rPr>
        <w:t xml:space="preserve">One key component of the strategy and a distinct feature of the team to champion and support the effort will be the cross-FP nature of this undertaking. </w:t>
      </w:r>
      <w:r>
        <w:rPr>
          <w:rFonts w:cstheme="minorHAnsi"/>
        </w:rPr>
        <w:t xml:space="preserve">This engagement is currently on-going and priorities for 2020 will be finalized for implementation from January. </w:t>
      </w:r>
      <w:r w:rsidRPr="007A420C">
        <w:rPr>
          <w:rFonts w:cstheme="minorHAnsi"/>
        </w:rPr>
        <w:t>This will again be highlighted during the management meeting in Nairobi and build on great support that has emerged from the workshop in Nairobi: “Impact evidencing framework and strategy is a collective endeavor, which is led by FP1 but the strategy to fill the evidence gaps cannot happen without commitment from other FPs. It’s a shared responsibility.”</w:t>
      </w:r>
      <w:r>
        <w:rPr>
          <w:rFonts w:cstheme="minorHAnsi"/>
        </w:rPr>
        <w:t xml:space="preserve"> (Orr et al. 2019) </w:t>
      </w:r>
      <w:r w:rsidRPr="007A420C">
        <w:rPr>
          <w:rFonts w:cstheme="minorHAnsi"/>
        </w:rPr>
        <w:t>A concrete plan will be generated in collaboration and commitments and responsibilities will be shared and linked through the MEL system.</w:t>
      </w:r>
      <w:r>
        <w:rPr>
          <w:rFonts w:cstheme="minorHAnsi"/>
        </w:rPr>
        <w:t xml:space="preserve"> </w:t>
      </w:r>
      <w:r w:rsidRPr="007A420C">
        <w:rPr>
          <w:rFonts w:cstheme="minorHAnsi"/>
        </w:rPr>
        <w:t>“Attach the names of people who can take lead in designing ways to meet the key evidence gaps. These gaps are already part of their work program in their respective FPs.”</w:t>
      </w:r>
      <w:r>
        <w:rPr>
          <w:rFonts w:cstheme="minorHAnsi"/>
        </w:rPr>
        <w:t xml:space="preserve"> (Orr et al. 2019)</w:t>
      </w:r>
    </w:p>
    <w:p w14:paraId="26E0BBDF" w14:textId="77777777" w:rsidR="003F2163" w:rsidRPr="007A420C" w:rsidRDefault="003F2163" w:rsidP="003F2163">
      <w:pPr>
        <w:spacing w:after="0" w:line="240" w:lineRule="auto"/>
        <w:jc w:val="both"/>
        <w:rPr>
          <w:rFonts w:cstheme="minorHAnsi"/>
        </w:rPr>
      </w:pPr>
    </w:p>
    <w:p w14:paraId="16941E33" w14:textId="77777777" w:rsidR="003F2163" w:rsidRPr="007A420C" w:rsidRDefault="003F2163" w:rsidP="003F2163">
      <w:pPr>
        <w:spacing w:after="0" w:line="240" w:lineRule="auto"/>
        <w:jc w:val="both"/>
        <w:rPr>
          <w:rFonts w:cstheme="minorHAnsi"/>
        </w:rPr>
      </w:pPr>
      <w:r w:rsidRPr="007A420C">
        <w:rPr>
          <w:rFonts w:cstheme="minorHAnsi"/>
        </w:rPr>
        <w:t xml:space="preserve">Additional resources will be required and </w:t>
      </w:r>
      <w:proofErr w:type="gramStart"/>
      <w:r w:rsidRPr="007A420C">
        <w:rPr>
          <w:rFonts w:cstheme="minorHAnsi"/>
        </w:rPr>
        <w:t>all of</w:t>
      </w:r>
      <w:proofErr w:type="gramEnd"/>
      <w:r w:rsidRPr="007A420C">
        <w:rPr>
          <w:rFonts w:cstheme="minorHAnsi"/>
        </w:rPr>
        <w:t xml:space="preserve"> the above will contribute to identifying further opportunities over the year 2020 to generate data or leverage other sources and “Make a joint response to Research Calls, so can coordinate impact assessment to cover multiple types of impact.”</w:t>
      </w:r>
      <w:r>
        <w:rPr>
          <w:rFonts w:cstheme="minorHAnsi"/>
        </w:rPr>
        <w:t xml:space="preserve"> (Orr et al. 2019)</w:t>
      </w:r>
    </w:p>
    <w:p w14:paraId="05A67E0D" w14:textId="5F3E787C" w:rsidR="00913981" w:rsidRDefault="00913981" w:rsidP="00913981"/>
    <w:p w14:paraId="78D98D49" w14:textId="77777777" w:rsidR="00993AF3" w:rsidRDefault="00993AF3" w:rsidP="00913981">
      <w:pPr>
        <w:sectPr w:rsidR="00993AF3" w:rsidSect="00E569B9">
          <w:footerReference w:type="default" r:id="rId23"/>
          <w:pgSz w:w="12240" w:h="15840"/>
          <w:pgMar w:top="1440" w:right="1440" w:bottom="1440" w:left="1440" w:header="720" w:footer="720" w:gutter="0"/>
          <w:pgNumType w:start="1"/>
          <w:cols w:space="720"/>
          <w:docGrid w:linePitch="360"/>
        </w:sectPr>
      </w:pPr>
    </w:p>
    <w:p w14:paraId="6EA1AAA2" w14:textId="67F1A7A9" w:rsidR="003F2163" w:rsidRPr="003F2163" w:rsidRDefault="003F2163" w:rsidP="003F2163">
      <w:pPr>
        <w:pStyle w:val="Heading1"/>
        <w:numPr>
          <w:ilvl w:val="0"/>
          <w:numId w:val="2"/>
        </w:numPr>
        <w:ind w:left="284" w:hanging="284"/>
      </w:pPr>
      <w:r w:rsidRPr="003F2163">
        <w:lastRenderedPageBreak/>
        <w:t>Annex</w:t>
      </w:r>
      <w:r>
        <w:t>es</w:t>
      </w:r>
    </w:p>
    <w:p w14:paraId="4D0E30B1" w14:textId="4B57493E" w:rsidR="00993AF3" w:rsidRPr="00D6544F" w:rsidRDefault="00993AF3" w:rsidP="00993AF3">
      <w:pPr>
        <w:jc w:val="both"/>
        <w:rPr>
          <w:rFonts w:ascii="Arial" w:hAnsi="Arial" w:cs="Arial"/>
          <w:b/>
          <w:bCs/>
        </w:rPr>
      </w:pPr>
      <w:r>
        <w:rPr>
          <w:rFonts w:ascii="Arial" w:hAnsi="Arial" w:cs="Arial"/>
          <w:b/>
          <w:bCs/>
        </w:rPr>
        <w:t>Annex 1</w:t>
      </w:r>
      <w:r w:rsidRPr="00D6544F">
        <w:rPr>
          <w:rFonts w:ascii="Arial" w:hAnsi="Arial" w:cs="Arial"/>
          <w:b/>
          <w:bCs/>
        </w:rPr>
        <w:t xml:space="preserve">. Sources for </w:t>
      </w:r>
      <w:r>
        <w:rPr>
          <w:rFonts w:ascii="Arial" w:hAnsi="Arial" w:cs="Arial"/>
          <w:b/>
          <w:bCs/>
        </w:rPr>
        <w:t xml:space="preserve">key nodes in implicit </w:t>
      </w:r>
      <w:r w:rsidRPr="00D6544F">
        <w:rPr>
          <w:rFonts w:ascii="Arial" w:hAnsi="Arial" w:cs="Arial"/>
          <w:b/>
          <w:bCs/>
        </w:rPr>
        <w:t>GLDC Theory of Change</w:t>
      </w:r>
    </w:p>
    <w:tbl>
      <w:tblPr>
        <w:tblStyle w:val="TableGrid"/>
        <w:tblW w:w="5000" w:type="pct"/>
        <w:tblLook w:val="04A0" w:firstRow="1" w:lastRow="0" w:firstColumn="1" w:lastColumn="0" w:noHBand="0" w:noVBand="1"/>
      </w:tblPr>
      <w:tblGrid>
        <w:gridCol w:w="800"/>
        <w:gridCol w:w="8550"/>
      </w:tblGrid>
      <w:tr w:rsidR="00993AF3" w:rsidRPr="00D6544F" w14:paraId="2A40B713" w14:textId="77777777" w:rsidTr="005575A1">
        <w:tc>
          <w:tcPr>
            <w:tcW w:w="428" w:type="pct"/>
          </w:tcPr>
          <w:p w14:paraId="346EC3DA" w14:textId="77777777" w:rsidR="00993AF3" w:rsidRPr="00D6544F" w:rsidRDefault="00993AF3" w:rsidP="005575A1">
            <w:pPr>
              <w:jc w:val="center"/>
              <w:rPr>
                <w:rFonts w:ascii="Arial" w:hAnsi="Arial" w:cs="Arial"/>
                <w:b/>
                <w:bCs/>
                <w:sz w:val="20"/>
                <w:szCs w:val="20"/>
              </w:rPr>
            </w:pPr>
            <w:r w:rsidRPr="00D6544F">
              <w:rPr>
                <w:rFonts w:ascii="Arial" w:hAnsi="Arial" w:cs="Arial"/>
                <w:b/>
                <w:bCs/>
                <w:sz w:val="20"/>
                <w:szCs w:val="20"/>
              </w:rPr>
              <w:t>No</w:t>
            </w:r>
            <w:r>
              <w:rPr>
                <w:rFonts w:ascii="Arial" w:hAnsi="Arial" w:cs="Arial"/>
                <w:b/>
                <w:bCs/>
                <w:sz w:val="20"/>
                <w:szCs w:val="20"/>
              </w:rPr>
              <w:t>de</w:t>
            </w:r>
            <w:r w:rsidRPr="00D6544F">
              <w:rPr>
                <w:rFonts w:ascii="Arial" w:hAnsi="Arial" w:cs="Arial"/>
                <w:b/>
                <w:bCs/>
                <w:sz w:val="20"/>
                <w:szCs w:val="20"/>
              </w:rPr>
              <w:t>.</w:t>
            </w:r>
          </w:p>
        </w:tc>
        <w:tc>
          <w:tcPr>
            <w:tcW w:w="4572" w:type="pct"/>
          </w:tcPr>
          <w:p w14:paraId="185C5BF6" w14:textId="77777777" w:rsidR="00993AF3" w:rsidRPr="00D6544F" w:rsidRDefault="00993AF3" w:rsidP="005575A1">
            <w:pPr>
              <w:jc w:val="center"/>
              <w:rPr>
                <w:rFonts w:ascii="Arial" w:hAnsi="Arial" w:cs="Arial"/>
                <w:b/>
                <w:bCs/>
                <w:sz w:val="20"/>
                <w:szCs w:val="20"/>
              </w:rPr>
            </w:pPr>
            <w:r>
              <w:rPr>
                <w:rFonts w:ascii="Arial" w:hAnsi="Arial" w:cs="Arial"/>
                <w:b/>
                <w:bCs/>
                <w:sz w:val="20"/>
                <w:szCs w:val="20"/>
              </w:rPr>
              <w:t xml:space="preserve">Statements from GLDC Program Proposal </w:t>
            </w:r>
          </w:p>
        </w:tc>
      </w:tr>
      <w:tr w:rsidR="00993AF3" w:rsidRPr="00D6544F" w14:paraId="03C239AE" w14:textId="77777777" w:rsidTr="005575A1">
        <w:tc>
          <w:tcPr>
            <w:tcW w:w="428" w:type="pct"/>
          </w:tcPr>
          <w:p w14:paraId="0FBC0B0E" w14:textId="77777777" w:rsidR="00993AF3" w:rsidRPr="00D6544F" w:rsidRDefault="00993AF3" w:rsidP="005575A1">
            <w:pPr>
              <w:jc w:val="center"/>
              <w:rPr>
                <w:rFonts w:ascii="Arial" w:hAnsi="Arial" w:cs="Arial"/>
                <w:sz w:val="20"/>
                <w:szCs w:val="20"/>
              </w:rPr>
            </w:pPr>
            <w:r w:rsidRPr="00D6544F">
              <w:rPr>
                <w:rFonts w:ascii="Arial" w:hAnsi="Arial" w:cs="Arial"/>
                <w:sz w:val="20"/>
                <w:szCs w:val="20"/>
              </w:rPr>
              <w:t>1</w:t>
            </w:r>
          </w:p>
        </w:tc>
        <w:tc>
          <w:tcPr>
            <w:tcW w:w="4572" w:type="pct"/>
          </w:tcPr>
          <w:p w14:paraId="3C00BF93" w14:textId="77777777" w:rsidR="00993AF3" w:rsidRPr="002C1E81" w:rsidRDefault="00993AF3" w:rsidP="005575A1">
            <w:pPr>
              <w:jc w:val="center"/>
              <w:rPr>
                <w:rFonts w:ascii="Arial" w:hAnsi="Arial" w:cs="Arial"/>
                <w:b/>
                <w:bCs/>
                <w:sz w:val="20"/>
                <w:szCs w:val="20"/>
              </w:rPr>
            </w:pPr>
            <w:r w:rsidRPr="002C1E81">
              <w:rPr>
                <w:rFonts w:ascii="Arial" w:hAnsi="Arial" w:cs="Arial"/>
                <w:b/>
                <w:bCs/>
                <w:sz w:val="20"/>
                <w:szCs w:val="20"/>
              </w:rPr>
              <w:t>Market and farmer demand</w:t>
            </w:r>
          </w:p>
        </w:tc>
      </w:tr>
      <w:tr w:rsidR="00993AF3" w:rsidRPr="00D6544F" w14:paraId="73063C85" w14:textId="77777777" w:rsidTr="005575A1">
        <w:tc>
          <w:tcPr>
            <w:tcW w:w="428" w:type="pct"/>
          </w:tcPr>
          <w:p w14:paraId="4D2B826E" w14:textId="77777777" w:rsidR="00993AF3" w:rsidRPr="00D6544F" w:rsidRDefault="00993AF3" w:rsidP="005575A1">
            <w:pPr>
              <w:jc w:val="center"/>
              <w:rPr>
                <w:rFonts w:ascii="Arial" w:hAnsi="Arial" w:cs="Arial"/>
                <w:sz w:val="20"/>
                <w:szCs w:val="20"/>
              </w:rPr>
            </w:pPr>
          </w:p>
        </w:tc>
        <w:tc>
          <w:tcPr>
            <w:tcW w:w="4572" w:type="pct"/>
          </w:tcPr>
          <w:p w14:paraId="193794F9" w14:textId="77777777" w:rsidR="00993AF3" w:rsidRPr="00D6544F" w:rsidRDefault="00993AF3" w:rsidP="005575A1">
            <w:pPr>
              <w:jc w:val="both"/>
              <w:rPr>
                <w:rFonts w:ascii="Arial" w:hAnsi="Arial" w:cs="Arial"/>
                <w:sz w:val="20"/>
                <w:szCs w:val="20"/>
              </w:rPr>
            </w:pPr>
            <w:r w:rsidRPr="00D6544F">
              <w:rPr>
                <w:rFonts w:ascii="Arial" w:hAnsi="Arial" w:cs="Arial"/>
                <w:sz w:val="20"/>
                <w:szCs w:val="20"/>
              </w:rPr>
              <w:t>“</w:t>
            </w:r>
            <w:r w:rsidRPr="00D6544F">
              <w:rPr>
                <w:rFonts w:ascii="Arial" w:hAnsi="Arial" w:cs="Arial"/>
                <w:i/>
                <w:iCs/>
                <w:sz w:val="20"/>
                <w:szCs w:val="20"/>
              </w:rPr>
              <w:t>Demand-driven innovation for the drylands</w:t>
            </w:r>
            <w:r w:rsidRPr="00D6544F">
              <w:rPr>
                <w:rFonts w:ascii="Arial" w:hAnsi="Arial" w:cs="Arial"/>
                <w:sz w:val="20"/>
                <w:szCs w:val="20"/>
              </w:rPr>
              <w:t xml:space="preserve">” (Title page) </w:t>
            </w:r>
          </w:p>
          <w:p w14:paraId="045AD43A" w14:textId="77777777" w:rsidR="00993AF3" w:rsidRPr="00D6544F" w:rsidRDefault="00993AF3" w:rsidP="005575A1">
            <w:pPr>
              <w:jc w:val="both"/>
              <w:rPr>
                <w:rFonts w:ascii="Arial" w:hAnsi="Arial" w:cs="Arial"/>
                <w:i/>
                <w:iCs/>
                <w:sz w:val="20"/>
                <w:szCs w:val="20"/>
              </w:rPr>
            </w:pPr>
            <w:r w:rsidRPr="00D6544F">
              <w:rPr>
                <w:rFonts w:ascii="Arial" w:hAnsi="Arial" w:cs="Arial"/>
                <w:i/>
                <w:iCs/>
                <w:sz w:val="20"/>
                <w:szCs w:val="20"/>
              </w:rPr>
              <w:t>“The demand of farmers, users and markets are therefore the core drivers of GLDC breeding programs” (p. 66)</w:t>
            </w:r>
          </w:p>
          <w:p w14:paraId="2B8C584A" w14:textId="77777777" w:rsidR="00993AF3" w:rsidRPr="00D6544F" w:rsidRDefault="00993AF3" w:rsidP="005575A1">
            <w:pPr>
              <w:jc w:val="both"/>
              <w:rPr>
                <w:rFonts w:ascii="Arial" w:hAnsi="Arial" w:cs="Arial"/>
                <w:i/>
                <w:iCs/>
                <w:sz w:val="20"/>
                <w:szCs w:val="20"/>
              </w:rPr>
            </w:pPr>
            <w:r w:rsidRPr="00D6544F">
              <w:rPr>
                <w:rFonts w:ascii="Arial" w:hAnsi="Arial" w:cs="Arial"/>
                <w:i/>
                <w:iCs/>
                <w:sz w:val="20"/>
                <w:szCs w:val="20"/>
              </w:rPr>
              <w:t>“The underlying rationale is that, if trait discovery and variety development (FP4, FP5) respond to current and future needs of farmers and consumers… farmers will adopt GLDC technologies”. (p. 16)</w:t>
            </w:r>
          </w:p>
          <w:p w14:paraId="4223D098" w14:textId="77777777" w:rsidR="00993AF3" w:rsidRPr="00D6544F" w:rsidRDefault="00993AF3" w:rsidP="005575A1">
            <w:pPr>
              <w:jc w:val="both"/>
              <w:rPr>
                <w:rFonts w:ascii="Arial" w:hAnsi="Arial" w:cs="Arial"/>
                <w:i/>
                <w:iCs/>
                <w:sz w:val="20"/>
                <w:szCs w:val="20"/>
              </w:rPr>
            </w:pPr>
            <w:r w:rsidRPr="00D6544F">
              <w:rPr>
                <w:rFonts w:ascii="Arial" w:hAnsi="Arial" w:cs="Arial"/>
                <w:i/>
                <w:iCs/>
                <w:sz w:val="20"/>
                <w:szCs w:val="20"/>
              </w:rPr>
              <w:t>“Improved effectiveness of value chains through technical, institutional and policy innovation creates incentives for farmer technology adoption and improves market access”. (p. 15)</w:t>
            </w:r>
          </w:p>
        </w:tc>
      </w:tr>
      <w:tr w:rsidR="00993AF3" w:rsidRPr="00D6544F" w14:paraId="079BB7CA" w14:textId="77777777" w:rsidTr="005575A1">
        <w:tc>
          <w:tcPr>
            <w:tcW w:w="428" w:type="pct"/>
          </w:tcPr>
          <w:p w14:paraId="514CAA55" w14:textId="77777777" w:rsidR="00993AF3" w:rsidRPr="00D6544F" w:rsidRDefault="00993AF3" w:rsidP="005575A1">
            <w:pPr>
              <w:jc w:val="center"/>
              <w:rPr>
                <w:rFonts w:ascii="Arial" w:hAnsi="Arial" w:cs="Arial"/>
                <w:sz w:val="20"/>
                <w:szCs w:val="20"/>
              </w:rPr>
            </w:pPr>
            <w:r>
              <w:rPr>
                <w:rFonts w:ascii="Arial" w:hAnsi="Arial" w:cs="Arial"/>
                <w:sz w:val="20"/>
                <w:szCs w:val="20"/>
              </w:rPr>
              <w:t>2</w:t>
            </w:r>
          </w:p>
        </w:tc>
        <w:tc>
          <w:tcPr>
            <w:tcW w:w="4572" w:type="pct"/>
          </w:tcPr>
          <w:p w14:paraId="052F6E00" w14:textId="77777777" w:rsidR="00993AF3" w:rsidRPr="00D6544F" w:rsidRDefault="00993AF3" w:rsidP="005575A1">
            <w:pPr>
              <w:jc w:val="center"/>
              <w:rPr>
                <w:rFonts w:ascii="Arial" w:hAnsi="Arial" w:cs="Arial"/>
                <w:sz w:val="20"/>
                <w:szCs w:val="20"/>
              </w:rPr>
            </w:pPr>
            <w:r w:rsidRPr="002C1E81">
              <w:rPr>
                <w:rFonts w:ascii="Arial" w:hAnsi="Arial" w:cs="Arial"/>
                <w:b/>
                <w:bCs/>
                <w:sz w:val="20"/>
                <w:szCs w:val="20"/>
              </w:rPr>
              <w:t>Delivery</w:t>
            </w:r>
          </w:p>
        </w:tc>
      </w:tr>
      <w:tr w:rsidR="00993AF3" w:rsidRPr="00D6544F" w14:paraId="45DA70C7" w14:textId="77777777" w:rsidTr="005575A1">
        <w:tc>
          <w:tcPr>
            <w:tcW w:w="428" w:type="pct"/>
          </w:tcPr>
          <w:p w14:paraId="7BE6864A" w14:textId="77777777" w:rsidR="00993AF3" w:rsidRPr="00D6544F" w:rsidRDefault="00993AF3" w:rsidP="005575A1">
            <w:pPr>
              <w:jc w:val="center"/>
              <w:rPr>
                <w:rFonts w:ascii="Arial" w:hAnsi="Arial" w:cs="Arial"/>
                <w:sz w:val="20"/>
                <w:szCs w:val="20"/>
              </w:rPr>
            </w:pPr>
          </w:p>
        </w:tc>
        <w:tc>
          <w:tcPr>
            <w:tcW w:w="4572" w:type="pct"/>
          </w:tcPr>
          <w:p w14:paraId="55BAB0C7" w14:textId="77777777" w:rsidR="00993AF3" w:rsidRPr="00D6544F" w:rsidRDefault="00993AF3" w:rsidP="005575A1">
            <w:pPr>
              <w:rPr>
                <w:rFonts w:ascii="Arial" w:hAnsi="Arial" w:cs="Arial"/>
                <w:i/>
                <w:iCs/>
                <w:sz w:val="20"/>
                <w:szCs w:val="20"/>
              </w:rPr>
            </w:pPr>
            <w:r w:rsidRPr="00D6544F">
              <w:rPr>
                <w:rFonts w:ascii="Arial" w:hAnsi="Arial" w:cs="Arial"/>
                <w:i/>
                <w:iCs/>
                <w:sz w:val="20"/>
                <w:szCs w:val="20"/>
              </w:rPr>
              <w:t xml:space="preserve">“Efforts will be made to generate evidence on what works for scaling and under what conditions, with the resulting learning scaled out to other GLDC regions” (p. 37) </w:t>
            </w:r>
          </w:p>
          <w:p w14:paraId="761CB1B5" w14:textId="77777777" w:rsidR="00993AF3" w:rsidRPr="00D6544F" w:rsidRDefault="00993AF3" w:rsidP="005575A1">
            <w:pPr>
              <w:jc w:val="both"/>
              <w:rPr>
                <w:rFonts w:ascii="Arial" w:hAnsi="Arial" w:cs="Arial"/>
                <w:sz w:val="20"/>
                <w:szCs w:val="20"/>
              </w:rPr>
            </w:pPr>
            <w:r w:rsidRPr="00D6544F">
              <w:rPr>
                <w:rFonts w:ascii="Arial" w:hAnsi="Arial" w:cs="Arial"/>
                <w:i/>
                <w:iCs/>
                <w:sz w:val="20"/>
                <w:szCs w:val="20"/>
              </w:rPr>
              <w:t xml:space="preserve">“Test the effectiveness of new scaling models based on seed system scenario analysis, with known scaling methods used as counterfactuals.” (p. 74) </w:t>
            </w:r>
          </w:p>
        </w:tc>
      </w:tr>
      <w:tr w:rsidR="00993AF3" w:rsidRPr="00D6544F" w14:paraId="27409282" w14:textId="77777777" w:rsidTr="005575A1">
        <w:tc>
          <w:tcPr>
            <w:tcW w:w="428" w:type="pct"/>
          </w:tcPr>
          <w:p w14:paraId="68255E3A" w14:textId="77777777" w:rsidR="00993AF3" w:rsidRPr="00D6544F" w:rsidRDefault="00993AF3" w:rsidP="005575A1">
            <w:pPr>
              <w:jc w:val="center"/>
              <w:rPr>
                <w:rFonts w:ascii="Arial" w:hAnsi="Arial" w:cs="Arial"/>
                <w:sz w:val="20"/>
                <w:szCs w:val="20"/>
              </w:rPr>
            </w:pPr>
            <w:r>
              <w:rPr>
                <w:rFonts w:ascii="Arial" w:hAnsi="Arial" w:cs="Arial"/>
                <w:sz w:val="20"/>
                <w:szCs w:val="20"/>
              </w:rPr>
              <w:t>3</w:t>
            </w:r>
          </w:p>
        </w:tc>
        <w:tc>
          <w:tcPr>
            <w:tcW w:w="4572" w:type="pct"/>
          </w:tcPr>
          <w:p w14:paraId="7C9CD266" w14:textId="77777777" w:rsidR="00993AF3" w:rsidRPr="00D6544F" w:rsidRDefault="00993AF3" w:rsidP="005575A1">
            <w:pPr>
              <w:jc w:val="center"/>
              <w:rPr>
                <w:rFonts w:ascii="Arial" w:hAnsi="Arial" w:cs="Arial"/>
                <w:i/>
                <w:iCs/>
                <w:sz w:val="20"/>
                <w:szCs w:val="20"/>
              </w:rPr>
            </w:pPr>
            <w:r w:rsidRPr="002C1E81">
              <w:rPr>
                <w:rFonts w:ascii="Arial" w:hAnsi="Arial" w:cs="Arial"/>
                <w:b/>
                <w:bCs/>
                <w:sz w:val="20"/>
                <w:szCs w:val="20"/>
              </w:rPr>
              <w:t>Enabling environment (technology, institutions, policies).</w:t>
            </w:r>
          </w:p>
        </w:tc>
      </w:tr>
      <w:tr w:rsidR="00993AF3" w:rsidRPr="00D6544F" w14:paraId="218FFC18" w14:textId="77777777" w:rsidTr="005575A1">
        <w:tc>
          <w:tcPr>
            <w:tcW w:w="428" w:type="pct"/>
          </w:tcPr>
          <w:p w14:paraId="73415E04" w14:textId="77777777" w:rsidR="00993AF3" w:rsidRPr="00D6544F" w:rsidRDefault="00993AF3" w:rsidP="005575A1">
            <w:pPr>
              <w:jc w:val="center"/>
              <w:rPr>
                <w:rFonts w:ascii="Arial" w:hAnsi="Arial" w:cs="Arial"/>
                <w:sz w:val="20"/>
                <w:szCs w:val="20"/>
              </w:rPr>
            </w:pPr>
          </w:p>
        </w:tc>
        <w:tc>
          <w:tcPr>
            <w:tcW w:w="4572" w:type="pct"/>
          </w:tcPr>
          <w:p w14:paraId="2DC0A2A9" w14:textId="77777777" w:rsidR="00993AF3" w:rsidRPr="00D6544F" w:rsidRDefault="00993AF3" w:rsidP="005575A1">
            <w:pPr>
              <w:rPr>
                <w:rFonts w:ascii="Arial" w:hAnsi="Arial" w:cs="Arial"/>
                <w:i/>
                <w:iCs/>
                <w:sz w:val="20"/>
                <w:szCs w:val="20"/>
              </w:rPr>
            </w:pPr>
            <w:r w:rsidRPr="00D6544F">
              <w:rPr>
                <w:rFonts w:ascii="Arial" w:hAnsi="Arial" w:cs="Arial"/>
                <w:i/>
                <w:iCs/>
                <w:sz w:val="20"/>
                <w:szCs w:val="20"/>
              </w:rPr>
              <w:t xml:space="preserve">“The GLDC Theory of Change argues that household-level outcomes of food security, resilience and poverty reduction depend on the ability of smallholder farmers and other actors to tackle system-level change in agri-food system regimes” (p. 13) </w:t>
            </w:r>
          </w:p>
          <w:p w14:paraId="522CF3C0" w14:textId="77777777" w:rsidR="00993AF3" w:rsidRPr="00D6544F" w:rsidRDefault="00993AF3" w:rsidP="005575A1">
            <w:pPr>
              <w:rPr>
                <w:rFonts w:ascii="Arial" w:hAnsi="Arial" w:cs="Arial"/>
                <w:i/>
                <w:iCs/>
                <w:sz w:val="20"/>
                <w:szCs w:val="20"/>
              </w:rPr>
            </w:pPr>
            <w:r w:rsidRPr="00D6544F">
              <w:rPr>
                <w:rFonts w:ascii="Arial" w:hAnsi="Arial" w:cs="Arial"/>
                <w:i/>
                <w:iCs/>
                <w:sz w:val="20"/>
                <w:szCs w:val="20"/>
              </w:rPr>
              <w:t>“Research will lead to household level outcomes by developing integrated technological, institutional and policy solutions” (p. 15)</w:t>
            </w:r>
          </w:p>
        </w:tc>
      </w:tr>
      <w:tr w:rsidR="00993AF3" w:rsidRPr="00D6544F" w14:paraId="3F259EBE" w14:textId="77777777" w:rsidTr="005575A1">
        <w:tc>
          <w:tcPr>
            <w:tcW w:w="428" w:type="pct"/>
          </w:tcPr>
          <w:p w14:paraId="2BC6FB6A" w14:textId="77777777" w:rsidR="00993AF3" w:rsidRPr="00D6544F" w:rsidRDefault="00993AF3" w:rsidP="005575A1">
            <w:pPr>
              <w:jc w:val="center"/>
              <w:rPr>
                <w:rFonts w:ascii="Arial" w:hAnsi="Arial" w:cs="Arial"/>
                <w:sz w:val="20"/>
                <w:szCs w:val="20"/>
              </w:rPr>
            </w:pPr>
            <w:r>
              <w:rPr>
                <w:rFonts w:ascii="Arial" w:hAnsi="Arial" w:cs="Arial"/>
                <w:sz w:val="20"/>
                <w:szCs w:val="20"/>
              </w:rPr>
              <w:t>4</w:t>
            </w:r>
          </w:p>
        </w:tc>
        <w:tc>
          <w:tcPr>
            <w:tcW w:w="4572" w:type="pct"/>
          </w:tcPr>
          <w:p w14:paraId="0BA7CB0E" w14:textId="77777777" w:rsidR="00993AF3" w:rsidRPr="00BA511C" w:rsidRDefault="00993AF3" w:rsidP="005575A1">
            <w:pPr>
              <w:jc w:val="center"/>
              <w:rPr>
                <w:rFonts w:ascii="Arial" w:hAnsi="Arial" w:cs="Arial"/>
                <w:b/>
                <w:bCs/>
                <w:sz w:val="20"/>
                <w:szCs w:val="20"/>
              </w:rPr>
            </w:pPr>
            <w:r w:rsidRPr="00BA511C">
              <w:rPr>
                <w:rFonts w:ascii="Arial" w:hAnsi="Arial" w:cs="Arial"/>
                <w:b/>
                <w:bCs/>
                <w:sz w:val="20"/>
                <w:szCs w:val="20"/>
              </w:rPr>
              <w:t>Adoption</w:t>
            </w:r>
          </w:p>
        </w:tc>
      </w:tr>
      <w:tr w:rsidR="00993AF3" w:rsidRPr="00D6544F" w14:paraId="7AF1A951" w14:textId="77777777" w:rsidTr="005575A1">
        <w:tc>
          <w:tcPr>
            <w:tcW w:w="428" w:type="pct"/>
          </w:tcPr>
          <w:p w14:paraId="2147C3E1" w14:textId="77777777" w:rsidR="00993AF3" w:rsidRDefault="00993AF3" w:rsidP="005575A1">
            <w:pPr>
              <w:jc w:val="center"/>
              <w:rPr>
                <w:rFonts w:ascii="Arial" w:hAnsi="Arial" w:cs="Arial"/>
                <w:sz w:val="20"/>
                <w:szCs w:val="20"/>
              </w:rPr>
            </w:pPr>
          </w:p>
        </w:tc>
        <w:tc>
          <w:tcPr>
            <w:tcW w:w="4572" w:type="pct"/>
          </w:tcPr>
          <w:p w14:paraId="593254F2" w14:textId="77777777" w:rsidR="00993AF3" w:rsidRPr="009928CA" w:rsidRDefault="00993AF3" w:rsidP="005575A1">
            <w:pPr>
              <w:jc w:val="both"/>
              <w:rPr>
                <w:rFonts w:ascii="Arial" w:hAnsi="Arial" w:cs="Arial"/>
                <w:i/>
                <w:iCs/>
                <w:sz w:val="20"/>
                <w:szCs w:val="20"/>
              </w:rPr>
            </w:pPr>
            <w:r w:rsidRPr="009928CA">
              <w:rPr>
                <w:rFonts w:ascii="Arial" w:hAnsi="Arial" w:cs="Arial"/>
                <w:i/>
                <w:iCs/>
                <w:sz w:val="20"/>
                <w:szCs w:val="20"/>
              </w:rPr>
              <w:t xml:space="preserve">“Understanding the drivers of adoption and dis-adoption. is crucial to facilitate scaling of innovations…” (p. 30). </w:t>
            </w:r>
          </w:p>
        </w:tc>
      </w:tr>
      <w:tr w:rsidR="00993AF3" w:rsidRPr="00D6544F" w14:paraId="2E75B0B9" w14:textId="77777777" w:rsidTr="005575A1">
        <w:tc>
          <w:tcPr>
            <w:tcW w:w="428" w:type="pct"/>
          </w:tcPr>
          <w:p w14:paraId="23F98DBA" w14:textId="77777777" w:rsidR="00993AF3" w:rsidRDefault="00993AF3" w:rsidP="005575A1">
            <w:pPr>
              <w:jc w:val="center"/>
              <w:rPr>
                <w:rFonts w:ascii="Arial" w:hAnsi="Arial" w:cs="Arial"/>
                <w:sz w:val="20"/>
                <w:szCs w:val="20"/>
              </w:rPr>
            </w:pPr>
            <w:r>
              <w:rPr>
                <w:rFonts w:ascii="Arial" w:hAnsi="Arial" w:cs="Arial"/>
                <w:sz w:val="20"/>
                <w:szCs w:val="20"/>
              </w:rPr>
              <w:t>5</w:t>
            </w:r>
          </w:p>
        </w:tc>
        <w:tc>
          <w:tcPr>
            <w:tcW w:w="4572" w:type="pct"/>
          </w:tcPr>
          <w:p w14:paraId="37BED171" w14:textId="77777777" w:rsidR="00993AF3" w:rsidRPr="00BA511C" w:rsidRDefault="00993AF3" w:rsidP="005575A1">
            <w:pPr>
              <w:jc w:val="center"/>
              <w:rPr>
                <w:rFonts w:ascii="Arial" w:hAnsi="Arial" w:cs="Arial"/>
                <w:b/>
                <w:bCs/>
                <w:sz w:val="20"/>
                <w:szCs w:val="20"/>
              </w:rPr>
            </w:pPr>
            <w:r w:rsidRPr="00BA511C">
              <w:rPr>
                <w:rFonts w:ascii="Arial" w:hAnsi="Arial" w:cs="Arial"/>
                <w:b/>
                <w:bCs/>
                <w:sz w:val="20"/>
                <w:szCs w:val="20"/>
              </w:rPr>
              <w:t>Diets</w:t>
            </w:r>
          </w:p>
        </w:tc>
      </w:tr>
      <w:tr w:rsidR="00993AF3" w:rsidRPr="00D6544F" w14:paraId="6BEE4B0F" w14:textId="77777777" w:rsidTr="005575A1">
        <w:tc>
          <w:tcPr>
            <w:tcW w:w="428" w:type="pct"/>
          </w:tcPr>
          <w:p w14:paraId="7409666C" w14:textId="77777777" w:rsidR="00993AF3" w:rsidRDefault="00993AF3" w:rsidP="005575A1">
            <w:pPr>
              <w:jc w:val="center"/>
              <w:rPr>
                <w:rFonts w:ascii="Arial" w:hAnsi="Arial" w:cs="Arial"/>
                <w:sz w:val="20"/>
                <w:szCs w:val="20"/>
              </w:rPr>
            </w:pPr>
          </w:p>
        </w:tc>
        <w:tc>
          <w:tcPr>
            <w:tcW w:w="4572" w:type="pct"/>
          </w:tcPr>
          <w:p w14:paraId="27AB266F" w14:textId="77777777" w:rsidR="00993AF3" w:rsidRPr="00BA511C" w:rsidRDefault="00993AF3" w:rsidP="005575A1">
            <w:pPr>
              <w:jc w:val="center"/>
              <w:rPr>
                <w:rFonts w:ascii="Arial" w:hAnsi="Arial" w:cs="Arial"/>
                <w:b/>
                <w:bCs/>
                <w:sz w:val="20"/>
                <w:szCs w:val="20"/>
              </w:rPr>
            </w:pPr>
            <w:r w:rsidRPr="00D6544F">
              <w:rPr>
                <w:rFonts w:ascii="Arial" w:hAnsi="Arial" w:cs="Arial"/>
                <w:i/>
                <w:iCs/>
                <w:sz w:val="20"/>
                <w:szCs w:val="20"/>
              </w:rPr>
              <w:t>GLDC crops are highly nutritious and fulfil some of the highest nutrition needs in developing countries, and particularly the needs of women and children (p. 3)</w:t>
            </w:r>
          </w:p>
        </w:tc>
      </w:tr>
      <w:tr w:rsidR="00993AF3" w:rsidRPr="00D6544F" w14:paraId="5BFD0098" w14:textId="77777777" w:rsidTr="005575A1">
        <w:tc>
          <w:tcPr>
            <w:tcW w:w="428" w:type="pct"/>
          </w:tcPr>
          <w:p w14:paraId="2FC27D61" w14:textId="77777777" w:rsidR="00993AF3" w:rsidRDefault="00993AF3" w:rsidP="005575A1">
            <w:pPr>
              <w:jc w:val="center"/>
              <w:rPr>
                <w:rFonts w:ascii="Arial" w:hAnsi="Arial" w:cs="Arial"/>
                <w:sz w:val="20"/>
                <w:szCs w:val="20"/>
              </w:rPr>
            </w:pPr>
          </w:p>
        </w:tc>
        <w:tc>
          <w:tcPr>
            <w:tcW w:w="4572" w:type="pct"/>
          </w:tcPr>
          <w:p w14:paraId="5350C0B0" w14:textId="77777777" w:rsidR="00993AF3" w:rsidRPr="00BA511C" w:rsidRDefault="00993AF3" w:rsidP="005575A1">
            <w:pPr>
              <w:jc w:val="center"/>
              <w:rPr>
                <w:rFonts w:ascii="Arial" w:hAnsi="Arial" w:cs="Arial"/>
                <w:b/>
                <w:bCs/>
                <w:sz w:val="20"/>
                <w:szCs w:val="20"/>
              </w:rPr>
            </w:pPr>
            <w:r w:rsidRPr="00D6544F">
              <w:rPr>
                <w:rFonts w:ascii="Arial" w:hAnsi="Arial" w:cs="Arial"/>
                <w:i/>
                <w:iCs/>
                <w:sz w:val="20"/>
                <w:szCs w:val="20"/>
              </w:rPr>
              <w:t xml:space="preserve">“The nutrition of women and children under five is currently a global challenge with high cases of </w:t>
            </w:r>
            <w:proofErr w:type="spellStart"/>
            <w:r w:rsidRPr="00D6544F">
              <w:rPr>
                <w:rFonts w:ascii="Arial" w:hAnsi="Arial" w:cs="Arial"/>
                <w:i/>
                <w:iCs/>
                <w:sz w:val="20"/>
                <w:szCs w:val="20"/>
              </w:rPr>
              <w:t>anemia</w:t>
            </w:r>
            <w:proofErr w:type="spellEnd"/>
            <w:r w:rsidRPr="00D6544F">
              <w:rPr>
                <w:rFonts w:ascii="Arial" w:hAnsi="Arial" w:cs="Arial"/>
                <w:i/>
                <w:iCs/>
                <w:sz w:val="20"/>
                <w:szCs w:val="20"/>
              </w:rPr>
              <w:t xml:space="preserve">, malnutrition, vitamin and mineral deficiencies being reported. This is a paradox since most women who are growing these crops exhibit problems of </w:t>
            </w:r>
            <w:proofErr w:type="spellStart"/>
            <w:r w:rsidRPr="00D6544F">
              <w:rPr>
                <w:rFonts w:ascii="Arial" w:hAnsi="Arial" w:cs="Arial"/>
                <w:i/>
                <w:iCs/>
                <w:sz w:val="20"/>
                <w:szCs w:val="20"/>
              </w:rPr>
              <w:t>anemia</w:t>
            </w:r>
            <w:proofErr w:type="spellEnd"/>
            <w:r w:rsidRPr="00D6544F">
              <w:rPr>
                <w:rFonts w:ascii="Arial" w:hAnsi="Arial" w:cs="Arial"/>
                <w:i/>
                <w:iCs/>
                <w:sz w:val="20"/>
                <w:szCs w:val="20"/>
              </w:rPr>
              <w:t xml:space="preserve"> while their children under the age of five are stunted or malnourished80. Complex interaction between use of nutritious foods for income generation, as market-oriented value chains are developed for the women empowerment, potentially causes shifts in household power relations and un-intended negative impacts on household nutrition security” (pp 16- 17)</w:t>
            </w:r>
          </w:p>
        </w:tc>
      </w:tr>
      <w:tr w:rsidR="00993AF3" w:rsidRPr="00D6544F" w14:paraId="246716F1" w14:textId="77777777" w:rsidTr="005575A1">
        <w:tc>
          <w:tcPr>
            <w:tcW w:w="428" w:type="pct"/>
          </w:tcPr>
          <w:p w14:paraId="140CAD33" w14:textId="77777777" w:rsidR="00993AF3" w:rsidRDefault="00993AF3" w:rsidP="005575A1">
            <w:pPr>
              <w:jc w:val="center"/>
              <w:rPr>
                <w:rFonts w:ascii="Arial" w:hAnsi="Arial" w:cs="Arial"/>
                <w:sz w:val="20"/>
                <w:szCs w:val="20"/>
              </w:rPr>
            </w:pPr>
            <w:r w:rsidRPr="00D6544F">
              <w:rPr>
                <w:rFonts w:ascii="Arial" w:hAnsi="Arial" w:cs="Arial"/>
                <w:sz w:val="20"/>
                <w:szCs w:val="20"/>
              </w:rPr>
              <w:t>8</w:t>
            </w:r>
          </w:p>
        </w:tc>
        <w:tc>
          <w:tcPr>
            <w:tcW w:w="4572" w:type="pct"/>
          </w:tcPr>
          <w:p w14:paraId="455D392C" w14:textId="77777777" w:rsidR="00993AF3" w:rsidRPr="00BA511C" w:rsidRDefault="00993AF3" w:rsidP="005575A1">
            <w:pPr>
              <w:jc w:val="center"/>
              <w:rPr>
                <w:rFonts w:ascii="Arial" w:hAnsi="Arial" w:cs="Arial"/>
                <w:b/>
                <w:bCs/>
                <w:i/>
                <w:iCs/>
                <w:sz w:val="20"/>
                <w:szCs w:val="20"/>
              </w:rPr>
            </w:pPr>
            <w:r w:rsidRPr="00BA511C">
              <w:rPr>
                <w:rFonts w:ascii="Arial" w:hAnsi="Arial" w:cs="Arial"/>
                <w:b/>
                <w:bCs/>
                <w:sz w:val="20"/>
                <w:szCs w:val="20"/>
              </w:rPr>
              <w:t>Productivity and profits</w:t>
            </w:r>
          </w:p>
        </w:tc>
      </w:tr>
      <w:tr w:rsidR="00993AF3" w:rsidRPr="00D6544F" w14:paraId="4B3C6ABC" w14:textId="77777777" w:rsidTr="005575A1">
        <w:tc>
          <w:tcPr>
            <w:tcW w:w="428" w:type="pct"/>
          </w:tcPr>
          <w:p w14:paraId="21E7D9BE" w14:textId="77777777" w:rsidR="00993AF3" w:rsidRDefault="00993AF3" w:rsidP="005575A1">
            <w:pPr>
              <w:jc w:val="center"/>
              <w:rPr>
                <w:rFonts w:ascii="Arial" w:hAnsi="Arial" w:cs="Arial"/>
                <w:sz w:val="20"/>
                <w:szCs w:val="20"/>
              </w:rPr>
            </w:pPr>
          </w:p>
        </w:tc>
        <w:tc>
          <w:tcPr>
            <w:tcW w:w="4572" w:type="pct"/>
          </w:tcPr>
          <w:p w14:paraId="56991EB8" w14:textId="77777777" w:rsidR="00993AF3" w:rsidRPr="00D6544F" w:rsidRDefault="00993AF3" w:rsidP="005575A1">
            <w:pPr>
              <w:jc w:val="center"/>
              <w:rPr>
                <w:rFonts w:ascii="Arial" w:hAnsi="Arial" w:cs="Arial"/>
                <w:i/>
                <w:iCs/>
                <w:sz w:val="20"/>
                <w:szCs w:val="20"/>
              </w:rPr>
            </w:pPr>
            <w:r w:rsidRPr="00432C7B">
              <w:rPr>
                <w:rFonts w:ascii="Arial" w:hAnsi="Arial" w:cs="Arial"/>
                <w:i/>
                <w:iCs/>
                <w:sz w:val="20"/>
                <w:szCs w:val="20"/>
              </w:rPr>
              <w:t>Which value chains offer potential for improving household incomes … and in which should GLDC invest for targeting? (p. 30)</w:t>
            </w:r>
          </w:p>
        </w:tc>
      </w:tr>
      <w:tr w:rsidR="00993AF3" w:rsidRPr="00D6544F" w14:paraId="6BE1221B" w14:textId="77777777" w:rsidTr="005575A1">
        <w:tc>
          <w:tcPr>
            <w:tcW w:w="428" w:type="pct"/>
          </w:tcPr>
          <w:p w14:paraId="67D78BBB" w14:textId="77777777" w:rsidR="00993AF3" w:rsidRPr="00D6544F" w:rsidRDefault="00993AF3" w:rsidP="005575A1">
            <w:pPr>
              <w:jc w:val="center"/>
              <w:rPr>
                <w:rFonts w:ascii="Arial" w:hAnsi="Arial" w:cs="Arial"/>
                <w:sz w:val="20"/>
                <w:szCs w:val="20"/>
              </w:rPr>
            </w:pPr>
            <w:r>
              <w:rPr>
                <w:rFonts w:ascii="Arial" w:hAnsi="Arial" w:cs="Arial"/>
                <w:sz w:val="20"/>
                <w:szCs w:val="20"/>
              </w:rPr>
              <w:t>7</w:t>
            </w:r>
          </w:p>
        </w:tc>
        <w:tc>
          <w:tcPr>
            <w:tcW w:w="4572" w:type="pct"/>
          </w:tcPr>
          <w:p w14:paraId="5318722E" w14:textId="77777777" w:rsidR="00993AF3" w:rsidRPr="00BA511C" w:rsidRDefault="00993AF3" w:rsidP="005575A1">
            <w:pPr>
              <w:jc w:val="center"/>
              <w:rPr>
                <w:rFonts w:ascii="Arial" w:hAnsi="Arial" w:cs="Arial"/>
                <w:b/>
                <w:bCs/>
                <w:sz w:val="20"/>
                <w:szCs w:val="20"/>
              </w:rPr>
            </w:pPr>
            <w:r w:rsidRPr="00BA511C">
              <w:rPr>
                <w:rFonts w:ascii="Arial" w:hAnsi="Arial" w:cs="Arial"/>
                <w:b/>
                <w:bCs/>
                <w:sz w:val="20"/>
                <w:szCs w:val="20"/>
              </w:rPr>
              <w:t>NRM and resilience</w:t>
            </w:r>
          </w:p>
        </w:tc>
      </w:tr>
      <w:tr w:rsidR="00993AF3" w:rsidRPr="00D6544F" w14:paraId="45D53CEB" w14:textId="77777777" w:rsidTr="005575A1">
        <w:tc>
          <w:tcPr>
            <w:tcW w:w="428" w:type="pct"/>
          </w:tcPr>
          <w:p w14:paraId="36E64604" w14:textId="77777777" w:rsidR="00993AF3" w:rsidRPr="00D6544F" w:rsidRDefault="00993AF3" w:rsidP="005575A1">
            <w:pPr>
              <w:jc w:val="center"/>
              <w:rPr>
                <w:rFonts w:ascii="Arial" w:hAnsi="Arial" w:cs="Arial"/>
                <w:sz w:val="20"/>
                <w:szCs w:val="20"/>
              </w:rPr>
            </w:pPr>
          </w:p>
        </w:tc>
        <w:tc>
          <w:tcPr>
            <w:tcW w:w="4572" w:type="pct"/>
          </w:tcPr>
          <w:p w14:paraId="3B18E9FC" w14:textId="77777777" w:rsidR="00993AF3" w:rsidRPr="00D6544F" w:rsidRDefault="00993AF3" w:rsidP="005575A1">
            <w:pPr>
              <w:jc w:val="center"/>
              <w:rPr>
                <w:rFonts w:ascii="Arial" w:hAnsi="Arial" w:cs="Arial"/>
                <w:i/>
                <w:iCs/>
                <w:sz w:val="20"/>
                <w:szCs w:val="20"/>
              </w:rPr>
            </w:pPr>
            <w:r w:rsidRPr="00D6544F">
              <w:rPr>
                <w:rFonts w:ascii="Arial" w:hAnsi="Arial" w:cs="Arial"/>
                <w:i/>
                <w:iCs/>
                <w:sz w:val="20"/>
                <w:szCs w:val="20"/>
              </w:rPr>
              <w:t>“To increase the climate resilience of farming systems through integrated soil, crop, water and nutrient management approaches; To manage and conserve the natural resource base and close nutrient cycles to avoid soil fertility losses” (p. 55)</w:t>
            </w:r>
          </w:p>
        </w:tc>
      </w:tr>
    </w:tbl>
    <w:p w14:paraId="208ECB14" w14:textId="77777777" w:rsidR="00993AF3" w:rsidRPr="001B54F4" w:rsidRDefault="00993AF3" w:rsidP="00993AF3">
      <w:pPr>
        <w:jc w:val="both"/>
        <w:rPr>
          <w:rFonts w:ascii="Arial" w:hAnsi="Arial" w:cs="Arial"/>
          <w:sz w:val="20"/>
          <w:szCs w:val="20"/>
        </w:rPr>
      </w:pPr>
      <w:r w:rsidRPr="001B54F4">
        <w:rPr>
          <w:rFonts w:ascii="Arial" w:hAnsi="Arial" w:cs="Arial"/>
          <w:sz w:val="20"/>
          <w:szCs w:val="20"/>
        </w:rPr>
        <w:t>Source: GLDC Full Proposal (2018).</w:t>
      </w:r>
    </w:p>
    <w:p w14:paraId="392D39AF" w14:textId="77777777" w:rsidR="00A32DDD" w:rsidRDefault="00A32DDD" w:rsidP="00A32DDD">
      <w:pPr>
        <w:jc w:val="both"/>
        <w:rPr>
          <w:rFonts w:ascii="Arial" w:hAnsi="Arial" w:cs="Arial"/>
          <w:b/>
          <w:bCs/>
        </w:rPr>
        <w:sectPr w:rsidR="00A32DDD" w:rsidSect="00E569B9">
          <w:pgSz w:w="12240" w:h="15840"/>
          <w:pgMar w:top="1440" w:right="1440" w:bottom="1440" w:left="1440" w:header="720" w:footer="720" w:gutter="0"/>
          <w:pgNumType w:start="1"/>
          <w:cols w:space="720"/>
          <w:docGrid w:linePitch="360"/>
        </w:sectPr>
      </w:pPr>
    </w:p>
    <w:p w14:paraId="07C84337" w14:textId="7E8E6E5F" w:rsidR="00A32DDD" w:rsidRPr="00A32DDD" w:rsidRDefault="00A32DDD" w:rsidP="00A32DDD">
      <w:pPr>
        <w:jc w:val="both"/>
        <w:rPr>
          <w:rFonts w:ascii="Arial" w:hAnsi="Arial" w:cs="Arial"/>
          <w:b/>
          <w:bCs/>
        </w:rPr>
      </w:pPr>
      <w:r w:rsidRPr="00A32DDD">
        <w:rPr>
          <w:rFonts w:ascii="Arial" w:hAnsi="Arial" w:cs="Arial"/>
          <w:b/>
          <w:bCs/>
        </w:rPr>
        <w:lastRenderedPageBreak/>
        <w:t>Annex 2: Summary of GLDC impact evaluations</w:t>
      </w:r>
      <w:r w:rsidRPr="00A32DDD">
        <w:rPr>
          <w:rFonts w:ascii="Arial" w:hAnsi="Arial" w:cs="Arial"/>
          <w:b/>
          <w:bCs/>
        </w:rPr>
        <w:footnoteReference w:id="3"/>
      </w:r>
    </w:p>
    <w:tbl>
      <w:tblPr>
        <w:tblW w:w="13670" w:type="dxa"/>
        <w:tblLayout w:type="fixed"/>
        <w:tblCellMar>
          <w:top w:w="14" w:type="dxa"/>
          <w:left w:w="14" w:type="dxa"/>
          <w:bottom w:w="14" w:type="dxa"/>
          <w:right w:w="14" w:type="dxa"/>
        </w:tblCellMar>
        <w:tblLook w:val="04A0" w:firstRow="1" w:lastRow="0" w:firstColumn="1" w:lastColumn="0" w:noHBand="0" w:noVBand="1"/>
      </w:tblPr>
      <w:tblGrid>
        <w:gridCol w:w="1160"/>
        <w:gridCol w:w="900"/>
        <w:gridCol w:w="931"/>
        <w:gridCol w:w="869"/>
        <w:gridCol w:w="1530"/>
        <w:gridCol w:w="1980"/>
        <w:gridCol w:w="4410"/>
        <w:gridCol w:w="1890"/>
      </w:tblGrid>
      <w:tr w:rsidR="00A32DDD" w:rsidRPr="00D20063" w14:paraId="5423D576" w14:textId="77777777" w:rsidTr="00F865DC">
        <w:trPr>
          <w:trHeight w:val="20"/>
        </w:trPr>
        <w:tc>
          <w:tcPr>
            <w:tcW w:w="1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8C7380C"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Study</w:t>
            </w:r>
          </w:p>
        </w:tc>
        <w:tc>
          <w:tcPr>
            <w:tcW w:w="900" w:type="dxa"/>
            <w:tcBorders>
              <w:top w:val="single" w:sz="8" w:space="0" w:color="auto"/>
              <w:left w:val="nil"/>
              <w:bottom w:val="single" w:sz="8" w:space="0" w:color="auto"/>
              <w:right w:val="single" w:sz="8" w:space="0" w:color="auto"/>
            </w:tcBorders>
            <w:shd w:val="clear" w:color="auto" w:fill="auto"/>
            <w:noWrap/>
            <w:vAlign w:val="center"/>
            <w:hideMark/>
          </w:tcPr>
          <w:p w14:paraId="7DBDFE7F"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Crop</w:t>
            </w:r>
          </w:p>
        </w:tc>
        <w:tc>
          <w:tcPr>
            <w:tcW w:w="931" w:type="dxa"/>
            <w:tcBorders>
              <w:top w:val="single" w:sz="8" w:space="0" w:color="auto"/>
              <w:left w:val="nil"/>
              <w:bottom w:val="single" w:sz="8" w:space="0" w:color="auto"/>
              <w:right w:val="single" w:sz="8" w:space="0" w:color="auto"/>
            </w:tcBorders>
            <w:shd w:val="clear" w:color="auto" w:fill="auto"/>
            <w:noWrap/>
            <w:vAlign w:val="center"/>
            <w:hideMark/>
          </w:tcPr>
          <w:p w14:paraId="7CD93BAE"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Country/</w:t>
            </w:r>
            <w:r>
              <w:rPr>
                <w:rFonts w:ascii="Times New Roman" w:eastAsia="Times New Roman" w:hAnsi="Times New Roman" w:cs="Times New Roman"/>
                <w:b/>
                <w:bCs/>
                <w:sz w:val="18"/>
                <w:szCs w:val="18"/>
              </w:rPr>
              <w:t xml:space="preserve"> </w:t>
            </w:r>
            <w:r w:rsidRPr="00D20063">
              <w:rPr>
                <w:rFonts w:ascii="Times New Roman" w:eastAsia="Times New Roman" w:hAnsi="Times New Roman" w:cs="Times New Roman"/>
                <w:b/>
                <w:bCs/>
                <w:sz w:val="18"/>
                <w:szCs w:val="18"/>
              </w:rPr>
              <w:t>region</w:t>
            </w:r>
          </w:p>
        </w:tc>
        <w:tc>
          <w:tcPr>
            <w:tcW w:w="869" w:type="dxa"/>
            <w:tcBorders>
              <w:top w:val="single" w:sz="8" w:space="0" w:color="auto"/>
              <w:left w:val="nil"/>
              <w:bottom w:val="single" w:sz="8" w:space="0" w:color="auto"/>
              <w:right w:val="single" w:sz="8" w:space="0" w:color="auto"/>
            </w:tcBorders>
            <w:shd w:val="clear" w:color="auto" w:fill="auto"/>
            <w:noWrap/>
            <w:vAlign w:val="center"/>
            <w:hideMark/>
          </w:tcPr>
          <w:p w14:paraId="34D371A1"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Impact theme</w:t>
            </w:r>
          </w:p>
        </w:tc>
        <w:tc>
          <w:tcPr>
            <w:tcW w:w="1530" w:type="dxa"/>
            <w:tcBorders>
              <w:top w:val="single" w:sz="8" w:space="0" w:color="auto"/>
              <w:left w:val="nil"/>
              <w:bottom w:val="single" w:sz="8" w:space="0" w:color="auto"/>
              <w:right w:val="single" w:sz="8" w:space="0" w:color="auto"/>
            </w:tcBorders>
            <w:shd w:val="clear" w:color="auto" w:fill="auto"/>
            <w:noWrap/>
            <w:vAlign w:val="center"/>
            <w:hideMark/>
          </w:tcPr>
          <w:p w14:paraId="2EBB0B3A"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Intervention</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14:paraId="58AA6C76"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External validity</w:t>
            </w:r>
          </w:p>
        </w:tc>
        <w:tc>
          <w:tcPr>
            <w:tcW w:w="4410" w:type="dxa"/>
            <w:tcBorders>
              <w:top w:val="single" w:sz="8" w:space="0" w:color="auto"/>
              <w:left w:val="nil"/>
              <w:bottom w:val="single" w:sz="8" w:space="0" w:color="auto"/>
              <w:right w:val="single" w:sz="8" w:space="0" w:color="auto"/>
            </w:tcBorders>
            <w:shd w:val="clear" w:color="auto" w:fill="auto"/>
            <w:noWrap/>
            <w:vAlign w:val="center"/>
            <w:hideMark/>
          </w:tcPr>
          <w:p w14:paraId="1D0FD425"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Estimated impact</w:t>
            </w:r>
          </w:p>
        </w:tc>
        <w:tc>
          <w:tcPr>
            <w:tcW w:w="1890" w:type="dxa"/>
            <w:tcBorders>
              <w:top w:val="single" w:sz="8" w:space="0" w:color="auto"/>
              <w:left w:val="nil"/>
              <w:bottom w:val="single" w:sz="8" w:space="0" w:color="auto"/>
              <w:right w:val="single" w:sz="8" w:space="0" w:color="auto"/>
            </w:tcBorders>
            <w:shd w:val="clear" w:color="auto" w:fill="auto"/>
            <w:noWrap/>
            <w:vAlign w:val="center"/>
            <w:hideMark/>
          </w:tcPr>
          <w:p w14:paraId="034A4ACA" w14:textId="77777777" w:rsidR="00A32DDD" w:rsidRPr="00D20063" w:rsidRDefault="00A32DDD" w:rsidP="00F865DC">
            <w:pPr>
              <w:spacing w:after="0" w:line="240" w:lineRule="auto"/>
              <w:contextualSpacing/>
              <w:jc w:val="center"/>
              <w:rPr>
                <w:rFonts w:ascii="Times New Roman" w:eastAsia="Times New Roman" w:hAnsi="Times New Roman" w:cs="Times New Roman"/>
                <w:b/>
                <w:bCs/>
                <w:sz w:val="18"/>
                <w:szCs w:val="18"/>
              </w:rPr>
            </w:pPr>
            <w:r w:rsidRPr="00D20063">
              <w:rPr>
                <w:rFonts w:ascii="Times New Roman" w:eastAsia="Times New Roman" w:hAnsi="Times New Roman" w:cs="Times New Roman"/>
                <w:b/>
                <w:bCs/>
                <w:sz w:val="18"/>
                <w:szCs w:val="18"/>
              </w:rPr>
              <w:t>Methodology</w:t>
            </w:r>
          </w:p>
        </w:tc>
      </w:tr>
      <w:tr w:rsidR="00A32DDD" w:rsidRPr="00D20063" w14:paraId="4C67F22B"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7DC104E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Bulte</w:t>
            </w:r>
            <w:proofErr w:type="spellEnd"/>
            <w:r w:rsidRPr="00D20063">
              <w:rPr>
                <w:rFonts w:ascii="Times New Roman" w:eastAsia="Times New Roman" w:hAnsi="Times New Roman" w:cs="Times New Roman"/>
                <w:sz w:val="18"/>
                <w:szCs w:val="18"/>
              </w:rPr>
              <w:t xml:space="preserve"> et al., 2014</w:t>
            </w:r>
          </w:p>
        </w:tc>
        <w:tc>
          <w:tcPr>
            <w:tcW w:w="900" w:type="dxa"/>
            <w:tcBorders>
              <w:top w:val="nil"/>
              <w:left w:val="nil"/>
              <w:bottom w:val="single" w:sz="8" w:space="0" w:color="auto"/>
              <w:right w:val="single" w:sz="8" w:space="0" w:color="auto"/>
            </w:tcBorders>
            <w:shd w:val="clear" w:color="auto" w:fill="auto"/>
            <w:vAlign w:val="center"/>
            <w:hideMark/>
          </w:tcPr>
          <w:p w14:paraId="70E61E7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Cowpea</w:t>
            </w:r>
          </w:p>
        </w:tc>
        <w:tc>
          <w:tcPr>
            <w:tcW w:w="931" w:type="dxa"/>
            <w:tcBorders>
              <w:top w:val="nil"/>
              <w:left w:val="nil"/>
              <w:bottom w:val="single" w:sz="8" w:space="0" w:color="auto"/>
              <w:right w:val="single" w:sz="8" w:space="0" w:color="auto"/>
            </w:tcBorders>
            <w:shd w:val="clear" w:color="auto" w:fill="auto"/>
            <w:vAlign w:val="center"/>
            <w:hideMark/>
          </w:tcPr>
          <w:p w14:paraId="472C4B9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Tanzania</w:t>
            </w:r>
          </w:p>
        </w:tc>
        <w:tc>
          <w:tcPr>
            <w:tcW w:w="869" w:type="dxa"/>
            <w:tcBorders>
              <w:top w:val="nil"/>
              <w:left w:val="nil"/>
              <w:bottom w:val="single" w:sz="8" w:space="0" w:color="auto"/>
              <w:right w:val="single" w:sz="8" w:space="0" w:color="auto"/>
            </w:tcBorders>
            <w:shd w:val="clear" w:color="auto" w:fill="auto"/>
            <w:vAlign w:val="center"/>
            <w:hideMark/>
          </w:tcPr>
          <w:p w14:paraId="095CEA4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4C935F8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Improved seed treatment in RCT</w:t>
            </w:r>
          </w:p>
        </w:tc>
        <w:tc>
          <w:tcPr>
            <w:tcW w:w="1980" w:type="dxa"/>
            <w:tcBorders>
              <w:top w:val="nil"/>
              <w:left w:val="nil"/>
              <w:bottom w:val="single" w:sz="8" w:space="0" w:color="auto"/>
              <w:right w:val="single" w:sz="8" w:space="0" w:color="auto"/>
            </w:tcBorders>
            <w:shd w:val="clear" w:color="auto" w:fill="auto"/>
            <w:vAlign w:val="center"/>
            <w:hideMark/>
          </w:tcPr>
          <w:p w14:paraId="4CC4CCC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 xml:space="preserve">Cowpea producers in </w:t>
            </w:r>
            <w:proofErr w:type="spellStart"/>
            <w:r w:rsidRPr="00D20063">
              <w:rPr>
                <w:rFonts w:ascii="Times New Roman" w:eastAsia="Times New Roman" w:hAnsi="Times New Roman" w:cs="Times New Roman"/>
                <w:sz w:val="18"/>
                <w:szCs w:val="18"/>
              </w:rPr>
              <w:t>Morongoro</w:t>
            </w:r>
            <w:proofErr w:type="spellEnd"/>
            <w:r w:rsidRPr="00D20063">
              <w:rPr>
                <w:rFonts w:ascii="Times New Roman" w:eastAsia="Times New Roman" w:hAnsi="Times New Roman" w:cs="Times New Roman"/>
                <w:sz w:val="18"/>
                <w:szCs w:val="18"/>
              </w:rPr>
              <w:t>, Tanzania</w:t>
            </w:r>
          </w:p>
        </w:tc>
        <w:tc>
          <w:tcPr>
            <w:tcW w:w="4410" w:type="dxa"/>
            <w:tcBorders>
              <w:top w:val="nil"/>
              <w:left w:val="nil"/>
              <w:bottom w:val="single" w:sz="8" w:space="0" w:color="auto"/>
              <w:right w:val="single" w:sz="8" w:space="0" w:color="auto"/>
            </w:tcBorders>
            <w:shd w:val="clear" w:color="auto" w:fill="auto"/>
            <w:vAlign w:val="center"/>
            <w:hideMark/>
          </w:tcPr>
          <w:p w14:paraId="34F0EF7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27% increase in harvest volume from improved variety treatment, but 2/3 of effect due to induced effort (placebo).</w:t>
            </w:r>
          </w:p>
        </w:tc>
        <w:tc>
          <w:tcPr>
            <w:tcW w:w="1890" w:type="dxa"/>
            <w:tcBorders>
              <w:top w:val="nil"/>
              <w:left w:val="nil"/>
              <w:bottom w:val="single" w:sz="8" w:space="0" w:color="auto"/>
              <w:right w:val="single" w:sz="8" w:space="0" w:color="auto"/>
            </w:tcBorders>
            <w:shd w:val="clear" w:color="auto" w:fill="auto"/>
            <w:vAlign w:val="center"/>
            <w:hideMark/>
          </w:tcPr>
          <w:p w14:paraId="1A1FAE2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Experimental (RCT and double-blind RCT)</w:t>
            </w:r>
          </w:p>
        </w:tc>
      </w:tr>
      <w:tr w:rsidR="00A32DDD" w:rsidRPr="00D20063" w14:paraId="1039E3ED"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4AC22EB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Finkelstein et al., 2015</w:t>
            </w:r>
          </w:p>
        </w:tc>
        <w:tc>
          <w:tcPr>
            <w:tcW w:w="900" w:type="dxa"/>
            <w:tcBorders>
              <w:top w:val="nil"/>
              <w:left w:val="nil"/>
              <w:bottom w:val="single" w:sz="8" w:space="0" w:color="auto"/>
              <w:right w:val="single" w:sz="8" w:space="0" w:color="auto"/>
            </w:tcBorders>
            <w:shd w:val="clear" w:color="auto" w:fill="auto"/>
            <w:vAlign w:val="center"/>
            <w:hideMark/>
          </w:tcPr>
          <w:p w14:paraId="16870D2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Pearl Millet</w:t>
            </w:r>
          </w:p>
        </w:tc>
        <w:tc>
          <w:tcPr>
            <w:tcW w:w="931" w:type="dxa"/>
            <w:tcBorders>
              <w:top w:val="nil"/>
              <w:left w:val="nil"/>
              <w:bottom w:val="single" w:sz="8" w:space="0" w:color="auto"/>
              <w:right w:val="single" w:sz="8" w:space="0" w:color="auto"/>
            </w:tcBorders>
            <w:shd w:val="clear" w:color="auto" w:fill="auto"/>
            <w:vAlign w:val="center"/>
            <w:hideMark/>
          </w:tcPr>
          <w:p w14:paraId="56116A5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India</w:t>
            </w:r>
          </w:p>
        </w:tc>
        <w:tc>
          <w:tcPr>
            <w:tcW w:w="869" w:type="dxa"/>
            <w:tcBorders>
              <w:top w:val="nil"/>
              <w:left w:val="nil"/>
              <w:bottom w:val="single" w:sz="8" w:space="0" w:color="auto"/>
              <w:right w:val="single" w:sz="8" w:space="0" w:color="auto"/>
            </w:tcBorders>
            <w:shd w:val="clear" w:color="auto" w:fill="auto"/>
            <w:vAlign w:val="center"/>
            <w:hideMark/>
          </w:tcPr>
          <w:p w14:paraId="752A44A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Nutrition and food security</w:t>
            </w:r>
          </w:p>
        </w:tc>
        <w:tc>
          <w:tcPr>
            <w:tcW w:w="1530" w:type="dxa"/>
            <w:tcBorders>
              <w:top w:val="nil"/>
              <w:left w:val="nil"/>
              <w:bottom w:val="single" w:sz="8" w:space="0" w:color="auto"/>
              <w:right w:val="single" w:sz="8" w:space="0" w:color="auto"/>
            </w:tcBorders>
            <w:shd w:val="clear" w:color="auto" w:fill="auto"/>
            <w:vAlign w:val="center"/>
            <w:hideMark/>
          </w:tcPr>
          <w:p w14:paraId="7198B6D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Inclusion of bio</w:t>
            </w:r>
            <w:r>
              <w:rPr>
                <w:rFonts w:ascii="Times New Roman" w:eastAsia="Times New Roman" w:hAnsi="Times New Roman" w:cs="Times New Roman"/>
                <w:sz w:val="18"/>
                <w:szCs w:val="18"/>
              </w:rPr>
              <w:t>-</w:t>
            </w:r>
            <w:r w:rsidRPr="00D20063">
              <w:rPr>
                <w:rFonts w:ascii="Times New Roman" w:eastAsia="Times New Roman" w:hAnsi="Times New Roman" w:cs="Times New Roman"/>
                <w:sz w:val="18"/>
                <w:szCs w:val="18"/>
              </w:rPr>
              <w:t>fortified pearl millet in school lunch program</w:t>
            </w:r>
          </w:p>
        </w:tc>
        <w:tc>
          <w:tcPr>
            <w:tcW w:w="1980" w:type="dxa"/>
            <w:tcBorders>
              <w:top w:val="nil"/>
              <w:left w:val="nil"/>
              <w:bottom w:val="single" w:sz="8" w:space="0" w:color="auto"/>
              <w:right w:val="single" w:sz="8" w:space="0" w:color="auto"/>
            </w:tcBorders>
            <w:shd w:val="clear" w:color="auto" w:fill="auto"/>
            <w:vAlign w:val="center"/>
            <w:hideMark/>
          </w:tcPr>
          <w:p w14:paraId="0AAA95B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Upper bound of potential treatment effects on school children in India</w:t>
            </w:r>
          </w:p>
        </w:tc>
        <w:tc>
          <w:tcPr>
            <w:tcW w:w="4410" w:type="dxa"/>
            <w:tcBorders>
              <w:top w:val="nil"/>
              <w:left w:val="nil"/>
              <w:bottom w:val="single" w:sz="8" w:space="0" w:color="auto"/>
              <w:right w:val="single" w:sz="8" w:space="0" w:color="auto"/>
            </w:tcBorders>
            <w:shd w:val="clear" w:color="auto" w:fill="auto"/>
            <w:vAlign w:val="center"/>
            <w:hideMark/>
          </w:tcPr>
          <w:p w14:paraId="4D3F72D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Statistically significant positive treatment effects on four measures of iron deficiency</w:t>
            </w:r>
          </w:p>
        </w:tc>
        <w:tc>
          <w:tcPr>
            <w:tcW w:w="1890" w:type="dxa"/>
            <w:tcBorders>
              <w:top w:val="nil"/>
              <w:left w:val="nil"/>
              <w:bottom w:val="single" w:sz="8" w:space="0" w:color="auto"/>
              <w:right w:val="single" w:sz="8" w:space="0" w:color="auto"/>
            </w:tcBorders>
            <w:shd w:val="clear" w:color="auto" w:fill="auto"/>
            <w:vAlign w:val="center"/>
            <w:hideMark/>
          </w:tcPr>
          <w:p w14:paraId="162478C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Experimental (double-blind RCT)</w:t>
            </w:r>
          </w:p>
        </w:tc>
      </w:tr>
      <w:tr w:rsidR="00A32DDD" w:rsidRPr="00D20063" w14:paraId="5FD4A0BD"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17E9C41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Manda et al., 2019</w:t>
            </w:r>
          </w:p>
        </w:tc>
        <w:tc>
          <w:tcPr>
            <w:tcW w:w="900" w:type="dxa"/>
            <w:tcBorders>
              <w:top w:val="nil"/>
              <w:left w:val="nil"/>
              <w:bottom w:val="single" w:sz="8" w:space="0" w:color="auto"/>
              <w:right w:val="single" w:sz="8" w:space="0" w:color="auto"/>
            </w:tcBorders>
            <w:shd w:val="clear" w:color="auto" w:fill="auto"/>
            <w:vAlign w:val="center"/>
            <w:hideMark/>
          </w:tcPr>
          <w:p w14:paraId="7E1409F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Cowpea</w:t>
            </w:r>
          </w:p>
        </w:tc>
        <w:tc>
          <w:tcPr>
            <w:tcW w:w="931" w:type="dxa"/>
            <w:tcBorders>
              <w:top w:val="nil"/>
              <w:left w:val="nil"/>
              <w:bottom w:val="single" w:sz="8" w:space="0" w:color="auto"/>
              <w:right w:val="single" w:sz="8" w:space="0" w:color="auto"/>
            </w:tcBorders>
            <w:shd w:val="clear" w:color="auto" w:fill="auto"/>
            <w:vAlign w:val="center"/>
            <w:hideMark/>
          </w:tcPr>
          <w:p w14:paraId="61CEDBE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Nigeria</w:t>
            </w:r>
          </w:p>
        </w:tc>
        <w:tc>
          <w:tcPr>
            <w:tcW w:w="869" w:type="dxa"/>
            <w:tcBorders>
              <w:top w:val="nil"/>
              <w:left w:val="nil"/>
              <w:bottom w:val="single" w:sz="8" w:space="0" w:color="auto"/>
              <w:right w:val="single" w:sz="8" w:space="0" w:color="auto"/>
            </w:tcBorders>
            <w:shd w:val="clear" w:color="auto" w:fill="auto"/>
            <w:vAlign w:val="center"/>
            <w:hideMark/>
          </w:tcPr>
          <w:p w14:paraId="57D766A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7D8A6C9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4275893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Cowpea-producing regions of Nigeria</w:t>
            </w:r>
          </w:p>
        </w:tc>
        <w:tc>
          <w:tcPr>
            <w:tcW w:w="4410" w:type="dxa"/>
            <w:tcBorders>
              <w:top w:val="nil"/>
              <w:left w:val="nil"/>
              <w:bottom w:val="single" w:sz="8" w:space="0" w:color="auto"/>
              <w:right w:val="single" w:sz="8" w:space="0" w:color="auto"/>
            </w:tcBorders>
            <w:shd w:val="clear" w:color="auto" w:fill="auto"/>
            <w:vAlign w:val="center"/>
            <w:hideMark/>
          </w:tcPr>
          <w:p w14:paraId="321EF10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associated with 26% increase in yields, 61% increase in net returns, and 14% increase in production costs</w:t>
            </w:r>
          </w:p>
        </w:tc>
        <w:tc>
          <w:tcPr>
            <w:tcW w:w="1890" w:type="dxa"/>
            <w:tcBorders>
              <w:top w:val="nil"/>
              <w:left w:val="nil"/>
              <w:bottom w:val="single" w:sz="8" w:space="0" w:color="auto"/>
              <w:right w:val="single" w:sz="8" w:space="0" w:color="auto"/>
            </w:tcBorders>
            <w:shd w:val="clear" w:color="auto" w:fill="auto"/>
            <w:vAlign w:val="center"/>
            <w:hideMark/>
          </w:tcPr>
          <w:p w14:paraId="6810994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IV and PSM</w:t>
            </w:r>
          </w:p>
        </w:tc>
      </w:tr>
      <w:tr w:rsidR="00A32DDD" w:rsidRPr="00D20063" w14:paraId="66B54B4E" w14:textId="77777777" w:rsidTr="00F865DC">
        <w:trPr>
          <w:trHeight w:val="547"/>
        </w:trPr>
        <w:tc>
          <w:tcPr>
            <w:tcW w:w="1160" w:type="dxa"/>
            <w:tcBorders>
              <w:top w:val="nil"/>
              <w:left w:val="single" w:sz="8" w:space="0" w:color="auto"/>
              <w:bottom w:val="single" w:sz="8" w:space="0" w:color="auto"/>
              <w:right w:val="single" w:sz="8" w:space="0" w:color="auto"/>
            </w:tcBorders>
            <w:shd w:val="clear" w:color="auto" w:fill="auto"/>
            <w:vAlign w:val="center"/>
          </w:tcPr>
          <w:p w14:paraId="7B27671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Tufa et al., 2019</w:t>
            </w:r>
          </w:p>
        </w:tc>
        <w:tc>
          <w:tcPr>
            <w:tcW w:w="900" w:type="dxa"/>
            <w:tcBorders>
              <w:top w:val="nil"/>
              <w:left w:val="nil"/>
              <w:bottom w:val="single" w:sz="8" w:space="0" w:color="auto"/>
              <w:right w:val="single" w:sz="8" w:space="0" w:color="auto"/>
            </w:tcBorders>
            <w:shd w:val="clear" w:color="auto" w:fill="auto"/>
            <w:vAlign w:val="center"/>
          </w:tcPr>
          <w:p w14:paraId="31AB0E4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Soybean</w:t>
            </w:r>
          </w:p>
        </w:tc>
        <w:tc>
          <w:tcPr>
            <w:tcW w:w="931" w:type="dxa"/>
            <w:tcBorders>
              <w:top w:val="nil"/>
              <w:left w:val="nil"/>
              <w:bottom w:val="single" w:sz="8" w:space="0" w:color="auto"/>
              <w:right w:val="single" w:sz="8" w:space="0" w:color="auto"/>
            </w:tcBorders>
            <w:shd w:val="clear" w:color="auto" w:fill="auto"/>
            <w:vAlign w:val="center"/>
          </w:tcPr>
          <w:p w14:paraId="0A4EF4A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Malawi</w:t>
            </w:r>
          </w:p>
        </w:tc>
        <w:tc>
          <w:tcPr>
            <w:tcW w:w="869" w:type="dxa"/>
            <w:tcBorders>
              <w:top w:val="nil"/>
              <w:left w:val="nil"/>
              <w:bottom w:val="single" w:sz="8" w:space="0" w:color="auto"/>
              <w:right w:val="single" w:sz="8" w:space="0" w:color="auto"/>
            </w:tcBorders>
            <w:shd w:val="clear" w:color="auto" w:fill="auto"/>
            <w:vAlign w:val="center"/>
          </w:tcPr>
          <w:p w14:paraId="120BD1F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tcPr>
          <w:p w14:paraId="6A82551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tcPr>
          <w:p w14:paraId="2506DF7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Soybean-producing regions of Malawi</w:t>
            </w:r>
          </w:p>
        </w:tc>
        <w:tc>
          <w:tcPr>
            <w:tcW w:w="4410" w:type="dxa"/>
            <w:tcBorders>
              <w:top w:val="nil"/>
              <w:left w:val="nil"/>
              <w:bottom w:val="single" w:sz="8" w:space="0" w:color="auto"/>
              <w:right w:val="single" w:sz="8" w:space="0" w:color="auto"/>
            </w:tcBorders>
            <w:shd w:val="clear" w:color="auto" w:fill="auto"/>
            <w:vAlign w:val="center"/>
          </w:tcPr>
          <w:p w14:paraId="13B8CEF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Adoption associated with 61% increase in yield and 53% increase in income for adopters</w:t>
            </w:r>
          </w:p>
        </w:tc>
        <w:tc>
          <w:tcPr>
            <w:tcW w:w="1890" w:type="dxa"/>
            <w:tcBorders>
              <w:top w:val="nil"/>
              <w:left w:val="nil"/>
              <w:bottom w:val="single" w:sz="8" w:space="0" w:color="auto"/>
              <w:right w:val="single" w:sz="8" w:space="0" w:color="auto"/>
            </w:tcBorders>
            <w:shd w:val="clear" w:color="auto" w:fill="auto"/>
            <w:vAlign w:val="center"/>
          </w:tcPr>
          <w:p w14:paraId="33E8028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Observational: endogenous switching regression &amp; PSM</w:t>
            </w:r>
          </w:p>
        </w:tc>
      </w:tr>
      <w:tr w:rsidR="00A32DDD" w:rsidRPr="00D20063" w14:paraId="2F41F635"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5416E8D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Michler et al., 2018</w:t>
            </w:r>
          </w:p>
        </w:tc>
        <w:tc>
          <w:tcPr>
            <w:tcW w:w="900" w:type="dxa"/>
            <w:tcBorders>
              <w:top w:val="nil"/>
              <w:left w:val="nil"/>
              <w:bottom w:val="single" w:sz="8" w:space="0" w:color="auto"/>
              <w:right w:val="single" w:sz="8" w:space="0" w:color="auto"/>
            </w:tcBorders>
            <w:shd w:val="clear" w:color="auto" w:fill="auto"/>
            <w:vAlign w:val="center"/>
            <w:hideMark/>
          </w:tcPr>
          <w:p w14:paraId="0DF07E5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w:t>
            </w:r>
          </w:p>
        </w:tc>
        <w:tc>
          <w:tcPr>
            <w:tcW w:w="931" w:type="dxa"/>
            <w:tcBorders>
              <w:top w:val="nil"/>
              <w:left w:val="nil"/>
              <w:bottom w:val="single" w:sz="8" w:space="0" w:color="auto"/>
              <w:right w:val="single" w:sz="8" w:space="0" w:color="auto"/>
            </w:tcBorders>
            <w:shd w:val="clear" w:color="auto" w:fill="auto"/>
            <w:vAlign w:val="center"/>
            <w:hideMark/>
          </w:tcPr>
          <w:p w14:paraId="5E2AB1F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Ethiopia</w:t>
            </w:r>
          </w:p>
        </w:tc>
        <w:tc>
          <w:tcPr>
            <w:tcW w:w="869" w:type="dxa"/>
            <w:tcBorders>
              <w:top w:val="nil"/>
              <w:left w:val="nil"/>
              <w:bottom w:val="single" w:sz="8" w:space="0" w:color="auto"/>
              <w:right w:val="single" w:sz="8" w:space="0" w:color="auto"/>
            </w:tcBorders>
            <w:shd w:val="clear" w:color="auto" w:fill="auto"/>
            <w:vAlign w:val="center"/>
            <w:hideMark/>
          </w:tcPr>
          <w:p w14:paraId="26F9D74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59C3848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3CBFCD1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Chickpea-producing regions in Ethiopia</w:t>
            </w:r>
          </w:p>
        </w:tc>
        <w:tc>
          <w:tcPr>
            <w:tcW w:w="4410" w:type="dxa"/>
            <w:tcBorders>
              <w:top w:val="nil"/>
              <w:left w:val="nil"/>
              <w:bottom w:val="single" w:sz="8" w:space="0" w:color="auto"/>
              <w:right w:val="single" w:sz="8" w:space="0" w:color="auto"/>
            </w:tcBorders>
            <w:shd w:val="clear" w:color="auto" w:fill="auto"/>
            <w:vAlign w:val="center"/>
            <w:hideMark/>
          </w:tcPr>
          <w:p w14:paraId="252BBEF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increases household profits by 23-28%</w:t>
            </w:r>
          </w:p>
        </w:tc>
        <w:tc>
          <w:tcPr>
            <w:tcW w:w="1890" w:type="dxa"/>
            <w:tcBorders>
              <w:top w:val="nil"/>
              <w:left w:val="nil"/>
              <w:bottom w:val="single" w:sz="8" w:space="0" w:color="auto"/>
              <w:right w:val="single" w:sz="8" w:space="0" w:color="auto"/>
            </w:tcBorders>
            <w:shd w:val="clear" w:color="auto" w:fill="auto"/>
            <w:vAlign w:val="center"/>
            <w:hideMark/>
          </w:tcPr>
          <w:p w14:paraId="1A4A4B9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fixed effects, correlated random coefficients</w:t>
            </w:r>
          </w:p>
        </w:tc>
      </w:tr>
      <w:tr w:rsidR="00A32DDD" w:rsidRPr="00D20063" w14:paraId="4F0EAC1D"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108F24C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Verkaart</w:t>
            </w:r>
            <w:proofErr w:type="spellEnd"/>
            <w:r w:rsidRPr="00D20063">
              <w:rPr>
                <w:rFonts w:ascii="Times New Roman" w:eastAsia="Times New Roman" w:hAnsi="Times New Roman" w:cs="Times New Roman"/>
                <w:sz w:val="18"/>
                <w:szCs w:val="18"/>
              </w:rPr>
              <w:t xml:space="preserve"> et al., 2017</w:t>
            </w:r>
          </w:p>
        </w:tc>
        <w:tc>
          <w:tcPr>
            <w:tcW w:w="900" w:type="dxa"/>
            <w:tcBorders>
              <w:top w:val="nil"/>
              <w:left w:val="nil"/>
              <w:bottom w:val="single" w:sz="8" w:space="0" w:color="auto"/>
              <w:right w:val="single" w:sz="8" w:space="0" w:color="auto"/>
            </w:tcBorders>
            <w:shd w:val="clear" w:color="auto" w:fill="auto"/>
            <w:vAlign w:val="center"/>
            <w:hideMark/>
          </w:tcPr>
          <w:p w14:paraId="5E8196E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w:t>
            </w:r>
          </w:p>
        </w:tc>
        <w:tc>
          <w:tcPr>
            <w:tcW w:w="931" w:type="dxa"/>
            <w:tcBorders>
              <w:top w:val="nil"/>
              <w:left w:val="nil"/>
              <w:bottom w:val="single" w:sz="8" w:space="0" w:color="auto"/>
              <w:right w:val="single" w:sz="8" w:space="0" w:color="auto"/>
            </w:tcBorders>
            <w:shd w:val="clear" w:color="auto" w:fill="auto"/>
            <w:vAlign w:val="center"/>
            <w:hideMark/>
          </w:tcPr>
          <w:p w14:paraId="2C868B1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Ethiopia</w:t>
            </w:r>
          </w:p>
        </w:tc>
        <w:tc>
          <w:tcPr>
            <w:tcW w:w="869" w:type="dxa"/>
            <w:tcBorders>
              <w:top w:val="nil"/>
              <w:left w:val="nil"/>
              <w:bottom w:val="single" w:sz="8" w:space="0" w:color="auto"/>
              <w:right w:val="single" w:sz="8" w:space="0" w:color="auto"/>
            </w:tcBorders>
            <w:shd w:val="clear" w:color="auto" w:fill="auto"/>
            <w:vAlign w:val="center"/>
            <w:hideMark/>
          </w:tcPr>
          <w:p w14:paraId="40919D4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2D4CB7E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733777A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Chickpea-producing regions in Ethiopia</w:t>
            </w:r>
          </w:p>
        </w:tc>
        <w:tc>
          <w:tcPr>
            <w:tcW w:w="4410" w:type="dxa"/>
            <w:tcBorders>
              <w:top w:val="nil"/>
              <w:left w:val="nil"/>
              <w:bottom w:val="single" w:sz="8" w:space="0" w:color="auto"/>
              <w:right w:val="single" w:sz="8" w:space="0" w:color="auto"/>
            </w:tcBorders>
            <w:shd w:val="clear" w:color="auto" w:fill="auto"/>
            <w:vAlign w:val="center"/>
            <w:hideMark/>
          </w:tcPr>
          <w:p w14:paraId="31F602A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significantly increases household income and reduces probability of poverty</w:t>
            </w:r>
          </w:p>
        </w:tc>
        <w:tc>
          <w:tcPr>
            <w:tcW w:w="1890" w:type="dxa"/>
            <w:tcBorders>
              <w:top w:val="nil"/>
              <w:left w:val="nil"/>
              <w:bottom w:val="single" w:sz="8" w:space="0" w:color="auto"/>
              <w:right w:val="single" w:sz="8" w:space="0" w:color="auto"/>
            </w:tcBorders>
            <w:shd w:val="clear" w:color="auto" w:fill="auto"/>
            <w:vAlign w:val="center"/>
            <w:hideMark/>
          </w:tcPr>
          <w:p w14:paraId="45CFC6E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IV and multi-hurdle</w:t>
            </w:r>
          </w:p>
        </w:tc>
      </w:tr>
      <w:tr w:rsidR="00A32DDD" w:rsidRPr="00D20063" w14:paraId="03BC3381"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00EDBBB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Ndjeunga</w:t>
            </w:r>
            <w:proofErr w:type="spellEnd"/>
            <w:r w:rsidRPr="00D20063">
              <w:rPr>
                <w:rFonts w:ascii="Times New Roman" w:eastAsia="Times New Roman" w:hAnsi="Times New Roman" w:cs="Times New Roman"/>
                <w:sz w:val="18"/>
                <w:szCs w:val="18"/>
              </w:rPr>
              <w:t xml:space="preserve"> et al., 2013</w:t>
            </w:r>
          </w:p>
        </w:tc>
        <w:tc>
          <w:tcPr>
            <w:tcW w:w="900" w:type="dxa"/>
            <w:tcBorders>
              <w:top w:val="nil"/>
              <w:left w:val="nil"/>
              <w:bottom w:val="single" w:sz="8" w:space="0" w:color="auto"/>
              <w:right w:val="single" w:sz="8" w:space="0" w:color="auto"/>
            </w:tcBorders>
            <w:shd w:val="clear" w:color="auto" w:fill="auto"/>
            <w:vAlign w:val="center"/>
            <w:hideMark/>
          </w:tcPr>
          <w:p w14:paraId="3B47138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Groundnut</w:t>
            </w:r>
          </w:p>
        </w:tc>
        <w:tc>
          <w:tcPr>
            <w:tcW w:w="931" w:type="dxa"/>
            <w:tcBorders>
              <w:top w:val="nil"/>
              <w:left w:val="nil"/>
              <w:bottom w:val="single" w:sz="8" w:space="0" w:color="auto"/>
              <w:right w:val="single" w:sz="8" w:space="0" w:color="auto"/>
            </w:tcBorders>
            <w:shd w:val="clear" w:color="auto" w:fill="auto"/>
            <w:vAlign w:val="center"/>
            <w:hideMark/>
          </w:tcPr>
          <w:p w14:paraId="30C4F6C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Nigeria</w:t>
            </w:r>
          </w:p>
        </w:tc>
        <w:tc>
          <w:tcPr>
            <w:tcW w:w="869" w:type="dxa"/>
            <w:tcBorders>
              <w:top w:val="nil"/>
              <w:left w:val="nil"/>
              <w:bottom w:val="single" w:sz="8" w:space="0" w:color="auto"/>
              <w:right w:val="single" w:sz="8" w:space="0" w:color="auto"/>
            </w:tcBorders>
            <w:shd w:val="clear" w:color="auto" w:fill="auto"/>
            <w:vAlign w:val="center"/>
            <w:hideMark/>
          </w:tcPr>
          <w:p w14:paraId="0F3C730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1D15D6F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69E4B27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Semi-arid groundnut-producing regions of Nigeria</w:t>
            </w:r>
          </w:p>
        </w:tc>
        <w:tc>
          <w:tcPr>
            <w:tcW w:w="4410" w:type="dxa"/>
            <w:tcBorders>
              <w:top w:val="nil"/>
              <w:left w:val="nil"/>
              <w:bottom w:val="single" w:sz="8" w:space="0" w:color="auto"/>
              <w:right w:val="single" w:sz="8" w:space="0" w:color="auto"/>
            </w:tcBorders>
            <w:shd w:val="clear" w:color="auto" w:fill="auto"/>
            <w:vAlign w:val="center"/>
            <w:hideMark/>
          </w:tcPr>
          <w:p w14:paraId="05A09A2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significantly increases yield and consumption, but only increases wealth for rich farmers</w:t>
            </w:r>
          </w:p>
        </w:tc>
        <w:tc>
          <w:tcPr>
            <w:tcW w:w="1890" w:type="dxa"/>
            <w:tcBorders>
              <w:top w:val="nil"/>
              <w:left w:val="nil"/>
              <w:bottom w:val="single" w:sz="8" w:space="0" w:color="auto"/>
              <w:right w:val="single" w:sz="8" w:space="0" w:color="auto"/>
            </w:tcBorders>
            <w:shd w:val="clear" w:color="auto" w:fill="auto"/>
            <w:vAlign w:val="center"/>
            <w:hideMark/>
          </w:tcPr>
          <w:p w14:paraId="7D460F0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IV and PSM</w:t>
            </w:r>
          </w:p>
        </w:tc>
      </w:tr>
      <w:tr w:rsidR="00A32DDD" w:rsidRPr="00D20063" w14:paraId="47873904"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66107DF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Asfaw et al., 2012</w:t>
            </w:r>
          </w:p>
        </w:tc>
        <w:tc>
          <w:tcPr>
            <w:tcW w:w="900" w:type="dxa"/>
            <w:tcBorders>
              <w:top w:val="nil"/>
              <w:left w:val="nil"/>
              <w:bottom w:val="single" w:sz="8" w:space="0" w:color="auto"/>
              <w:right w:val="single" w:sz="8" w:space="0" w:color="auto"/>
            </w:tcBorders>
            <w:shd w:val="clear" w:color="auto" w:fill="auto"/>
            <w:vAlign w:val="center"/>
            <w:hideMark/>
          </w:tcPr>
          <w:p w14:paraId="21BCEC4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w:t>
            </w:r>
          </w:p>
        </w:tc>
        <w:tc>
          <w:tcPr>
            <w:tcW w:w="931" w:type="dxa"/>
            <w:tcBorders>
              <w:top w:val="nil"/>
              <w:left w:val="nil"/>
              <w:bottom w:val="single" w:sz="8" w:space="0" w:color="auto"/>
              <w:right w:val="single" w:sz="8" w:space="0" w:color="auto"/>
            </w:tcBorders>
            <w:shd w:val="clear" w:color="auto" w:fill="auto"/>
            <w:vAlign w:val="center"/>
            <w:hideMark/>
          </w:tcPr>
          <w:p w14:paraId="67C15C8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Ethiopia</w:t>
            </w:r>
          </w:p>
        </w:tc>
        <w:tc>
          <w:tcPr>
            <w:tcW w:w="869" w:type="dxa"/>
            <w:tcBorders>
              <w:top w:val="nil"/>
              <w:left w:val="nil"/>
              <w:bottom w:val="single" w:sz="8" w:space="0" w:color="auto"/>
              <w:right w:val="single" w:sz="8" w:space="0" w:color="auto"/>
            </w:tcBorders>
            <w:shd w:val="clear" w:color="auto" w:fill="auto"/>
            <w:vAlign w:val="center"/>
            <w:hideMark/>
          </w:tcPr>
          <w:p w14:paraId="0008514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5A22281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6B69EA4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Chickpea-producing regions in Ethiopia</w:t>
            </w:r>
          </w:p>
        </w:tc>
        <w:tc>
          <w:tcPr>
            <w:tcW w:w="4410" w:type="dxa"/>
            <w:tcBorders>
              <w:top w:val="nil"/>
              <w:left w:val="nil"/>
              <w:bottom w:val="single" w:sz="8" w:space="0" w:color="auto"/>
              <w:right w:val="single" w:sz="8" w:space="0" w:color="auto"/>
            </w:tcBorders>
            <w:shd w:val="clear" w:color="auto" w:fill="auto"/>
            <w:vAlign w:val="center"/>
            <w:hideMark/>
          </w:tcPr>
          <w:p w14:paraId="594CA18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associated with 24.6% increase in welfare for adopters, 20.9% for non-adopters</w:t>
            </w:r>
          </w:p>
        </w:tc>
        <w:tc>
          <w:tcPr>
            <w:tcW w:w="1890" w:type="dxa"/>
            <w:tcBorders>
              <w:top w:val="nil"/>
              <w:left w:val="nil"/>
              <w:bottom w:val="single" w:sz="8" w:space="0" w:color="auto"/>
              <w:right w:val="single" w:sz="8" w:space="0" w:color="auto"/>
            </w:tcBorders>
            <w:shd w:val="clear" w:color="auto" w:fill="auto"/>
            <w:vAlign w:val="center"/>
            <w:hideMark/>
          </w:tcPr>
          <w:p w14:paraId="6BDE3AE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IV, endogenous switching regression</w:t>
            </w:r>
          </w:p>
        </w:tc>
      </w:tr>
      <w:tr w:rsidR="00A32DDD" w:rsidRPr="00D20063" w14:paraId="0C6EEA43"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29A31AC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Asfaw et al., 2012</w:t>
            </w:r>
          </w:p>
        </w:tc>
        <w:tc>
          <w:tcPr>
            <w:tcW w:w="900" w:type="dxa"/>
            <w:tcBorders>
              <w:top w:val="nil"/>
              <w:left w:val="nil"/>
              <w:bottom w:val="single" w:sz="8" w:space="0" w:color="auto"/>
              <w:right w:val="single" w:sz="8" w:space="0" w:color="auto"/>
            </w:tcBorders>
            <w:shd w:val="clear" w:color="auto" w:fill="auto"/>
            <w:vAlign w:val="center"/>
            <w:hideMark/>
          </w:tcPr>
          <w:p w14:paraId="71482E3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Pigeonpea</w:t>
            </w:r>
          </w:p>
        </w:tc>
        <w:tc>
          <w:tcPr>
            <w:tcW w:w="931" w:type="dxa"/>
            <w:tcBorders>
              <w:top w:val="nil"/>
              <w:left w:val="nil"/>
              <w:bottom w:val="single" w:sz="8" w:space="0" w:color="auto"/>
              <w:right w:val="single" w:sz="8" w:space="0" w:color="auto"/>
            </w:tcBorders>
            <w:shd w:val="clear" w:color="auto" w:fill="auto"/>
            <w:vAlign w:val="center"/>
            <w:hideMark/>
          </w:tcPr>
          <w:p w14:paraId="79211A7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Tanzania</w:t>
            </w:r>
          </w:p>
        </w:tc>
        <w:tc>
          <w:tcPr>
            <w:tcW w:w="869" w:type="dxa"/>
            <w:tcBorders>
              <w:top w:val="nil"/>
              <w:left w:val="nil"/>
              <w:bottom w:val="single" w:sz="8" w:space="0" w:color="auto"/>
              <w:right w:val="single" w:sz="8" w:space="0" w:color="auto"/>
            </w:tcBorders>
            <w:shd w:val="clear" w:color="auto" w:fill="auto"/>
            <w:vAlign w:val="center"/>
            <w:hideMark/>
          </w:tcPr>
          <w:p w14:paraId="060038A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5189D27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2F5B950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Pigeonpea-producing regions of Tanzania</w:t>
            </w:r>
          </w:p>
        </w:tc>
        <w:tc>
          <w:tcPr>
            <w:tcW w:w="4410" w:type="dxa"/>
            <w:tcBorders>
              <w:top w:val="nil"/>
              <w:left w:val="nil"/>
              <w:bottom w:val="single" w:sz="8" w:space="0" w:color="auto"/>
              <w:right w:val="single" w:sz="8" w:space="0" w:color="auto"/>
            </w:tcBorders>
            <w:shd w:val="clear" w:color="auto" w:fill="auto"/>
            <w:vAlign w:val="center"/>
            <w:hideMark/>
          </w:tcPr>
          <w:p w14:paraId="677185D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associated with 100.3% increase in welfare for adopters &amp; 99.4% for non-adopters</w:t>
            </w:r>
          </w:p>
        </w:tc>
        <w:tc>
          <w:tcPr>
            <w:tcW w:w="1890" w:type="dxa"/>
            <w:tcBorders>
              <w:top w:val="nil"/>
              <w:left w:val="nil"/>
              <w:bottom w:val="single" w:sz="8" w:space="0" w:color="auto"/>
              <w:right w:val="single" w:sz="8" w:space="0" w:color="auto"/>
            </w:tcBorders>
            <w:shd w:val="clear" w:color="auto" w:fill="auto"/>
            <w:vAlign w:val="center"/>
            <w:hideMark/>
          </w:tcPr>
          <w:p w14:paraId="092931F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IV, endogenous switching regression</w:t>
            </w:r>
          </w:p>
        </w:tc>
      </w:tr>
      <w:tr w:rsidR="00A32DDD" w:rsidRPr="00D20063" w14:paraId="4FA4F14E"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161DC6C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Simtowe</w:t>
            </w:r>
            <w:proofErr w:type="spellEnd"/>
            <w:r w:rsidRPr="00D20063">
              <w:rPr>
                <w:rFonts w:ascii="Times New Roman" w:eastAsia="Times New Roman" w:hAnsi="Times New Roman" w:cs="Times New Roman"/>
                <w:sz w:val="18"/>
                <w:szCs w:val="18"/>
              </w:rPr>
              <w:t xml:space="preserve"> et al., 2012</w:t>
            </w:r>
          </w:p>
        </w:tc>
        <w:tc>
          <w:tcPr>
            <w:tcW w:w="900" w:type="dxa"/>
            <w:tcBorders>
              <w:top w:val="nil"/>
              <w:left w:val="nil"/>
              <w:bottom w:val="single" w:sz="8" w:space="0" w:color="auto"/>
              <w:right w:val="single" w:sz="8" w:space="0" w:color="auto"/>
            </w:tcBorders>
            <w:shd w:val="clear" w:color="auto" w:fill="auto"/>
            <w:vAlign w:val="center"/>
            <w:hideMark/>
          </w:tcPr>
          <w:p w14:paraId="0F5FDA9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Groundnut</w:t>
            </w:r>
          </w:p>
        </w:tc>
        <w:tc>
          <w:tcPr>
            <w:tcW w:w="931" w:type="dxa"/>
            <w:tcBorders>
              <w:top w:val="nil"/>
              <w:left w:val="nil"/>
              <w:bottom w:val="single" w:sz="8" w:space="0" w:color="auto"/>
              <w:right w:val="single" w:sz="8" w:space="0" w:color="auto"/>
            </w:tcBorders>
            <w:shd w:val="clear" w:color="auto" w:fill="auto"/>
            <w:vAlign w:val="center"/>
            <w:hideMark/>
          </w:tcPr>
          <w:p w14:paraId="6B50ECC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Malawi</w:t>
            </w:r>
          </w:p>
        </w:tc>
        <w:tc>
          <w:tcPr>
            <w:tcW w:w="869" w:type="dxa"/>
            <w:tcBorders>
              <w:top w:val="nil"/>
              <w:left w:val="nil"/>
              <w:bottom w:val="single" w:sz="8" w:space="0" w:color="auto"/>
              <w:right w:val="single" w:sz="8" w:space="0" w:color="auto"/>
            </w:tcBorders>
            <w:shd w:val="clear" w:color="auto" w:fill="auto"/>
            <w:vAlign w:val="center"/>
            <w:hideMark/>
          </w:tcPr>
          <w:p w14:paraId="1A99658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09D93CB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6DFB33A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Groundnut-producing regions of Malawi</w:t>
            </w:r>
          </w:p>
        </w:tc>
        <w:tc>
          <w:tcPr>
            <w:tcW w:w="4410" w:type="dxa"/>
            <w:tcBorders>
              <w:top w:val="nil"/>
              <w:left w:val="nil"/>
              <w:bottom w:val="single" w:sz="8" w:space="0" w:color="auto"/>
              <w:right w:val="single" w:sz="8" w:space="0" w:color="auto"/>
            </w:tcBorders>
            <w:shd w:val="clear" w:color="auto" w:fill="auto"/>
            <w:vAlign w:val="center"/>
            <w:hideMark/>
          </w:tcPr>
          <w:p w14:paraId="58F9CBE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associated with 2% increase in consumption and 12-17% decrease in poverty</w:t>
            </w:r>
          </w:p>
        </w:tc>
        <w:tc>
          <w:tcPr>
            <w:tcW w:w="1890" w:type="dxa"/>
            <w:tcBorders>
              <w:top w:val="nil"/>
              <w:left w:val="nil"/>
              <w:bottom w:val="single" w:sz="8" w:space="0" w:color="auto"/>
              <w:right w:val="single" w:sz="8" w:space="0" w:color="auto"/>
            </w:tcBorders>
            <w:shd w:val="clear" w:color="auto" w:fill="auto"/>
            <w:vAlign w:val="center"/>
            <w:hideMark/>
          </w:tcPr>
          <w:p w14:paraId="02108AA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Observational: PSM</w:t>
            </w:r>
          </w:p>
        </w:tc>
      </w:tr>
      <w:tr w:rsidR="00A32DDD" w:rsidRPr="00D20063" w14:paraId="4EE5ACAD" w14:textId="77777777" w:rsidTr="00F865DC">
        <w:trPr>
          <w:trHeight w:val="20"/>
        </w:trPr>
        <w:tc>
          <w:tcPr>
            <w:tcW w:w="1160" w:type="dxa"/>
            <w:tcBorders>
              <w:top w:val="nil"/>
              <w:left w:val="single" w:sz="8" w:space="0" w:color="auto"/>
              <w:bottom w:val="single" w:sz="4" w:space="0" w:color="auto"/>
              <w:right w:val="single" w:sz="8" w:space="0" w:color="auto"/>
            </w:tcBorders>
            <w:shd w:val="clear" w:color="auto" w:fill="auto"/>
            <w:vAlign w:val="center"/>
            <w:hideMark/>
          </w:tcPr>
          <w:p w14:paraId="05CA0AB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Tsusaka</w:t>
            </w:r>
            <w:proofErr w:type="spellEnd"/>
            <w:r w:rsidRPr="00D20063">
              <w:rPr>
                <w:rFonts w:ascii="Times New Roman" w:eastAsia="Times New Roman" w:hAnsi="Times New Roman" w:cs="Times New Roman"/>
                <w:sz w:val="18"/>
                <w:szCs w:val="18"/>
              </w:rPr>
              <w:t xml:space="preserve"> et al., 2016</w:t>
            </w:r>
          </w:p>
        </w:tc>
        <w:tc>
          <w:tcPr>
            <w:tcW w:w="900" w:type="dxa"/>
            <w:tcBorders>
              <w:top w:val="nil"/>
              <w:left w:val="nil"/>
              <w:bottom w:val="single" w:sz="4" w:space="0" w:color="auto"/>
              <w:right w:val="single" w:sz="8" w:space="0" w:color="auto"/>
            </w:tcBorders>
            <w:shd w:val="clear" w:color="auto" w:fill="auto"/>
            <w:vAlign w:val="center"/>
            <w:hideMark/>
          </w:tcPr>
          <w:p w14:paraId="330AD77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Groundnut</w:t>
            </w:r>
          </w:p>
        </w:tc>
        <w:tc>
          <w:tcPr>
            <w:tcW w:w="931" w:type="dxa"/>
            <w:tcBorders>
              <w:top w:val="nil"/>
              <w:left w:val="nil"/>
              <w:bottom w:val="single" w:sz="4" w:space="0" w:color="auto"/>
              <w:right w:val="single" w:sz="8" w:space="0" w:color="auto"/>
            </w:tcBorders>
            <w:shd w:val="clear" w:color="auto" w:fill="auto"/>
            <w:vAlign w:val="center"/>
            <w:hideMark/>
          </w:tcPr>
          <w:p w14:paraId="41F9C6A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Malawi</w:t>
            </w:r>
          </w:p>
        </w:tc>
        <w:tc>
          <w:tcPr>
            <w:tcW w:w="869" w:type="dxa"/>
            <w:tcBorders>
              <w:top w:val="nil"/>
              <w:left w:val="nil"/>
              <w:bottom w:val="single" w:sz="4" w:space="0" w:color="auto"/>
              <w:right w:val="single" w:sz="8" w:space="0" w:color="auto"/>
            </w:tcBorders>
            <w:shd w:val="clear" w:color="auto" w:fill="auto"/>
            <w:vAlign w:val="center"/>
            <w:hideMark/>
          </w:tcPr>
          <w:p w14:paraId="2646D24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nil"/>
              <w:left w:val="nil"/>
              <w:bottom w:val="single" w:sz="4" w:space="0" w:color="auto"/>
              <w:right w:val="single" w:sz="8" w:space="0" w:color="auto"/>
            </w:tcBorders>
            <w:shd w:val="clear" w:color="auto" w:fill="auto"/>
            <w:vAlign w:val="center"/>
            <w:hideMark/>
          </w:tcPr>
          <w:p w14:paraId="05FCDC7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Research and development of improved varieties</w:t>
            </w:r>
          </w:p>
        </w:tc>
        <w:tc>
          <w:tcPr>
            <w:tcW w:w="1980" w:type="dxa"/>
            <w:tcBorders>
              <w:top w:val="nil"/>
              <w:left w:val="nil"/>
              <w:bottom w:val="single" w:sz="4" w:space="0" w:color="auto"/>
              <w:right w:val="single" w:sz="8" w:space="0" w:color="auto"/>
            </w:tcBorders>
            <w:shd w:val="clear" w:color="auto" w:fill="auto"/>
            <w:vAlign w:val="center"/>
            <w:hideMark/>
          </w:tcPr>
          <w:p w14:paraId="50A1597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No external validity</w:t>
            </w:r>
          </w:p>
        </w:tc>
        <w:tc>
          <w:tcPr>
            <w:tcW w:w="4410" w:type="dxa"/>
            <w:tcBorders>
              <w:top w:val="nil"/>
              <w:left w:val="nil"/>
              <w:bottom w:val="single" w:sz="4" w:space="0" w:color="auto"/>
              <w:right w:val="single" w:sz="8" w:space="0" w:color="auto"/>
            </w:tcBorders>
            <w:shd w:val="clear" w:color="auto" w:fill="auto"/>
            <w:vAlign w:val="center"/>
            <w:hideMark/>
          </w:tcPr>
          <w:p w14:paraId="58F27E4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Research ROI of 22%, compared to interest rate of 10%</w:t>
            </w:r>
          </w:p>
        </w:tc>
        <w:tc>
          <w:tcPr>
            <w:tcW w:w="1890" w:type="dxa"/>
            <w:tcBorders>
              <w:top w:val="nil"/>
              <w:left w:val="nil"/>
              <w:bottom w:val="single" w:sz="4" w:space="0" w:color="auto"/>
              <w:right w:val="single" w:sz="8" w:space="0" w:color="auto"/>
            </w:tcBorders>
            <w:shd w:val="clear" w:color="auto" w:fill="auto"/>
            <w:vAlign w:val="center"/>
            <w:hideMark/>
          </w:tcPr>
          <w:p w14:paraId="69E3454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35334833" w14:textId="77777777" w:rsidTr="00F865DC">
        <w:trPr>
          <w:trHeight w:val="20"/>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E5AAA" w14:textId="77777777" w:rsidR="00A32DDD" w:rsidRPr="00336D02" w:rsidRDefault="00A32DDD" w:rsidP="00F865DC">
            <w:pPr>
              <w:spacing w:after="0" w:line="240" w:lineRule="auto"/>
              <w:contextualSpacing/>
              <w:jc w:val="center"/>
              <w:rPr>
                <w:rFonts w:ascii="Times New Roman" w:eastAsia="Times New Roman" w:hAnsi="Times New Roman" w:cs="Times New Roman"/>
                <w:sz w:val="18"/>
                <w:szCs w:val="18"/>
                <w:lang w:val="es-ES_tradnl"/>
              </w:rPr>
            </w:pPr>
            <w:r w:rsidRPr="00336D02">
              <w:rPr>
                <w:rFonts w:ascii="Times New Roman" w:eastAsia="Times New Roman" w:hAnsi="Times New Roman" w:cs="Times New Roman"/>
                <w:sz w:val="18"/>
                <w:szCs w:val="18"/>
                <w:lang w:val="es-ES_tradnl"/>
              </w:rPr>
              <w:t>Kumara Charyulu et al., 2016a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9023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Pearl millet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7361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Maharashtra, India</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249E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AC67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C940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No external validity</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6BD0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US$103 million from 1993-2022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9DDCF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Descriptive statistics; ex-post economic surplus model</w:t>
            </w:r>
          </w:p>
        </w:tc>
      </w:tr>
      <w:tr w:rsidR="00A32DDD" w:rsidRPr="00D20063" w14:paraId="53BF373E" w14:textId="77777777" w:rsidTr="00F865DC">
        <w:trPr>
          <w:trHeight w:val="547"/>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5AB85" w14:textId="77777777" w:rsidR="00A32DDD" w:rsidRPr="00336D02" w:rsidRDefault="00A32DDD" w:rsidP="00F865DC">
            <w:pPr>
              <w:spacing w:after="0" w:line="240" w:lineRule="auto"/>
              <w:contextualSpacing/>
              <w:jc w:val="center"/>
              <w:rPr>
                <w:rFonts w:ascii="Times New Roman" w:eastAsia="Times New Roman" w:hAnsi="Times New Roman" w:cs="Times New Roman"/>
                <w:sz w:val="18"/>
                <w:szCs w:val="18"/>
                <w:lang w:val="es-ES_tradnl"/>
              </w:rPr>
            </w:pPr>
            <w:r w:rsidRPr="00336D02">
              <w:rPr>
                <w:rFonts w:ascii="Times New Roman" w:eastAsia="Times New Roman" w:hAnsi="Times New Roman" w:cs="Times New Roman"/>
                <w:sz w:val="18"/>
                <w:szCs w:val="18"/>
                <w:lang w:val="es-ES_tradnl"/>
              </w:rPr>
              <w:t>Kumara Charyulu et al., 2016b</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1D4F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33AA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Maharashtra, India</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D0FD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5DE1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6AFA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Sorghum-producing regions of Maharashtra</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ED2C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US$150 million between 1993-2022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8B5B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2BF38380" w14:textId="77777777" w:rsidTr="00F865DC">
        <w:trPr>
          <w:trHeight w:val="20"/>
        </w:trPr>
        <w:tc>
          <w:tcPr>
            <w:tcW w:w="11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B72D9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lastRenderedPageBreak/>
              <w:t>Bantilan</w:t>
            </w:r>
            <w:proofErr w:type="spellEnd"/>
            <w:r w:rsidRPr="00D20063">
              <w:rPr>
                <w:rFonts w:ascii="Times New Roman" w:eastAsia="Times New Roman" w:hAnsi="Times New Roman" w:cs="Times New Roman"/>
                <w:sz w:val="18"/>
                <w:szCs w:val="18"/>
              </w:rPr>
              <w:t xml:space="preserve"> et al., 2014</w:t>
            </w:r>
          </w:p>
        </w:tc>
        <w:tc>
          <w:tcPr>
            <w:tcW w:w="900" w:type="dxa"/>
            <w:tcBorders>
              <w:top w:val="single" w:sz="4" w:space="0" w:color="auto"/>
              <w:left w:val="nil"/>
              <w:bottom w:val="single" w:sz="8" w:space="0" w:color="auto"/>
              <w:right w:val="single" w:sz="8" w:space="0" w:color="auto"/>
            </w:tcBorders>
            <w:shd w:val="clear" w:color="auto" w:fill="auto"/>
            <w:vAlign w:val="center"/>
            <w:hideMark/>
          </w:tcPr>
          <w:p w14:paraId="335D2BE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w:t>
            </w:r>
          </w:p>
        </w:tc>
        <w:tc>
          <w:tcPr>
            <w:tcW w:w="931" w:type="dxa"/>
            <w:tcBorders>
              <w:top w:val="single" w:sz="4" w:space="0" w:color="auto"/>
              <w:left w:val="nil"/>
              <w:bottom w:val="single" w:sz="8" w:space="0" w:color="auto"/>
              <w:right w:val="single" w:sz="8" w:space="0" w:color="auto"/>
            </w:tcBorders>
            <w:shd w:val="clear" w:color="auto" w:fill="auto"/>
            <w:vAlign w:val="center"/>
            <w:hideMark/>
          </w:tcPr>
          <w:p w14:paraId="18696D1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Andhra Pradesh, India</w:t>
            </w:r>
          </w:p>
        </w:tc>
        <w:tc>
          <w:tcPr>
            <w:tcW w:w="869" w:type="dxa"/>
            <w:tcBorders>
              <w:top w:val="single" w:sz="4" w:space="0" w:color="auto"/>
              <w:left w:val="nil"/>
              <w:bottom w:val="single" w:sz="8" w:space="0" w:color="auto"/>
              <w:right w:val="single" w:sz="8" w:space="0" w:color="auto"/>
            </w:tcBorders>
            <w:shd w:val="clear" w:color="auto" w:fill="auto"/>
            <w:vAlign w:val="center"/>
            <w:hideMark/>
          </w:tcPr>
          <w:p w14:paraId="1F8C06F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single" w:sz="4" w:space="0" w:color="auto"/>
              <w:left w:val="nil"/>
              <w:bottom w:val="single" w:sz="8" w:space="0" w:color="auto"/>
              <w:right w:val="single" w:sz="8" w:space="0" w:color="auto"/>
            </w:tcBorders>
            <w:shd w:val="clear" w:color="auto" w:fill="auto"/>
            <w:vAlign w:val="center"/>
            <w:hideMark/>
          </w:tcPr>
          <w:p w14:paraId="59F32CB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single" w:sz="4" w:space="0" w:color="auto"/>
              <w:left w:val="nil"/>
              <w:bottom w:val="single" w:sz="8" w:space="0" w:color="auto"/>
              <w:right w:val="single" w:sz="8" w:space="0" w:color="auto"/>
            </w:tcBorders>
            <w:shd w:val="clear" w:color="auto" w:fill="auto"/>
            <w:vAlign w:val="center"/>
            <w:hideMark/>
          </w:tcPr>
          <w:p w14:paraId="6107F25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Chickpea-producing regions of Andhra Pradesh</w:t>
            </w:r>
          </w:p>
        </w:tc>
        <w:tc>
          <w:tcPr>
            <w:tcW w:w="4410" w:type="dxa"/>
            <w:tcBorders>
              <w:top w:val="single" w:sz="4" w:space="0" w:color="auto"/>
              <w:left w:val="nil"/>
              <w:bottom w:val="single" w:sz="8" w:space="0" w:color="auto"/>
              <w:right w:val="single" w:sz="8" w:space="0" w:color="auto"/>
            </w:tcBorders>
            <w:shd w:val="clear" w:color="auto" w:fill="auto"/>
            <w:vAlign w:val="center"/>
            <w:hideMark/>
          </w:tcPr>
          <w:p w14:paraId="08E845A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US$359 million in 2012 &amp; research ROI of USD$146 million in 2014</w:t>
            </w:r>
          </w:p>
        </w:tc>
        <w:tc>
          <w:tcPr>
            <w:tcW w:w="1890" w:type="dxa"/>
            <w:tcBorders>
              <w:top w:val="single" w:sz="4" w:space="0" w:color="auto"/>
              <w:left w:val="nil"/>
              <w:bottom w:val="single" w:sz="8" w:space="0" w:color="auto"/>
              <w:right w:val="single" w:sz="8" w:space="0" w:color="auto"/>
            </w:tcBorders>
            <w:shd w:val="clear" w:color="auto" w:fill="auto"/>
            <w:vAlign w:val="center"/>
            <w:hideMark/>
          </w:tcPr>
          <w:p w14:paraId="51C5CA6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788447EF"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38089F6A"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Gierend</w:t>
            </w:r>
            <w:proofErr w:type="spellEnd"/>
            <w:r w:rsidRPr="00D20063">
              <w:rPr>
                <w:rFonts w:ascii="Times New Roman" w:eastAsia="Times New Roman" w:hAnsi="Times New Roman" w:cs="Times New Roman"/>
                <w:sz w:val="18"/>
                <w:szCs w:val="18"/>
              </w:rPr>
              <w:t xml:space="preserve"> et al., 2014</w:t>
            </w:r>
          </w:p>
        </w:tc>
        <w:tc>
          <w:tcPr>
            <w:tcW w:w="900" w:type="dxa"/>
            <w:tcBorders>
              <w:top w:val="nil"/>
              <w:left w:val="nil"/>
              <w:bottom w:val="single" w:sz="8" w:space="0" w:color="auto"/>
              <w:right w:val="single" w:sz="8" w:space="0" w:color="auto"/>
            </w:tcBorders>
            <w:shd w:val="clear" w:color="auto" w:fill="auto"/>
            <w:vAlign w:val="center"/>
            <w:hideMark/>
          </w:tcPr>
          <w:p w14:paraId="3DD87E2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w:t>
            </w:r>
          </w:p>
        </w:tc>
        <w:tc>
          <w:tcPr>
            <w:tcW w:w="931" w:type="dxa"/>
            <w:tcBorders>
              <w:top w:val="nil"/>
              <w:left w:val="nil"/>
              <w:bottom w:val="single" w:sz="8" w:space="0" w:color="auto"/>
              <w:right w:val="single" w:sz="8" w:space="0" w:color="auto"/>
            </w:tcBorders>
            <w:shd w:val="clear" w:color="auto" w:fill="auto"/>
            <w:vAlign w:val="center"/>
            <w:hideMark/>
          </w:tcPr>
          <w:p w14:paraId="356C4D1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Uganda</w:t>
            </w:r>
          </w:p>
        </w:tc>
        <w:tc>
          <w:tcPr>
            <w:tcW w:w="869" w:type="dxa"/>
            <w:tcBorders>
              <w:top w:val="nil"/>
              <w:left w:val="nil"/>
              <w:bottom w:val="single" w:sz="8" w:space="0" w:color="auto"/>
              <w:right w:val="single" w:sz="8" w:space="0" w:color="auto"/>
            </w:tcBorders>
            <w:shd w:val="clear" w:color="auto" w:fill="auto"/>
            <w:vAlign w:val="center"/>
            <w:hideMark/>
          </w:tcPr>
          <w:p w14:paraId="16D5A08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nil"/>
              <w:left w:val="nil"/>
              <w:bottom w:val="single" w:sz="8" w:space="0" w:color="auto"/>
              <w:right w:val="single" w:sz="8" w:space="0" w:color="auto"/>
            </w:tcBorders>
            <w:shd w:val="clear" w:color="auto" w:fill="auto"/>
            <w:vAlign w:val="center"/>
            <w:hideMark/>
          </w:tcPr>
          <w:p w14:paraId="1C7B3D1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3EE39F7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lang w:val="pt-BR"/>
              </w:rPr>
            </w:pPr>
            <w:r w:rsidRPr="00D20063">
              <w:rPr>
                <w:rFonts w:ascii="Times New Roman" w:eastAsia="Times New Roman" w:hAnsi="Times New Roman" w:cs="Times New Roman"/>
                <w:sz w:val="18"/>
                <w:szCs w:val="18"/>
                <w:lang w:val="pt-BR"/>
              </w:rPr>
              <w:t>No external validity (expert estimates)</w:t>
            </w:r>
          </w:p>
        </w:tc>
        <w:tc>
          <w:tcPr>
            <w:tcW w:w="4410" w:type="dxa"/>
            <w:tcBorders>
              <w:top w:val="nil"/>
              <w:left w:val="nil"/>
              <w:bottom w:val="single" w:sz="8" w:space="0" w:color="auto"/>
              <w:right w:val="single" w:sz="8" w:space="0" w:color="auto"/>
            </w:tcBorders>
            <w:shd w:val="clear" w:color="auto" w:fill="auto"/>
            <w:vAlign w:val="center"/>
            <w:hideMark/>
          </w:tcPr>
          <w:p w14:paraId="3D6907E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US$125 million between 1980 and 2030, &amp; research ROI of 28-60%</w:t>
            </w:r>
          </w:p>
        </w:tc>
        <w:tc>
          <w:tcPr>
            <w:tcW w:w="1890" w:type="dxa"/>
            <w:tcBorders>
              <w:top w:val="nil"/>
              <w:left w:val="nil"/>
              <w:bottom w:val="single" w:sz="8" w:space="0" w:color="auto"/>
              <w:right w:val="single" w:sz="8" w:space="0" w:color="auto"/>
            </w:tcBorders>
            <w:shd w:val="clear" w:color="auto" w:fill="auto"/>
            <w:vAlign w:val="center"/>
            <w:hideMark/>
          </w:tcPr>
          <w:p w14:paraId="0160C57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0B3F7EE0"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05C896A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Gierend</w:t>
            </w:r>
            <w:proofErr w:type="spellEnd"/>
            <w:r w:rsidRPr="00D20063">
              <w:rPr>
                <w:rFonts w:ascii="Times New Roman" w:eastAsia="Times New Roman" w:hAnsi="Times New Roman" w:cs="Times New Roman"/>
                <w:sz w:val="18"/>
                <w:szCs w:val="18"/>
              </w:rPr>
              <w:t xml:space="preserve"> et al., 2014</w:t>
            </w:r>
          </w:p>
        </w:tc>
        <w:tc>
          <w:tcPr>
            <w:tcW w:w="900" w:type="dxa"/>
            <w:tcBorders>
              <w:top w:val="nil"/>
              <w:left w:val="nil"/>
              <w:bottom w:val="single" w:sz="8" w:space="0" w:color="auto"/>
              <w:right w:val="single" w:sz="8" w:space="0" w:color="auto"/>
            </w:tcBorders>
            <w:shd w:val="clear" w:color="auto" w:fill="auto"/>
            <w:vAlign w:val="center"/>
            <w:hideMark/>
          </w:tcPr>
          <w:p w14:paraId="7B479F2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Finger millet</w:t>
            </w:r>
          </w:p>
        </w:tc>
        <w:tc>
          <w:tcPr>
            <w:tcW w:w="931" w:type="dxa"/>
            <w:tcBorders>
              <w:top w:val="nil"/>
              <w:left w:val="nil"/>
              <w:bottom w:val="single" w:sz="8" w:space="0" w:color="auto"/>
              <w:right w:val="single" w:sz="8" w:space="0" w:color="auto"/>
            </w:tcBorders>
            <w:shd w:val="clear" w:color="auto" w:fill="auto"/>
            <w:vAlign w:val="center"/>
            <w:hideMark/>
          </w:tcPr>
          <w:p w14:paraId="05B0FD3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Uganda</w:t>
            </w:r>
          </w:p>
        </w:tc>
        <w:tc>
          <w:tcPr>
            <w:tcW w:w="869" w:type="dxa"/>
            <w:tcBorders>
              <w:top w:val="nil"/>
              <w:left w:val="nil"/>
              <w:bottom w:val="single" w:sz="8" w:space="0" w:color="auto"/>
              <w:right w:val="single" w:sz="8" w:space="0" w:color="auto"/>
            </w:tcBorders>
            <w:shd w:val="clear" w:color="auto" w:fill="auto"/>
            <w:vAlign w:val="center"/>
            <w:hideMark/>
          </w:tcPr>
          <w:p w14:paraId="71EE4E3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nil"/>
              <w:left w:val="nil"/>
              <w:bottom w:val="single" w:sz="8" w:space="0" w:color="auto"/>
              <w:right w:val="single" w:sz="8" w:space="0" w:color="auto"/>
            </w:tcBorders>
            <w:shd w:val="clear" w:color="auto" w:fill="auto"/>
            <w:vAlign w:val="center"/>
            <w:hideMark/>
          </w:tcPr>
          <w:p w14:paraId="5E3A7E4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050B209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lang w:val="pt-BR"/>
              </w:rPr>
            </w:pPr>
            <w:r w:rsidRPr="00D20063">
              <w:rPr>
                <w:rFonts w:ascii="Times New Roman" w:eastAsia="Times New Roman" w:hAnsi="Times New Roman" w:cs="Times New Roman"/>
                <w:sz w:val="18"/>
                <w:szCs w:val="18"/>
                <w:lang w:val="pt-BR"/>
              </w:rPr>
              <w:t>No external validity (expert estimates)</w:t>
            </w:r>
          </w:p>
        </w:tc>
        <w:tc>
          <w:tcPr>
            <w:tcW w:w="4410" w:type="dxa"/>
            <w:tcBorders>
              <w:top w:val="nil"/>
              <w:left w:val="nil"/>
              <w:bottom w:val="single" w:sz="8" w:space="0" w:color="auto"/>
              <w:right w:val="single" w:sz="8" w:space="0" w:color="auto"/>
            </w:tcBorders>
            <w:shd w:val="clear" w:color="auto" w:fill="auto"/>
            <w:vAlign w:val="center"/>
            <w:hideMark/>
          </w:tcPr>
          <w:p w14:paraId="16ED2C0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USD$2.7 million annually; Research ROI of 96% and 107%</w:t>
            </w:r>
          </w:p>
        </w:tc>
        <w:tc>
          <w:tcPr>
            <w:tcW w:w="1890" w:type="dxa"/>
            <w:tcBorders>
              <w:top w:val="nil"/>
              <w:left w:val="nil"/>
              <w:bottom w:val="single" w:sz="8" w:space="0" w:color="auto"/>
              <w:right w:val="single" w:sz="8" w:space="0" w:color="auto"/>
            </w:tcBorders>
            <w:shd w:val="clear" w:color="auto" w:fill="auto"/>
            <w:vAlign w:val="center"/>
            <w:hideMark/>
          </w:tcPr>
          <w:p w14:paraId="23BFAC3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355EB186"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1DF2FB4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Macharia et al., 2012</w:t>
            </w:r>
          </w:p>
        </w:tc>
        <w:tc>
          <w:tcPr>
            <w:tcW w:w="900" w:type="dxa"/>
            <w:tcBorders>
              <w:top w:val="nil"/>
              <w:left w:val="nil"/>
              <w:bottom w:val="single" w:sz="8" w:space="0" w:color="auto"/>
              <w:right w:val="single" w:sz="8" w:space="0" w:color="auto"/>
            </w:tcBorders>
            <w:shd w:val="clear" w:color="auto" w:fill="auto"/>
            <w:vAlign w:val="center"/>
            <w:hideMark/>
          </w:tcPr>
          <w:p w14:paraId="0D9E39C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Chickpea</w:t>
            </w:r>
          </w:p>
        </w:tc>
        <w:tc>
          <w:tcPr>
            <w:tcW w:w="931" w:type="dxa"/>
            <w:tcBorders>
              <w:top w:val="nil"/>
              <w:left w:val="nil"/>
              <w:bottom w:val="single" w:sz="8" w:space="0" w:color="auto"/>
              <w:right w:val="single" w:sz="8" w:space="0" w:color="auto"/>
            </w:tcBorders>
            <w:shd w:val="clear" w:color="auto" w:fill="auto"/>
            <w:vAlign w:val="center"/>
            <w:hideMark/>
          </w:tcPr>
          <w:p w14:paraId="0A1AFAC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Ethiopia</w:t>
            </w:r>
          </w:p>
        </w:tc>
        <w:tc>
          <w:tcPr>
            <w:tcW w:w="869" w:type="dxa"/>
            <w:tcBorders>
              <w:top w:val="nil"/>
              <w:left w:val="nil"/>
              <w:bottom w:val="single" w:sz="8" w:space="0" w:color="auto"/>
              <w:right w:val="single" w:sz="8" w:space="0" w:color="auto"/>
            </w:tcBorders>
            <w:shd w:val="clear" w:color="auto" w:fill="auto"/>
            <w:vAlign w:val="center"/>
            <w:hideMark/>
          </w:tcPr>
          <w:p w14:paraId="481397A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nil"/>
              <w:left w:val="nil"/>
              <w:bottom w:val="single" w:sz="8" w:space="0" w:color="auto"/>
              <w:right w:val="single" w:sz="8" w:space="0" w:color="auto"/>
            </w:tcBorders>
            <w:shd w:val="clear" w:color="auto" w:fill="auto"/>
            <w:vAlign w:val="center"/>
            <w:hideMark/>
          </w:tcPr>
          <w:p w14:paraId="32AEE3E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Research and development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7A6ABC4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No external validity</w:t>
            </w:r>
          </w:p>
        </w:tc>
        <w:tc>
          <w:tcPr>
            <w:tcW w:w="4410" w:type="dxa"/>
            <w:tcBorders>
              <w:top w:val="nil"/>
              <w:left w:val="nil"/>
              <w:bottom w:val="single" w:sz="8" w:space="0" w:color="auto"/>
              <w:right w:val="single" w:sz="8" w:space="0" w:color="auto"/>
            </w:tcBorders>
            <w:shd w:val="clear" w:color="auto" w:fill="auto"/>
            <w:vAlign w:val="center"/>
            <w:hideMark/>
          </w:tcPr>
          <w:p w14:paraId="6BC6176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 from adoption of US$111 million (1974-2005 &amp; research ROI of 5:1</w:t>
            </w:r>
          </w:p>
        </w:tc>
        <w:tc>
          <w:tcPr>
            <w:tcW w:w="1890" w:type="dxa"/>
            <w:tcBorders>
              <w:top w:val="nil"/>
              <w:left w:val="nil"/>
              <w:bottom w:val="single" w:sz="8" w:space="0" w:color="auto"/>
              <w:right w:val="single" w:sz="8" w:space="0" w:color="auto"/>
            </w:tcBorders>
            <w:shd w:val="clear" w:color="auto" w:fill="auto"/>
            <w:vAlign w:val="center"/>
            <w:hideMark/>
          </w:tcPr>
          <w:p w14:paraId="297CD75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Ex-post Economic Surplus Model (welfare and ROI)</w:t>
            </w:r>
          </w:p>
        </w:tc>
      </w:tr>
      <w:tr w:rsidR="00A32DDD" w:rsidRPr="00D20063" w14:paraId="78843AA5"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0CCD380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Shiferaw et al., 2008</w:t>
            </w:r>
          </w:p>
        </w:tc>
        <w:tc>
          <w:tcPr>
            <w:tcW w:w="900" w:type="dxa"/>
            <w:tcBorders>
              <w:top w:val="nil"/>
              <w:left w:val="nil"/>
              <w:bottom w:val="single" w:sz="8" w:space="0" w:color="auto"/>
              <w:right w:val="single" w:sz="8" w:space="0" w:color="auto"/>
            </w:tcBorders>
            <w:shd w:val="clear" w:color="auto" w:fill="auto"/>
            <w:vAlign w:val="center"/>
            <w:hideMark/>
          </w:tcPr>
          <w:p w14:paraId="37EA151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Pigeonpea</w:t>
            </w:r>
          </w:p>
        </w:tc>
        <w:tc>
          <w:tcPr>
            <w:tcW w:w="931" w:type="dxa"/>
            <w:tcBorders>
              <w:top w:val="nil"/>
              <w:left w:val="nil"/>
              <w:bottom w:val="single" w:sz="8" w:space="0" w:color="auto"/>
              <w:right w:val="single" w:sz="8" w:space="0" w:color="auto"/>
            </w:tcBorders>
            <w:shd w:val="clear" w:color="auto" w:fill="auto"/>
            <w:vAlign w:val="center"/>
            <w:hideMark/>
          </w:tcPr>
          <w:p w14:paraId="2A37087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Tanzania</w:t>
            </w:r>
          </w:p>
        </w:tc>
        <w:tc>
          <w:tcPr>
            <w:tcW w:w="869" w:type="dxa"/>
            <w:tcBorders>
              <w:top w:val="nil"/>
              <w:left w:val="nil"/>
              <w:bottom w:val="single" w:sz="8" w:space="0" w:color="auto"/>
              <w:right w:val="single" w:sz="8" w:space="0" w:color="auto"/>
            </w:tcBorders>
            <w:shd w:val="clear" w:color="auto" w:fill="auto"/>
            <w:vAlign w:val="center"/>
            <w:hideMark/>
          </w:tcPr>
          <w:p w14:paraId="1C4B93AC"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 Macroeconomic</w:t>
            </w:r>
          </w:p>
        </w:tc>
        <w:tc>
          <w:tcPr>
            <w:tcW w:w="1530" w:type="dxa"/>
            <w:tcBorders>
              <w:top w:val="nil"/>
              <w:left w:val="nil"/>
              <w:bottom w:val="single" w:sz="8" w:space="0" w:color="auto"/>
              <w:right w:val="single" w:sz="8" w:space="0" w:color="auto"/>
            </w:tcBorders>
            <w:shd w:val="clear" w:color="auto" w:fill="auto"/>
            <w:vAlign w:val="center"/>
            <w:hideMark/>
          </w:tcPr>
          <w:p w14:paraId="1A6CDEF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5DB1728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Pigeonpea</w:t>
            </w:r>
            <w:proofErr w:type="spellEnd"/>
            <w:r w:rsidRPr="00D20063">
              <w:rPr>
                <w:rFonts w:ascii="Times New Roman" w:eastAsia="Times New Roman" w:hAnsi="Times New Roman" w:cs="Times New Roman"/>
                <w:sz w:val="18"/>
                <w:szCs w:val="18"/>
              </w:rPr>
              <w:t xml:space="preserve">-producing areas of </w:t>
            </w:r>
            <w:proofErr w:type="spellStart"/>
            <w:r w:rsidRPr="00D20063">
              <w:rPr>
                <w:rFonts w:ascii="Times New Roman" w:eastAsia="Times New Roman" w:hAnsi="Times New Roman" w:cs="Times New Roman"/>
                <w:sz w:val="18"/>
                <w:szCs w:val="18"/>
              </w:rPr>
              <w:t>Babati</w:t>
            </w:r>
            <w:proofErr w:type="spellEnd"/>
            <w:r w:rsidRPr="00D20063">
              <w:rPr>
                <w:rFonts w:ascii="Times New Roman" w:eastAsia="Times New Roman" w:hAnsi="Times New Roman" w:cs="Times New Roman"/>
                <w:sz w:val="18"/>
                <w:szCs w:val="18"/>
              </w:rPr>
              <w:t xml:space="preserve"> District, Tanzania</w:t>
            </w:r>
          </w:p>
        </w:tc>
        <w:tc>
          <w:tcPr>
            <w:tcW w:w="4410" w:type="dxa"/>
            <w:tcBorders>
              <w:top w:val="nil"/>
              <w:left w:val="nil"/>
              <w:bottom w:val="single" w:sz="8" w:space="0" w:color="auto"/>
              <w:right w:val="single" w:sz="8" w:space="0" w:color="auto"/>
            </w:tcBorders>
            <w:shd w:val="clear" w:color="auto" w:fill="auto"/>
            <w:vAlign w:val="center"/>
            <w:hideMark/>
          </w:tcPr>
          <w:p w14:paraId="7B83A0F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Welfare gains from adoption of US$6.1 million in 2004, and research ROI of 32.2%</w:t>
            </w:r>
          </w:p>
        </w:tc>
        <w:tc>
          <w:tcPr>
            <w:tcW w:w="1890" w:type="dxa"/>
            <w:tcBorders>
              <w:top w:val="nil"/>
              <w:left w:val="nil"/>
              <w:bottom w:val="single" w:sz="8" w:space="0" w:color="auto"/>
              <w:right w:val="single" w:sz="8" w:space="0" w:color="auto"/>
            </w:tcBorders>
            <w:shd w:val="clear" w:color="auto" w:fill="auto"/>
            <w:vAlign w:val="center"/>
            <w:hideMark/>
          </w:tcPr>
          <w:p w14:paraId="03C35AE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Double-hurdle model of adoption; ex-post economic surplus model</w:t>
            </w:r>
          </w:p>
        </w:tc>
      </w:tr>
      <w:tr w:rsidR="00A32DDD" w:rsidRPr="00D20063" w14:paraId="5AC5E3D9"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03CAB22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proofErr w:type="spellStart"/>
            <w:r w:rsidRPr="00D20063">
              <w:rPr>
                <w:rFonts w:ascii="Times New Roman" w:eastAsia="Times New Roman" w:hAnsi="Times New Roman" w:cs="Times New Roman"/>
                <w:sz w:val="18"/>
                <w:szCs w:val="18"/>
              </w:rPr>
              <w:t>Kaliba</w:t>
            </w:r>
            <w:proofErr w:type="spellEnd"/>
            <w:r w:rsidRPr="00D20063">
              <w:rPr>
                <w:rFonts w:ascii="Times New Roman" w:eastAsia="Times New Roman" w:hAnsi="Times New Roman" w:cs="Times New Roman"/>
                <w:sz w:val="18"/>
                <w:szCs w:val="18"/>
              </w:rPr>
              <w:t xml:space="preserve"> et al., 2017</w:t>
            </w:r>
          </w:p>
        </w:tc>
        <w:tc>
          <w:tcPr>
            <w:tcW w:w="900" w:type="dxa"/>
            <w:tcBorders>
              <w:top w:val="nil"/>
              <w:left w:val="nil"/>
              <w:bottom w:val="single" w:sz="8" w:space="0" w:color="auto"/>
              <w:right w:val="single" w:sz="8" w:space="0" w:color="auto"/>
            </w:tcBorders>
            <w:shd w:val="clear" w:color="auto" w:fill="auto"/>
            <w:vAlign w:val="center"/>
            <w:hideMark/>
          </w:tcPr>
          <w:p w14:paraId="122105F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w:t>
            </w:r>
          </w:p>
        </w:tc>
        <w:tc>
          <w:tcPr>
            <w:tcW w:w="931" w:type="dxa"/>
            <w:tcBorders>
              <w:top w:val="nil"/>
              <w:left w:val="nil"/>
              <w:bottom w:val="single" w:sz="8" w:space="0" w:color="auto"/>
              <w:right w:val="single" w:sz="8" w:space="0" w:color="auto"/>
            </w:tcBorders>
            <w:shd w:val="clear" w:color="auto" w:fill="auto"/>
            <w:vAlign w:val="center"/>
            <w:hideMark/>
          </w:tcPr>
          <w:p w14:paraId="17EF9ED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Tanzania</w:t>
            </w:r>
          </w:p>
        </w:tc>
        <w:tc>
          <w:tcPr>
            <w:tcW w:w="869" w:type="dxa"/>
            <w:tcBorders>
              <w:top w:val="nil"/>
              <w:left w:val="nil"/>
              <w:bottom w:val="single" w:sz="8" w:space="0" w:color="auto"/>
              <w:right w:val="single" w:sz="8" w:space="0" w:color="auto"/>
            </w:tcBorders>
            <w:shd w:val="clear" w:color="auto" w:fill="auto"/>
            <w:vAlign w:val="center"/>
            <w:hideMark/>
          </w:tcPr>
          <w:p w14:paraId="5EAE69F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6423EEDD"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Adoption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518F6EB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Sorghum-producing regions of Central, Western, and Northern Tanzania</w:t>
            </w:r>
          </w:p>
        </w:tc>
        <w:tc>
          <w:tcPr>
            <w:tcW w:w="4410" w:type="dxa"/>
            <w:tcBorders>
              <w:top w:val="nil"/>
              <w:left w:val="nil"/>
              <w:bottom w:val="single" w:sz="8" w:space="0" w:color="auto"/>
              <w:right w:val="single" w:sz="8" w:space="0" w:color="auto"/>
            </w:tcBorders>
            <w:shd w:val="clear" w:color="auto" w:fill="auto"/>
            <w:vAlign w:val="center"/>
            <w:hideMark/>
          </w:tcPr>
          <w:p w14:paraId="0697924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Improved varieties exhibit significantly higher yields and profits than local varieties</w:t>
            </w:r>
          </w:p>
        </w:tc>
        <w:tc>
          <w:tcPr>
            <w:tcW w:w="1890" w:type="dxa"/>
            <w:tcBorders>
              <w:top w:val="nil"/>
              <w:left w:val="nil"/>
              <w:bottom w:val="single" w:sz="8" w:space="0" w:color="auto"/>
              <w:right w:val="single" w:sz="8" w:space="0" w:color="auto"/>
            </w:tcBorders>
            <w:shd w:val="clear" w:color="auto" w:fill="auto"/>
            <w:vAlign w:val="center"/>
            <w:hideMark/>
          </w:tcPr>
          <w:p w14:paraId="7FD2F31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Descriptive statistics/cost-benefit analysis</w:t>
            </w:r>
          </w:p>
        </w:tc>
      </w:tr>
      <w:tr w:rsidR="00A32DDD" w:rsidRPr="00D20063" w14:paraId="29595B54"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74C2D1C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 xml:space="preserve">Kumara </w:t>
            </w:r>
            <w:proofErr w:type="spellStart"/>
            <w:r w:rsidRPr="00D20063">
              <w:rPr>
                <w:rFonts w:ascii="Times New Roman" w:eastAsia="Times New Roman" w:hAnsi="Times New Roman" w:cs="Times New Roman"/>
                <w:sz w:val="18"/>
                <w:szCs w:val="18"/>
              </w:rPr>
              <w:t>Charyulu</w:t>
            </w:r>
            <w:proofErr w:type="spellEnd"/>
            <w:r w:rsidRPr="00D20063">
              <w:rPr>
                <w:rFonts w:ascii="Times New Roman" w:eastAsia="Times New Roman" w:hAnsi="Times New Roman" w:cs="Times New Roman"/>
                <w:sz w:val="18"/>
                <w:szCs w:val="18"/>
              </w:rPr>
              <w:t xml:space="preserve"> et al., 2014</w:t>
            </w:r>
          </w:p>
        </w:tc>
        <w:tc>
          <w:tcPr>
            <w:tcW w:w="900" w:type="dxa"/>
            <w:tcBorders>
              <w:top w:val="nil"/>
              <w:left w:val="nil"/>
              <w:bottom w:val="single" w:sz="8" w:space="0" w:color="auto"/>
              <w:right w:val="single" w:sz="8" w:space="0" w:color="auto"/>
            </w:tcBorders>
            <w:shd w:val="clear" w:color="auto" w:fill="auto"/>
            <w:vAlign w:val="center"/>
            <w:hideMark/>
          </w:tcPr>
          <w:p w14:paraId="70F67FE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Sorghum</w:t>
            </w:r>
          </w:p>
        </w:tc>
        <w:tc>
          <w:tcPr>
            <w:tcW w:w="931" w:type="dxa"/>
            <w:tcBorders>
              <w:top w:val="nil"/>
              <w:left w:val="nil"/>
              <w:bottom w:val="single" w:sz="8" w:space="0" w:color="auto"/>
              <w:right w:val="single" w:sz="8" w:space="0" w:color="auto"/>
            </w:tcBorders>
            <w:shd w:val="clear" w:color="auto" w:fill="auto"/>
            <w:vAlign w:val="center"/>
            <w:hideMark/>
          </w:tcPr>
          <w:p w14:paraId="3B94CAC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India</w:t>
            </w:r>
          </w:p>
        </w:tc>
        <w:tc>
          <w:tcPr>
            <w:tcW w:w="869" w:type="dxa"/>
            <w:tcBorders>
              <w:top w:val="nil"/>
              <w:left w:val="nil"/>
              <w:bottom w:val="single" w:sz="8" w:space="0" w:color="auto"/>
              <w:right w:val="single" w:sz="8" w:space="0" w:color="auto"/>
            </w:tcBorders>
            <w:shd w:val="clear" w:color="auto" w:fill="auto"/>
            <w:vAlign w:val="center"/>
            <w:hideMark/>
          </w:tcPr>
          <w:p w14:paraId="56333D3B"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Macroeconomic</w:t>
            </w:r>
          </w:p>
        </w:tc>
        <w:tc>
          <w:tcPr>
            <w:tcW w:w="1530" w:type="dxa"/>
            <w:tcBorders>
              <w:top w:val="nil"/>
              <w:left w:val="nil"/>
              <w:bottom w:val="single" w:sz="8" w:space="0" w:color="auto"/>
              <w:right w:val="single" w:sz="8" w:space="0" w:color="auto"/>
            </w:tcBorders>
            <w:shd w:val="clear" w:color="auto" w:fill="auto"/>
            <w:vAlign w:val="center"/>
            <w:hideMark/>
          </w:tcPr>
          <w:p w14:paraId="06C0E89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31A78867"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lang w:val="pt-BR"/>
              </w:rPr>
            </w:pPr>
            <w:r w:rsidRPr="00D20063">
              <w:rPr>
                <w:rFonts w:ascii="Times New Roman" w:eastAsia="Times New Roman" w:hAnsi="Times New Roman" w:cs="Times New Roman"/>
                <w:sz w:val="18"/>
                <w:szCs w:val="18"/>
                <w:lang w:val="pt-BR"/>
              </w:rPr>
              <w:t>No external validity (expert estimates)</w:t>
            </w:r>
          </w:p>
        </w:tc>
        <w:tc>
          <w:tcPr>
            <w:tcW w:w="4410" w:type="dxa"/>
            <w:tcBorders>
              <w:top w:val="nil"/>
              <w:left w:val="nil"/>
              <w:bottom w:val="single" w:sz="8" w:space="0" w:color="auto"/>
              <w:right w:val="single" w:sz="8" w:space="0" w:color="auto"/>
            </w:tcBorders>
            <w:shd w:val="clear" w:color="auto" w:fill="auto"/>
            <w:vAlign w:val="center"/>
            <w:hideMark/>
          </w:tcPr>
          <w:p w14:paraId="03289CF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 xml:space="preserve">Productivity levels have </w:t>
            </w:r>
            <w:proofErr w:type="gramStart"/>
            <w:r w:rsidRPr="00D20063">
              <w:rPr>
                <w:rFonts w:ascii="Times New Roman" w:eastAsia="Times New Roman" w:hAnsi="Times New Roman" w:cs="Times New Roman"/>
                <w:sz w:val="18"/>
                <w:szCs w:val="18"/>
              </w:rPr>
              <w:t>risen</w:t>
            </w:r>
            <w:proofErr w:type="gramEnd"/>
            <w:r w:rsidRPr="00D20063">
              <w:rPr>
                <w:rFonts w:ascii="Times New Roman" w:eastAsia="Times New Roman" w:hAnsi="Times New Roman" w:cs="Times New Roman"/>
                <w:sz w:val="18"/>
                <w:szCs w:val="18"/>
              </w:rPr>
              <w:t xml:space="preserve"> and yield variability has declined due to adoption of improved varieties</w:t>
            </w:r>
          </w:p>
        </w:tc>
        <w:tc>
          <w:tcPr>
            <w:tcW w:w="1890" w:type="dxa"/>
            <w:tcBorders>
              <w:top w:val="nil"/>
              <w:left w:val="nil"/>
              <w:bottom w:val="single" w:sz="8" w:space="0" w:color="auto"/>
              <w:right w:val="single" w:sz="8" w:space="0" w:color="auto"/>
            </w:tcBorders>
            <w:shd w:val="clear" w:color="auto" w:fill="auto"/>
            <w:vAlign w:val="center"/>
            <w:hideMark/>
          </w:tcPr>
          <w:p w14:paraId="481A05B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Descriptive statistics</w:t>
            </w:r>
          </w:p>
        </w:tc>
      </w:tr>
      <w:tr w:rsidR="00A32DDD" w:rsidRPr="00D20063" w14:paraId="57B32517"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641171F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Karunakaran et al., 2013</w:t>
            </w:r>
          </w:p>
        </w:tc>
        <w:tc>
          <w:tcPr>
            <w:tcW w:w="900" w:type="dxa"/>
            <w:tcBorders>
              <w:top w:val="nil"/>
              <w:left w:val="nil"/>
              <w:bottom w:val="single" w:sz="8" w:space="0" w:color="auto"/>
              <w:right w:val="single" w:sz="8" w:space="0" w:color="auto"/>
            </w:tcBorders>
            <w:shd w:val="clear" w:color="auto" w:fill="auto"/>
            <w:vAlign w:val="center"/>
            <w:hideMark/>
          </w:tcPr>
          <w:p w14:paraId="0C4D0EE2"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Groundnut</w:t>
            </w:r>
          </w:p>
        </w:tc>
        <w:tc>
          <w:tcPr>
            <w:tcW w:w="931" w:type="dxa"/>
            <w:tcBorders>
              <w:top w:val="nil"/>
              <w:left w:val="nil"/>
              <w:bottom w:val="single" w:sz="8" w:space="0" w:color="auto"/>
              <w:right w:val="single" w:sz="8" w:space="0" w:color="auto"/>
            </w:tcBorders>
            <w:shd w:val="clear" w:color="auto" w:fill="auto"/>
            <w:vAlign w:val="center"/>
            <w:hideMark/>
          </w:tcPr>
          <w:p w14:paraId="0340AFE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Southern India</w:t>
            </w:r>
          </w:p>
        </w:tc>
        <w:tc>
          <w:tcPr>
            <w:tcW w:w="869" w:type="dxa"/>
            <w:tcBorders>
              <w:top w:val="nil"/>
              <w:left w:val="nil"/>
              <w:bottom w:val="single" w:sz="8" w:space="0" w:color="auto"/>
              <w:right w:val="single" w:sz="8" w:space="0" w:color="auto"/>
            </w:tcBorders>
            <w:shd w:val="clear" w:color="auto" w:fill="auto"/>
            <w:vAlign w:val="center"/>
            <w:hideMark/>
          </w:tcPr>
          <w:p w14:paraId="63A8BC15"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Microeconomic</w:t>
            </w:r>
          </w:p>
        </w:tc>
        <w:tc>
          <w:tcPr>
            <w:tcW w:w="1530" w:type="dxa"/>
            <w:tcBorders>
              <w:top w:val="nil"/>
              <w:left w:val="nil"/>
              <w:bottom w:val="single" w:sz="8" w:space="0" w:color="auto"/>
              <w:right w:val="single" w:sz="8" w:space="0" w:color="auto"/>
            </w:tcBorders>
            <w:shd w:val="clear" w:color="auto" w:fill="auto"/>
            <w:vAlign w:val="center"/>
            <w:hideMark/>
          </w:tcPr>
          <w:p w14:paraId="5B444DF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Farmer participatory variety selection programs</w:t>
            </w:r>
          </w:p>
        </w:tc>
        <w:tc>
          <w:tcPr>
            <w:tcW w:w="1980" w:type="dxa"/>
            <w:tcBorders>
              <w:top w:val="nil"/>
              <w:left w:val="nil"/>
              <w:bottom w:val="single" w:sz="8" w:space="0" w:color="auto"/>
              <w:right w:val="single" w:sz="8" w:space="0" w:color="auto"/>
            </w:tcBorders>
            <w:shd w:val="clear" w:color="auto" w:fill="auto"/>
            <w:vAlign w:val="center"/>
            <w:hideMark/>
          </w:tcPr>
          <w:p w14:paraId="666EFF00"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No external validity</w:t>
            </w:r>
          </w:p>
        </w:tc>
        <w:tc>
          <w:tcPr>
            <w:tcW w:w="4410" w:type="dxa"/>
            <w:tcBorders>
              <w:top w:val="nil"/>
              <w:left w:val="nil"/>
              <w:bottom w:val="single" w:sz="8" w:space="0" w:color="auto"/>
              <w:right w:val="single" w:sz="8" w:space="0" w:color="auto"/>
            </w:tcBorders>
            <w:shd w:val="clear" w:color="auto" w:fill="auto"/>
            <w:vAlign w:val="center"/>
            <w:hideMark/>
          </w:tcPr>
          <w:p w14:paraId="4B3984C8"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Improved varieties exhibit higher net returns than local varieties</w:t>
            </w:r>
          </w:p>
        </w:tc>
        <w:tc>
          <w:tcPr>
            <w:tcW w:w="1890" w:type="dxa"/>
            <w:tcBorders>
              <w:top w:val="nil"/>
              <w:left w:val="nil"/>
              <w:bottom w:val="single" w:sz="8" w:space="0" w:color="auto"/>
              <w:right w:val="single" w:sz="8" w:space="0" w:color="auto"/>
            </w:tcBorders>
            <w:shd w:val="clear" w:color="auto" w:fill="auto"/>
            <w:vAlign w:val="center"/>
            <w:hideMark/>
          </w:tcPr>
          <w:p w14:paraId="78A7C81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Descriptive statistics</w:t>
            </w:r>
          </w:p>
        </w:tc>
      </w:tr>
      <w:tr w:rsidR="00A32DDD" w:rsidRPr="00D20063" w14:paraId="0ED974DB" w14:textId="77777777" w:rsidTr="00F865DC">
        <w:trPr>
          <w:trHeight w:val="20"/>
        </w:trPr>
        <w:tc>
          <w:tcPr>
            <w:tcW w:w="1160" w:type="dxa"/>
            <w:tcBorders>
              <w:top w:val="nil"/>
              <w:left w:val="single" w:sz="8" w:space="0" w:color="auto"/>
              <w:bottom w:val="single" w:sz="8" w:space="0" w:color="auto"/>
              <w:right w:val="single" w:sz="8" w:space="0" w:color="auto"/>
            </w:tcBorders>
            <w:shd w:val="clear" w:color="auto" w:fill="auto"/>
            <w:vAlign w:val="center"/>
            <w:hideMark/>
          </w:tcPr>
          <w:p w14:paraId="0EA2D95F"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Nwankwo et al., 2010</w:t>
            </w:r>
          </w:p>
        </w:tc>
        <w:tc>
          <w:tcPr>
            <w:tcW w:w="900" w:type="dxa"/>
            <w:tcBorders>
              <w:top w:val="nil"/>
              <w:left w:val="nil"/>
              <w:bottom w:val="single" w:sz="8" w:space="0" w:color="auto"/>
              <w:right w:val="single" w:sz="8" w:space="0" w:color="auto"/>
            </w:tcBorders>
            <w:shd w:val="clear" w:color="auto" w:fill="auto"/>
            <w:vAlign w:val="center"/>
            <w:hideMark/>
          </w:tcPr>
          <w:p w14:paraId="1879C83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Soybean</w:t>
            </w:r>
          </w:p>
        </w:tc>
        <w:tc>
          <w:tcPr>
            <w:tcW w:w="931" w:type="dxa"/>
            <w:tcBorders>
              <w:top w:val="nil"/>
              <w:left w:val="nil"/>
              <w:bottom w:val="single" w:sz="8" w:space="0" w:color="auto"/>
              <w:right w:val="single" w:sz="8" w:space="0" w:color="auto"/>
            </w:tcBorders>
            <w:shd w:val="clear" w:color="auto" w:fill="auto"/>
            <w:vAlign w:val="center"/>
            <w:hideMark/>
          </w:tcPr>
          <w:p w14:paraId="13028A06"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Sub-Saharan Africa</w:t>
            </w:r>
          </w:p>
        </w:tc>
        <w:tc>
          <w:tcPr>
            <w:tcW w:w="869" w:type="dxa"/>
            <w:tcBorders>
              <w:top w:val="nil"/>
              <w:left w:val="nil"/>
              <w:bottom w:val="single" w:sz="8" w:space="0" w:color="auto"/>
              <w:right w:val="single" w:sz="8" w:space="0" w:color="auto"/>
            </w:tcBorders>
            <w:shd w:val="clear" w:color="auto" w:fill="auto"/>
            <w:vAlign w:val="center"/>
            <w:hideMark/>
          </w:tcPr>
          <w:p w14:paraId="6375C9D1"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Environmental</w:t>
            </w:r>
          </w:p>
        </w:tc>
        <w:tc>
          <w:tcPr>
            <w:tcW w:w="1530" w:type="dxa"/>
            <w:tcBorders>
              <w:top w:val="nil"/>
              <w:left w:val="nil"/>
              <w:bottom w:val="single" w:sz="8" w:space="0" w:color="auto"/>
              <w:right w:val="single" w:sz="8" w:space="0" w:color="auto"/>
            </w:tcBorders>
            <w:shd w:val="clear" w:color="auto" w:fill="auto"/>
            <w:vAlign w:val="center"/>
            <w:hideMark/>
          </w:tcPr>
          <w:p w14:paraId="38CC3543"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Introduction of improved varieties</w:t>
            </w:r>
          </w:p>
        </w:tc>
        <w:tc>
          <w:tcPr>
            <w:tcW w:w="1980" w:type="dxa"/>
            <w:tcBorders>
              <w:top w:val="nil"/>
              <w:left w:val="nil"/>
              <w:bottom w:val="single" w:sz="8" w:space="0" w:color="auto"/>
              <w:right w:val="single" w:sz="8" w:space="0" w:color="auto"/>
            </w:tcBorders>
            <w:shd w:val="clear" w:color="auto" w:fill="auto"/>
            <w:vAlign w:val="center"/>
            <w:hideMark/>
          </w:tcPr>
          <w:p w14:paraId="0D24191E"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Model-based; no survey data</w:t>
            </w:r>
          </w:p>
        </w:tc>
        <w:tc>
          <w:tcPr>
            <w:tcW w:w="4410" w:type="dxa"/>
            <w:tcBorders>
              <w:top w:val="nil"/>
              <w:left w:val="nil"/>
              <w:bottom w:val="single" w:sz="8" w:space="0" w:color="auto"/>
              <w:right w:val="single" w:sz="8" w:space="0" w:color="auto"/>
            </w:tcBorders>
            <w:shd w:val="clear" w:color="auto" w:fill="auto"/>
            <w:vAlign w:val="center"/>
            <w:hideMark/>
          </w:tcPr>
          <w:p w14:paraId="3CE45C34"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Savings of US$167/ha from soybean cultivation, total savings of US$203 million between 2002-2004 over 19 African countries</w:t>
            </w:r>
          </w:p>
        </w:tc>
        <w:tc>
          <w:tcPr>
            <w:tcW w:w="1890" w:type="dxa"/>
            <w:tcBorders>
              <w:top w:val="nil"/>
              <w:left w:val="nil"/>
              <w:bottom w:val="single" w:sz="8" w:space="0" w:color="auto"/>
              <w:right w:val="single" w:sz="8" w:space="0" w:color="auto"/>
            </w:tcBorders>
            <w:shd w:val="clear" w:color="auto" w:fill="auto"/>
            <w:vAlign w:val="center"/>
            <w:hideMark/>
          </w:tcPr>
          <w:p w14:paraId="1FB21B99" w14:textId="77777777" w:rsidR="00A32DDD" w:rsidRPr="00D20063" w:rsidRDefault="00A32DDD" w:rsidP="00F865DC">
            <w:pPr>
              <w:spacing w:after="0" w:line="240" w:lineRule="auto"/>
              <w:contextualSpacing/>
              <w:jc w:val="center"/>
              <w:rPr>
                <w:rFonts w:ascii="Times New Roman" w:eastAsia="Times New Roman" w:hAnsi="Times New Roman" w:cs="Times New Roman"/>
                <w:sz w:val="18"/>
                <w:szCs w:val="18"/>
              </w:rPr>
            </w:pPr>
            <w:r w:rsidRPr="00D20063">
              <w:rPr>
                <w:rFonts w:ascii="Times New Roman" w:eastAsia="Times New Roman" w:hAnsi="Times New Roman" w:cs="Times New Roman"/>
                <w:sz w:val="18"/>
                <w:szCs w:val="18"/>
              </w:rPr>
              <w:t>Cost reduction model</w:t>
            </w:r>
          </w:p>
        </w:tc>
      </w:tr>
    </w:tbl>
    <w:p w14:paraId="7AA11CFD" w14:textId="4764B8D8" w:rsidR="00913981" w:rsidRPr="00913981" w:rsidRDefault="00913981" w:rsidP="00913981"/>
    <w:sectPr w:rsidR="00913981" w:rsidRPr="00913981" w:rsidSect="00A32DDD">
      <w:pgSz w:w="15840" w:h="12240" w:orient="landscape"/>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6214A" w14:textId="77777777" w:rsidR="00004D8F" w:rsidRDefault="00004D8F" w:rsidP="00457A20">
      <w:pPr>
        <w:spacing w:after="0" w:line="240" w:lineRule="auto"/>
      </w:pPr>
      <w:r>
        <w:separator/>
      </w:r>
    </w:p>
  </w:endnote>
  <w:endnote w:type="continuationSeparator" w:id="0">
    <w:p w14:paraId="43BAC411" w14:textId="77777777" w:rsidR="00004D8F" w:rsidRDefault="00004D8F" w:rsidP="00457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1249572"/>
      <w:docPartObj>
        <w:docPartGallery w:val="Page Numbers (Bottom of Page)"/>
        <w:docPartUnique/>
      </w:docPartObj>
    </w:sdtPr>
    <w:sdtEndPr>
      <w:rPr>
        <w:noProof/>
      </w:rPr>
    </w:sdtEndPr>
    <w:sdtContent>
      <w:p w14:paraId="47FB5074" w14:textId="2DEA8988" w:rsidR="00252409" w:rsidRDefault="002524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680D5" w14:textId="77777777" w:rsidR="00252409" w:rsidRDefault="0025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2511007"/>
      <w:docPartObj>
        <w:docPartGallery w:val="Page Numbers (Bottom of Page)"/>
        <w:docPartUnique/>
      </w:docPartObj>
    </w:sdtPr>
    <w:sdtEndPr>
      <w:rPr>
        <w:noProof/>
      </w:rPr>
    </w:sdtEndPr>
    <w:sdtContent>
      <w:p w14:paraId="0B5CE97D" w14:textId="77777777" w:rsidR="00FC7588" w:rsidRDefault="00FC75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761E61" w14:textId="77777777" w:rsidR="00FC7588" w:rsidRDefault="00FC7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A60C0" w14:textId="77777777" w:rsidR="00004D8F" w:rsidRDefault="00004D8F" w:rsidP="00457A20">
      <w:pPr>
        <w:spacing w:after="0" w:line="240" w:lineRule="auto"/>
      </w:pPr>
      <w:r>
        <w:separator/>
      </w:r>
    </w:p>
  </w:footnote>
  <w:footnote w:type="continuationSeparator" w:id="0">
    <w:p w14:paraId="6845744E" w14:textId="77777777" w:rsidR="00004D8F" w:rsidRDefault="00004D8F" w:rsidP="00457A20">
      <w:pPr>
        <w:spacing w:after="0" w:line="240" w:lineRule="auto"/>
      </w:pPr>
      <w:r>
        <w:continuationSeparator/>
      </w:r>
    </w:p>
  </w:footnote>
  <w:footnote w:id="1">
    <w:p w14:paraId="3BDA7885" w14:textId="6D81DDEB" w:rsidR="00457A20" w:rsidRPr="00457A20" w:rsidRDefault="00457A20" w:rsidP="00457A20">
      <w:pPr>
        <w:spacing w:after="0" w:line="240" w:lineRule="auto"/>
        <w:rPr>
          <w:rFonts w:cstheme="minorHAnsi"/>
          <w:sz w:val="18"/>
          <w:szCs w:val="18"/>
        </w:rPr>
      </w:pPr>
      <w:r w:rsidRPr="00457A20">
        <w:rPr>
          <w:rStyle w:val="FootnoteReference"/>
          <w:rFonts w:cstheme="minorHAnsi"/>
          <w:sz w:val="18"/>
          <w:szCs w:val="18"/>
        </w:rPr>
        <w:footnoteRef/>
      </w:r>
      <w:r w:rsidRPr="00457A20">
        <w:rPr>
          <w:rFonts w:cstheme="minorHAnsi"/>
          <w:sz w:val="18"/>
          <w:szCs w:val="18"/>
        </w:rPr>
        <w:t xml:space="preserve"> GLDC Proposal, Table 5, p. 16. </w:t>
      </w:r>
    </w:p>
  </w:footnote>
  <w:footnote w:id="2">
    <w:p w14:paraId="2699B0BF" w14:textId="77777777" w:rsidR="00457A20" w:rsidRPr="00457A20" w:rsidRDefault="00457A20" w:rsidP="00457A20">
      <w:pPr>
        <w:spacing w:after="0" w:line="240" w:lineRule="auto"/>
        <w:jc w:val="both"/>
        <w:rPr>
          <w:rFonts w:cstheme="minorHAnsi"/>
          <w:sz w:val="18"/>
          <w:szCs w:val="18"/>
        </w:rPr>
      </w:pPr>
      <w:r w:rsidRPr="00457A20">
        <w:rPr>
          <w:rStyle w:val="FootnoteReference"/>
          <w:rFonts w:cstheme="minorHAnsi"/>
          <w:sz w:val="18"/>
          <w:szCs w:val="18"/>
        </w:rPr>
        <w:footnoteRef/>
      </w:r>
      <w:r w:rsidRPr="00457A20">
        <w:rPr>
          <w:rFonts w:cstheme="minorHAnsi"/>
          <w:sz w:val="18"/>
          <w:szCs w:val="18"/>
        </w:rPr>
        <w:t xml:space="preserve"> GLDC Proposal, Figure 5, p. 14 and Annual Report 2018, Part B Table 1, pp. 15-16.</w:t>
      </w:r>
    </w:p>
    <w:p w14:paraId="39F8F70C" w14:textId="38A8EA26" w:rsidR="00457A20" w:rsidRPr="00457A20" w:rsidRDefault="00457A20">
      <w:pPr>
        <w:pStyle w:val="FootnoteText"/>
        <w:rPr>
          <w:lang w:val="en-GB"/>
        </w:rPr>
      </w:pPr>
    </w:p>
  </w:footnote>
  <w:footnote w:id="3">
    <w:p w14:paraId="7E1414A6" w14:textId="77777777" w:rsidR="00A32DDD" w:rsidRPr="001F15B3" w:rsidRDefault="00A32DDD" w:rsidP="00A32DDD">
      <w:pPr>
        <w:pStyle w:val="FootnoteText"/>
        <w:rPr>
          <w:rFonts w:ascii="Times New Roman" w:hAnsi="Times New Roman" w:cs="Times New Roman"/>
        </w:rPr>
      </w:pPr>
      <w:r w:rsidRPr="001F15B3">
        <w:rPr>
          <w:rStyle w:val="FootnoteReference"/>
          <w:rFonts w:cs="Times New Roman"/>
        </w:rPr>
        <w:footnoteRef/>
      </w:r>
      <w:r w:rsidRPr="001F15B3">
        <w:rPr>
          <w:rFonts w:ascii="Times New Roman" w:hAnsi="Times New Roman" w:cs="Times New Roman"/>
        </w:rPr>
        <w:t xml:space="preserve"> A more detailed review of the studies included above can be found in Katovich et al, 2019.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83B99"/>
    <w:multiLevelType w:val="hybridMultilevel"/>
    <w:tmpl w:val="2EF8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F4714"/>
    <w:multiLevelType w:val="hybridMultilevel"/>
    <w:tmpl w:val="18247A00"/>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 w15:restartNumberingAfterBreak="0">
    <w:nsid w:val="25BE11F2"/>
    <w:multiLevelType w:val="hybridMultilevel"/>
    <w:tmpl w:val="7CAE98D0"/>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2C9E6402"/>
    <w:multiLevelType w:val="hybridMultilevel"/>
    <w:tmpl w:val="19BA6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7C2B93"/>
    <w:multiLevelType w:val="hybridMultilevel"/>
    <w:tmpl w:val="B2864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F24D95"/>
    <w:multiLevelType w:val="multilevel"/>
    <w:tmpl w:val="395CC8C0"/>
    <w:lvl w:ilvl="0">
      <w:start w:val="1"/>
      <w:numFmt w:val="decimal"/>
      <w:lvlText w:val="%1."/>
      <w:lvlJc w:val="left"/>
      <w:pPr>
        <w:ind w:left="643" w:hanging="360"/>
      </w:pPr>
      <w:rPr>
        <w:rFonts w:hint="default"/>
        <w:vertAlign w:val="superscript"/>
      </w:rPr>
    </w:lvl>
    <w:lvl w:ilvl="1">
      <w:start w:val="1"/>
      <w:numFmt w:val="decimal"/>
      <w:isLgl/>
      <w:lvlText w:val="%1.%2"/>
      <w:lvlJc w:val="left"/>
      <w:pPr>
        <w:ind w:left="720" w:hanging="360"/>
      </w:pPr>
      <w:rPr>
        <w:rFonts w:hint="default"/>
        <w:b w:val="0"/>
      </w:rPr>
    </w:lvl>
    <w:lvl w:ilvl="2">
      <w:start w:val="1"/>
      <w:numFmt w:val="decimal"/>
      <w:isLgl/>
      <w:lvlText w:val="%1.%2.%3"/>
      <w:lvlJc w:val="left"/>
      <w:pPr>
        <w:ind w:left="1157" w:hanging="720"/>
      </w:pPr>
      <w:rPr>
        <w:rFonts w:hint="default"/>
        <w:b w:val="0"/>
      </w:rPr>
    </w:lvl>
    <w:lvl w:ilvl="3">
      <w:start w:val="1"/>
      <w:numFmt w:val="decimal"/>
      <w:isLgl/>
      <w:lvlText w:val="%1.%2.%3.%4"/>
      <w:lvlJc w:val="left"/>
      <w:pPr>
        <w:ind w:left="1234" w:hanging="720"/>
      </w:pPr>
      <w:rPr>
        <w:rFonts w:hint="default"/>
        <w:b w:val="0"/>
      </w:rPr>
    </w:lvl>
    <w:lvl w:ilvl="4">
      <w:start w:val="1"/>
      <w:numFmt w:val="decimal"/>
      <w:isLgl/>
      <w:lvlText w:val="%1.%2.%3.%4.%5"/>
      <w:lvlJc w:val="left"/>
      <w:pPr>
        <w:ind w:left="1671" w:hanging="1080"/>
      </w:pPr>
      <w:rPr>
        <w:rFonts w:hint="default"/>
        <w:b w:val="0"/>
      </w:rPr>
    </w:lvl>
    <w:lvl w:ilvl="5">
      <w:start w:val="1"/>
      <w:numFmt w:val="decimal"/>
      <w:isLgl/>
      <w:lvlText w:val="%1.%2.%3.%4.%5.%6"/>
      <w:lvlJc w:val="left"/>
      <w:pPr>
        <w:ind w:left="1748" w:hanging="1080"/>
      </w:pPr>
      <w:rPr>
        <w:rFonts w:hint="default"/>
        <w:b w:val="0"/>
      </w:rPr>
    </w:lvl>
    <w:lvl w:ilvl="6">
      <w:start w:val="1"/>
      <w:numFmt w:val="decimal"/>
      <w:isLgl/>
      <w:lvlText w:val="%1.%2.%3.%4.%5.%6.%7"/>
      <w:lvlJc w:val="left"/>
      <w:pPr>
        <w:ind w:left="2185" w:hanging="1440"/>
      </w:pPr>
      <w:rPr>
        <w:rFonts w:hint="default"/>
        <w:b w:val="0"/>
      </w:rPr>
    </w:lvl>
    <w:lvl w:ilvl="7">
      <w:start w:val="1"/>
      <w:numFmt w:val="decimal"/>
      <w:isLgl/>
      <w:lvlText w:val="%1.%2.%3.%4.%5.%6.%7.%8"/>
      <w:lvlJc w:val="left"/>
      <w:pPr>
        <w:ind w:left="2262" w:hanging="1440"/>
      </w:pPr>
      <w:rPr>
        <w:rFonts w:hint="default"/>
        <w:b w:val="0"/>
      </w:rPr>
    </w:lvl>
    <w:lvl w:ilvl="8">
      <w:start w:val="1"/>
      <w:numFmt w:val="decimal"/>
      <w:isLgl/>
      <w:lvlText w:val="%1.%2.%3.%4.%5.%6.%7.%8.%9"/>
      <w:lvlJc w:val="left"/>
      <w:pPr>
        <w:ind w:left="2699" w:hanging="1800"/>
      </w:pPr>
      <w:rPr>
        <w:rFonts w:hint="default"/>
        <w:b w:val="0"/>
      </w:rPr>
    </w:lvl>
  </w:abstractNum>
  <w:abstractNum w:abstractNumId="6" w15:restartNumberingAfterBreak="0">
    <w:nsid w:val="397E653D"/>
    <w:multiLevelType w:val="hybridMultilevel"/>
    <w:tmpl w:val="15C68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FF5585"/>
    <w:multiLevelType w:val="hybridMultilevel"/>
    <w:tmpl w:val="3A5E78FC"/>
    <w:lvl w:ilvl="0" w:tplc="CE1E12E8">
      <w:start w:val="1"/>
      <w:numFmt w:val="bullet"/>
      <w:lvlText w:val="•"/>
      <w:lvlJc w:val="left"/>
      <w:pPr>
        <w:tabs>
          <w:tab w:val="num" w:pos="720"/>
        </w:tabs>
        <w:ind w:left="720" w:hanging="360"/>
      </w:pPr>
      <w:rPr>
        <w:rFonts w:ascii="Arial" w:hAnsi="Arial" w:hint="default"/>
      </w:rPr>
    </w:lvl>
    <w:lvl w:ilvl="1" w:tplc="9F5E6C8E" w:tentative="1">
      <w:start w:val="1"/>
      <w:numFmt w:val="bullet"/>
      <w:lvlText w:val="•"/>
      <w:lvlJc w:val="left"/>
      <w:pPr>
        <w:tabs>
          <w:tab w:val="num" w:pos="1440"/>
        </w:tabs>
        <w:ind w:left="1440" w:hanging="360"/>
      </w:pPr>
      <w:rPr>
        <w:rFonts w:ascii="Arial" w:hAnsi="Arial" w:hint="default"/>
      </w:rPr>
    </w:lvl>
    <w:lvl w:ilvl="2" w:tplc="ED8CAA8E" w:tentative="1">
      <w:start w:val="1"/>
      <w:numFmt w:val="bullet"/>
      <w:lvlText w:val="•"/>
      <w:lvlJc w:val="left"/>
      <w:pPr>
        <w:tabs>
          <w:tab w:val="num" w:pos="2160"/>
        </w:tabs>
        <w:ind w:left="2160" w:hanging="360"/>
      </w:pPr>
      <w:rPr>
        <w:rFonts w:ascii="Arial" w:hAnsi="Arial" w:hint="default"/>
      </w:rPr>
    </w:lvl>
    <w:lvl w:ilvl="3" w:tplc="7BC00578" w:tentative="1">
      <w:start w:val="1"/>
      <w:numFmt w:val="bullet"/>
      <w:lvlText w:val="•"/>
      <w:lvlJc w:val="left"/>
      <w:pPr>
        <w:tabs>
          <w:tab w:val="num" w:pos="2880"/>
        </w:tabs>
        <w:ind w:left="2880" w:hanging="360"/>
      </w:pPr>
      <w:rPr>
        <w:rFonts w:ascii="Arial" w:hAnsi="Arial" w:hint="default"/>
      </w:rPr>
    </w:lvl>
    <w:lvl w:ilvl="4" w:tplc="0C16EDF6" w:tentative="1">
      <w:start w:val="1"/>
      <w:numFmt w:val="bullet"/>
      <w:lvlText w:val="•"/>
      <w:lvlJc w:val="left"/>
      <w:pPr>
        <w:tabs>
          <w:tab w:val="num" w:pos="3600"/>
        </w:tabs>
        <w:ind w:left="3600" w:hanging="360"/>
      </w:pPr>
      <w:rPr>
        <w:rFonts w:ascii="Arial" w:hAnsi="Arial" w:hint="default"/>
      </w:rPr>
    </w:lvl>
    <w:lvl w:ilvl="5" w:tplc="94C26B54" w:tentative="1">
      <w:start w:val="1"/>
      <w:numFmt w:val="bullet"/>
      <w:lvlText w:val="•"/>
      <w:lvlJc w:val="left"/>
      <w:pPr>
        <w:tabs>
          <w:tab w:val="num" w:pos="4320"/>
        </w:tabs>
        <w:ind w:left="4320" w:hanging="360"/>
      </w:pPr>
      <w:rPr>
        <w:rFonts w:ascii="Arial" w:hAnsi="Arial" w:hint="default"/>
      </w:rPr>
    </w:lvl>
    <w:lvl w:ilvl="6" w:tplc="F36ADC62" w:tentative="1">
      <w:start w:val="1"/>
      <w:numFmt w:val="bullet"/>
      <w:lvlText w:val="•"/>
      <w:lvlJc w:val="left"/>
      <w:pPr>
        <w:tabs>
          <w:tab w:val="num" w:pos="5040"/>
        </w:tabs>
        <w:ind w:left="5040" w:hanging="360"/>
      </w:pPr>
      <w:rPr>
        <w:rFonts w:ascii="Arial" w:hAnsi="Arial" w:hint="default"/>
      </w:rPr>
    </w:lvl>
    <w:lvl w:ilvl="7" w:tplc="210875EA" w:tentative="1">
      <w:start w:val="1"/>
      <w:numFmt w:val="bullet"/>
      <w:lvlText w:val="•"/>
      <w:lvlJc w:val="left"/>
      <w:pPr>
        <w:tabs>
          <w:tab w:val="num" w:pos="5760"/>
        </w:tabs>
        <w:ind w:left="5760" w:hanging="360"/>
      </w:pPr>
      <w:rPr>
        <w:rFonts w:ascii="Arial" w:hAnsi="Arial" w:hint="default"/>
      </w:rPr>
    </w:lvl>
    <w:lvl w:ilvl="8" w:tplc="27EA9E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97291A"/>
    <w:multiLevelType w:val="hybridMultilevel"/>
    <w:tmpl w:val="E84A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0C4085"/>
    <w:multiLevelType w:val="hybridMultilevel"/>
    <w:tmpl w:val="E8C69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FF4BAE"/>
    <w:multiLevelType w:val="hybridMultilevel"/>
    <w:tmpl w:val="4134C680"/>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5"/>
  </w:num>
  <w:num w:numId="5">
    <w:abstractNumId w:val="1"/>
  </w:num>
  <w:num w:numId="6">
    <w:abstractNumId w:val="9"/>
  </w:num>
  <w:num w:numId="7">
    <w:abstractNumId w:val="8"/>
  </w:num>
  <w:num w:numId="8">
    <w:abstractNumId w:val="4"/>
  </w:num>
  <w:num w:numId="9">
    <w:abstractNumId w:val="0"/>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A46"/>
    <w:rsid w:val="000046AF"/>
    <w:rsid w:val="00004A17"/>
    <w:rsid w:val="00004D8F"/>
    <w:rsid w:val="00011EAF"/>
    <w:rsid w:val="00040B09"/>
    <w:rsid w:val="000452F3"/>
    <w:rsid w:val="00077A46"/>
    <w:rsid w:val="00092577"/>
    <w:rsid w:val="000B14EB"/>
    <w:rsid w:val="000C5BFC"/>
    <w:rsid w:val="000E1EF3"/>
    <w:rsid w:val="00157119"/>
    <w:rsid w:val="00180404"/>
    <w:rsid w:val="001832EA"/>
    <w:rsid w:val="001A08E6"/>
    <w:rsid w:val="001F429D"/>
    <w:rsid w:val="0020109F"/>
    <w:rsid w:val="0023008B"/>
    <w:rsid w:val="00231BF6"/>
    <w:rsid w:val="00252409"/>
    <w:rsid w:val="00266258"/>
    <w:rsid w:val="00290EE6"/>
    <w:rsid w:val="002F088C"/>
    <w:rsid w:val="002F09DF"/>
    <w:rsid w:val="003743D3"/>
    <w:rsid w:val="00385D6D"/>
    <w:rsid w:val="003B67DE"/>
    <w:rsid w:val="003B714A"/>
    <w:rsid w:val="003C43E3"/>
    <w:rsid w:val="003F0442"/>
    <w:rsid w:val="003F2163"/>
    <w:rsid w:val="003F31EA"/>
    <w:rsid w:val="00406A79"/>
    <w:rsid w:val="00436280"/>
    <w:rsid w:val="00457A20"/>
    <w:rsid w:val="004716B6"/>
    <w:rsid w:val="00476AFF"/>
    <w:rsid w:val="00491F95"/>
    <w:rsid w:val="004B3844"/>
    <w:rsid w:val="004B637F"/>
    <w:rsid w:val="004F4BEC"/>
    <w:rsid w:val="004F5E12"/>
    <w:rsid w:val="004F76E2"/>
    <w:rsid w:val="00501AD9"/>
    <w:rsid w:val="00550CBB"/>
    <w:rsid w:val="00577B24"/>
    <w:rsid w:val="0059302B"/>
    <w:rsid w:val="005A7AF1"/>
    <w:rsid w:val="005D108D"/>
    <w:rsid w:val="00611821"/>
    <w:rsid w:val="0069653A"/>
    <w:rsid w:val="006A48F0"/>
    <w:rsid w:val="006F69F7"/>
    <w:rsid w:val="007106B3"/>
    <w:rsid w:val="00710972"/>
    <w:rsid w:val="00713C27"/>
    <w:rsid w:val="0071772F"/>
    <w:rsid w:val="00724C9F"/>
    <w:rsid w:val="00736447"/>
    <w:rsid w:val="00742C26"/>
    <w:rsid w:val="00743582"/>
    <w:rsid w:val="00786BB7"/>
    <w:rsid w:val="007A420C"/>
    <w:rsid w:val="007D4036"/>
    <w:rsid w:val="007E192E"/>
    <w:rsid w:val="007E1B15"/>
    <w:rsid w:val="00820B92"/>
    <w:rsid w:val="00827DF1"/>
    <w:rsid w:val="008A0E89"/>
    <w:rsid w:val="008A3ADE"/>
    <w:rsid w:val="008D42F1"/>
    <w:rsid w:val="008F6A80"/>
    <w:rsid w:val="00911081"/>
    <w:rsid w:val="00913981"/>
    <w:rsid w:val="0092092A"/>
    <w:rsid w:val="0094049B"/>
    <w:rsid w:val="00952D85"/>
    <w:rsid w:val="00993AF3"/>
    <w:rsid w:val="009A1257"/>
    <w:rsid w:val="009C0071"/>
    <w:rsid w:val="00A32DDD"/>
    <w:rsid w:val="00A35599"/>
    <w:rsid w:val="00A61521"/>
    <w:rsid w:val="00AA68F8"/>
    <w:rsid w:val="00AB2F17"/>
    <w:rsid w:val="00AB318E"/>
    <w:rsid w:val="00AC6EB7"/>
    <w:rsid w:val="00AF0FB2"/>
    <w:rsid w:val="00B258B3"/>
    <w:rsid w:val="00B25EA1"/>
    <w:rsid w:val="00B27188"/>
    <w:rsid w:val="00B332C9"/>
    <w:rsid w:val="00B478ED"/>
    <w:rsid w:val="00B67ECA"/>
    <w:rsid w:val="00B74837"/>
    <w:rsid w:val="00BB1511"/>
    <w:rsid w:val="00C532D9"/>
    <w:rsid w:val="00C65ACE"/>
    <w:rsid w:val="00C673F8"/>
    <w:rsid w:val="00C71454"/>
    <w:rsid w:val="00C77C9C"/>
    <w:rsid w:val="00D0070D"/>
    <w:rsid w:val="00D119B5"/>
    <w:rsid w:val="00D44684"/>
    <w:rsid w:val="00D5001C"/>
    <w:rsid w:val="00DA406A"/>
    <w:rsid w:val="00DA68BF"/>
    <w:rsid w:val="00DE1C09"/>
    <w:rsid w:val="00DF5915"/>
    <w:rsid w:val="00DF68E2"/>
    <w:rsid w:val="00E443DD"/>
    <w:rsid w:val="00E46348"/>
    <w:rsid w:val="00E569B9"/>
    <w:rsid w:val="00E67011"/>
    <w:rsid w:val="00E7687E"/>
    <w:rsid w:val="00E90AD1"/>
    <w:rsid w:val="00E95213"/>
    <w:rsid w:val="00EA3CE2"/>
    <w:rsid w:val="00EB4332"/>
    <w:rsid w:val="00EB720F"/>
    <w:rsid w:val="00EC2B9D"/>
    <w:rsid w:val="00ED7160"/>
    <w:rsid w:val="00F2314A"/>
    <w:rsid w:val="00FB0794"/>
    <w:rsid w:val="00FC7588"/>
    <w:rsid w:val="00FD0A21"/>
    <w:rsid w:val="00FE0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4C7D"/>
  <w15:chartTrackingRefBased/>
  <w15:docId w15:val="{75F025FB-6A69-48E8-A6E0-A064DAB2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link w:val="Heading1Char"/>
    <w:uiPriority w:val="9"/>
    <w:qFormat/>
    <w:rsid w:val="00E95213"/>
    <w:pPr>
      <w:keepNext/>
      <w:keepLines/>
      <w:outlineLvl w:val="0"/>
    </w:pPr>
    <w:rPr>
      <w:rFonts w:ascii="Calibri" w:hAnsi="Calibri"/>
      <w:b/>
      <w:color w:val="2F5496" w:themeColor="accent1" w:themeShade="BF"/>
      <w:sz w:val="32"/>
      <w:szCs w:val="32"/>
    </w:rPr>
  </w:style>
  <w:style w:type="paragraph" w:styleId="Heading2">
    <w:name w:val="heading 2"/>
    <w:basedOn w:val="Normal"/>
    <w:next w:val="Normal"/>
    <w:link w:val="Heading2Char"/>
    <w:uiPriority w:val="9"/>
    <w:semiHidden/>
    <w:unhideWhenUsed/>
    <w:qFormat/>
    <w:rsid w:val="009110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213"/>
    <w:rPr>
      <w:rFonts w:ascii="Calibri" w:eastAsiaTheme="majorEastAsia" w:hAnsi="Calibri" w:cstheme="majorBidi"/>
      <w:b/>
      <w:color w:val="2F5496" w:themeColor="accent1" w:themeShade="BF"/>
      <w:spacing w:val="-10"/>
      <w:kern w:val="28"/>
      <w:sz w:val="32"/>
      <w:szCs w:val="32"/>
    </w:rPr>
  </w:style>
  <w:style w:type="paragraph" w:styleId="Title">
    <w:name w:val="Title"/>
    <w:basedOn w:val="Normal"/>
    <w:next w:val="Normal"/>
    <w:link w:val="TitleChar"/>
    <w:uiPriority w:val="10"/>
    <w:qFormat/>
    <w:rsid w:val="00C532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2D9"/>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077A46"/>
    <w:pPr>
      <w:ind w:left="720"/>
      <w:contextualSpacing/>
    </w:pPr>
  </w:style>
  <w:style w:type="character" w:customStyle="1" w:styleId="Heading2Char">
    <w:name w:val="Heading 2 Char"/>
    <w:basedOn w:val="DefaultParagraphFont"/>
    <w:link w:val="Heading2"/>
    <w:uiPriority w:val="9"/>
    <w:semiHidden/>
    <w:rsid w:val="0091108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1108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57A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A20"/>
    <w:rPr>
      <w:sz w:val="20"/>
      <w:szCs w:val="20"/>
    </w:rPr>
  </w:style>
  <w:style w:type="character" w:styleId="FootnoteReference">
    <w:name w:val="footnote reference"/>
    <w:basedOn w:val="DefaultParagraphFont"/>
    <w:uiPriority w:val="99"/>
    <w:semiHidden/>
    <w:unhideWhenUsed/>
    <w:rsid w:val="00457A20"/>
    <w:rPr>
      <w:vertAlign w:val="superscript"/>
    </w:rPr>
  </w:style>
  <w:style w:type="paragraph" w:styleId="Header">
    <w:name w:val="header"/>
    <w:basedOn w:val="Normal"/>
    <w:link w:val="HeaderChar"/>
    <w:uiPriority w:val="99"/>
    <w:unhideWhenUsed/>
    <w:rsid w:val="0025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409"/>
  </w:style>
  <w:style w:type="paragraph" w:styleId="Footer">
    <w:name w:val="footer"/>
    <w:basedOn w:val="Normal"/>
    <w:link w:val="FooterChar"/>
    <w:uiPriority w:val="99"/>
    <w:unhideWhenUsed/>
    <w:rsid w:val="0025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409"/>
  </w:style>
  <w:style w:type="paragraph" w:styleId="BalloonText">
    <w:name w:val="Balloon Text"/>
    <w:basedOn w:val="Normal"/>
    <w:link w:val="BalloonTextChar"/>
    <w:uiPriority w:val="99"/>
    <w:semiHidden/>
    <w:unhideWhenUsed/>
    <w:rsid w:val="00A32D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DD"/>
    <w:rPr>
      <w:rFonts w:ascii="Segoe UI" w:hAnsi="Segoe UI" w:cs="Segoe UI"/>
      <w:sz w:val="18"/>
      <w:szCs w:val="18"/>
    </w:rPr>
  </w:style>
  <w:style w:type="character" w:styleId="CommentReference">
    <w:name w:val="annotation reference"/>
    <w:basedOn w:val="DefaultParagraphFont"/>
    <w:uiPriority w:val="99"/>
    <w:semiHidden/>
    <w:unhideWhenUsed/>
    <w:rsid w:val="00A32DDD"/>
    <w:rPr>
      <w:sz w:val="16"/>
      <w:szCs w:val="16"/>
    </w:rPr>
  </w:style>
  <w:style w:type="paragraph" w:styleId="CommentText">
    <w:name w:val="annotation text"/>
    <w:basedOn w:val="Normal"/>
    <w:link w:val="CommentTextChar"/>
    <w:uiPriority w:val="99"/>
    <w:unhideWhenUsed/>
    <w:rsid w:val="00A32DDD"/>
    <w:pPr>
      <w:spacing w:line="240" w:lineRule="auto"/>
    </w:pPr>
    <w:rPr>
      <w:sz w:val="20"/>
      <w:szCs w:val="20"/>
    </w:rPr>
  </w:style>
  <w:style w:type="character" w:customStyle="1" w:styleId="CommentTextChar">
    <w:name w:val="Comment Text Char"/>
    <w:basedOn w:val="DefaultParagraphFont"/>
    <w:link w:val="CommentText"/>
    <w:uiPriority w:val="99"/>
    <w:rsid w:val="00A32DDD"/>
    <w:rPr>
      <w:sz w:val="20"/>
      <w:szCs w:val="20"/>
    </w:rPr>
  </w:style>
  <w:style w:type="character" w:styleId="SubtleReference">
    <w:name w:val="Subtle Reference"/>
    <w:basedOn w:val="DefaultParagraphFont"/>
    <w:uiPriority w:val="31"/>
    <w:qFormat/>
    <w:rsid w:val="00A32DDD"/>
    <w:rPr>
      <w:rFonts w:ascii="Times New Roman" w:hAnsi="Times New Roman"/>
      <w:b/>
      <w:caps w:val="0"/>
      <w:smallCaps w:val="0"/>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kato\Dropbox\PhD\Emilia%20RA\GLDC%20Impact%20Assessment%20Synthesis%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kato\Dropbox\PhD\Emilia%20RA\GLDC%20Impact%20Assessment%20Synthesis%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kato\Dropbox\PhD\Emilia%20RA\GLDC%20Impact%20Assessment%20Synthesis%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kato\Dropbox\PhD\Emilia%20RA\GLDC%20Impact%20Assessment%20Synthesis%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22903290934787"/>
          <c:y val="2.9790850134764544E-2"/>
          <c:w val="0.85064276196244704"/>
          <c:h val="0.62390640631804428"/>
        </c:manualLayout>
      </c:layout>
      <c:barChart>
        <c:barDir val="col"/>
        <c:grouping val="clustered"/>
        <c:varyColors val="0"/>
        <c:ser>
          <c:idx val="0"/>
          <c:order val="0"/>
          <c:tx>
            <c:strRef>
              <c:f>Sheet1!$E$1</c:f>
              <c:strCache>
                <c:ptCount val="1"/>
              </c:strCache>
            </c:strRef>
          </c:tx>
          <c:spPr>
            <a:solidFill>
              <a:schemeClr val="dk1">
                <a:tint val="88500"/>
              </a:schemeClr>
            </a:solidFill>
            <a:ln>
              <a:noFill/>
            </a:ln>
            <a:effectLst/>
          </c:spPr>
          <c:invertIfNegative val="0"/>
          <c:cat>
            <c:strRef>
              <c:f>Sheet1!$D$3:$D$7</c:f>
              <c:strCache>
                <c:ptCount val="5"/>
                <c:pt idx="0">
                  <c:v>Ethiopia</c:v>
                </c:pt>
                <c:pt idx="1">
                  <c:v>Tanzania</c:v>
                </c:pt>
                <c:pt idx="2">
                  <c:v>Malawi</c:v>
                </c:pt>
                <c:pt idx="3">
                  <c:v>Nigeria</c:v>
                </c:pt>
                <c:pt idx="4">
                  <c:v>Uganda</c:v>
                </c:pt>
              </c:strCache>
            </c:strRef>
          </c:cat>
          <c:val>
            <c:numRef>
              <c:f>Sheet1!$E$3:$E$7</c:f>
              <c:numCache>
                <c:formatCode>General</c:formatCode>
                <c:ptCount val="5"/>
                <c:pt idx="0">
                  <c:v>4</c:v>
                </c:pt>
                <c:pt idx="1">
                  <c:v>4</c:v>
                </c:pt>
                <c:pt idx="2">
                  <c:v>3</c:v>
                </c:pt>
                <c:pt idx="3">
                  <c:v>1</c:v>
                </c:pt>
                <c:pt idx="4">
                  <c:v>1</c:v>
                </c:pt>
              </c:numCache>
            </c:numRef>
          </c:val>
          <c:extLst>
            <c:ext xmlns:c16="http://schemas.microsoft.com/office/drawing/2014/chart" uri="{C3380CC4-5D6E-409C-BE32-E72D297353CC}">
              <c16:uniqueId val="{00000000-AD7D-4F94-939D-995EEAF6F21D}"/>
            </c:ext>
          </c:extLst>
        </c:ser>
        <c:dLbls>
          <c:showLegendKey val="0"/>
          <c:showVal val="0"/>
          <c:showCatName val="0"/>
          <c:showSerName val="0"/>
          <c:showPercent val="0"/>
          <c:showBubbleSize val="0"/>
        </c:dLbls>
        <c:gapWidth val="219"/>
        <c:overlap val="-27"/>
        <c:axId val="586462328"/>
        <c:axId val="586461344"/>
      </c:barChart>
      <c:catAx>
        <c:axId val="586462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6461344"/>
        <c:crosses val="autoZero"/>
        <c:auto val="0"/>
        <c:lblAlgn val="ctr"/>
        <c:lblOffset val="100"/>
        <c:noMultiLvlLbl val="0"/>
      </c:catAx>
      <c:valAx>
        <c:axId val="586461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6462328"/>
        <c:crosses val="autoZero"/>
        <c:crossBetween val="between"/>
        <c:majorUnit val="1"/>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8673784421015168E-2"/>
          <c:y val="8.9769968169750317E-2"/>
          <c:w val="0.85160870145469103"/>
          <c:h val="0.58219073807809651"/>
        </c:manualLayout>
      </c:layout>
      <c:barChart>
        <c:barDir val="col"/>
        <c:grouping val="clustered"/>
        <c:varyColors val="0"/>
        <c:ser>
          <c:idx val="0"/>
          <c:order val="0"/>
          <c:tx>
            <c:strRef>
              <c:f>Sheet1!$B$1</c:f>
              <c:strCache>
                <c:ptCount val="1"/>
              </c:strCache>
            </c:strRef>
          </c:tx>
          <c:spPr>
            <a:solidFill>
              <a:schemeClr val="dk1">
                <a:tint val="88500"/>
              </a:schemeClr>
            </a:solidFill>
            <a:ln>
              <a:noFill/>
            </a:ln>
            <a:effectLst/>
          </c:spPr>
          <c:invertIfNegative val="0"/>
          <c:cat>
            <c:strRef>
              <c:f>Sheet1!$A$2:$A$9</c:f>
              <c:strCache>
                <c:ptCount val="8"/>
                <c:pt idx="0">
                  <c:v>Chickpea</c:v>
                </c:pt>
                <c:pt idx="1">
                  <c:v>Groundnut</c:v>
                </c:pt>
                <c:pt idx="2">
                  <c:v>Sorghum</c:v>
                </c:pt>
                <c:pt idx="3">
                  <c:v>Pigeonpea</c:v>
                </c:pt>
                <c:pt idx="4">
                  <c:v>Pearl Millet</c:v>
                </c:pt>
                <c:pt idx="5">
                  <c:v>Soybean</c:v>
                </c:pt>
                <c:pt idx="6">
                  <c:v>Finger Millet</c:v>
                </c:pt>
                <c:pt idx="7">
                  <c:v>Cowpea</c:v>
                </c:pt>
              </c:strCache>
            </c:strRef>
          </c:cat>
          <c:val>
            <c:numRef>
              <c:f>Sheet1!$B$2:$B$9</c:f>
              <c:numCache>
                <c:formatCode>General</c:formatCode>
                <c:ptCount val="8"/>
                <c:pt idx="0">
                  <c:v>5</c:v>
                </c:pt>
                <c:pt idx="1">
                  <c:v>4</c:v>
                </c:pt>
                <c:pt idx="2">
                  <c:v>4</c:v>
                </c:pt>
                <c:pt idx="3">
                  <c:v>2</c:v>
                </c:pt>
                <c:pt idx="4">
                  <c:v>2</c:v>
                </c:pt>
                <c:pt idx="5">
                  <c:v>2</c:v>
                </c:pt>
                <c:pt idx="6">
                  <c:v>1</c:v>
                </c:pt>
                <c:pt idx="7">
                  <c:v>1</c:v>
                </c:pt>
              </c:numCache>
            </c:numRef>
          </c:val>
          <c:extLst>
            <c:ext xmlns:c16="http://schemas.microsoft.com/office/drawing/2014/chart" uri="{C3380CC4-5D6E-409C-BE32-E72D297353CC}">
              <c16:uniqueId val="{00000000-CDEF-4633-A415-95C5A9F75A8C}"/>
            </c:ext>
          </c:extLst>
        </c:ser>
        <c:dLbls>
          <c:showLegendKey val="0"/>
          <c:showVal val="0"/>
          <c:showCatName val="0"/>
          <c:showSerName val="0"/>
          <c:showPercent val="0"/>
          <c:showBubbleSize val="0"/>
        </c:dLbls>
        <c:gapWidth val="219"/>
        <c:overlap val="-27"/>
        <c:axId val="587995728"/>
        <c:axId val="587993104"/>
      </c:barChart>
      <c:catAx>
        <c:axId val="587995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7993104"/>
        <c:crosses val="autoZero"/>
        <c:auto val="1"/>
        <c:lblAlgn val="ctr"/>
        <c:lblOffset val="100"/>
        <c:noMultiLvlLbl val="0"/>
      </c:catAx>
      <c:valAx>
        <c:axId val="58799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79957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77097131811592"/>
          <c:y val="2.3530199220965147E-2"/>
          <c:w val="0.82428077356756402"/>
          <c:h val="0.55778932592103669"/>
        </c:manualLayout>
      </c:layout>
      <c:barChart>
        <c:barDir val="col"/>
        <c:grouping val="clustered"/>
        <c:varyColors val="0"/>
        <c:ser>
          <c:idx val="0"/>
          <c:order val="0"/>
          <c:tx>
            <c:strRef>
              <c:f>Sheet1!$H$1</c:f>
              <c:strCache>
                <c:ptCount val="1"/>
              </c:strCache>
            </c:strRef>
          </c:tx>
          <c:spPr>
            <a:solidFill>
              <a:schemeClr val="dk1">
                <a:tint val="88500"/>
              </a:schemeClr>
            </a:solidFill>
            <a:ln>
              <a:noFill/>
            </a:ln>
            <a:effectLst/>
          </c:spPr>
          <c:invertIfNegative val="0"/>
          <c:cat>
            <c:strRef>
              <c:f>Sheet1!$G$2:$G$6</c:f>
              <c:strCache>
                <c:ptCount val="5"/>
                <c:pt idx="0">
                  <c:v>Experimental</c:v>
                </c:pt>
                <c:pt idx="1">
                  <c:v>Observational (IV, PSM, FE)</c:v>
                </c:pt>
                <c:pt idx="2">
                  <c:v>Welfare &amp; ROI</c:v>
                </c:pt>
                <c:pt idx="3">
                  <c:v>Descriptive Statistics</c:v>
                </c:pt>
                <c:pt idx="4">
                  <c:v>Other</c:v>
                </c:pt>
              </c:strCache>
            </c:strRef>
          </c:cat>
          <c:val>
            <c:numRef>
              <c:f>Sheet1!$H$2:$H$6</c:f>
              <c:numCache>
                <c:formatCode>General</c:formatCode>
                <c:ptCount val="5"/>
                <c:pt idx="0">
                  <c:v>2</c:v>
                </c:pt>
                <c:pt idx="1">
                  <c:v>7</c:v>
                </c:pt>
                <c:pt idx="2">
                  <c:v>8</c:v>
                </c:pt>
                <c:pt idx="3">
                  <c:v>3</c:v>
                </c:pt>
                <c:pt idx="4">
                  <c:v>1</c:v>
                </c:pt>
              </c:numCache>
            </c:numRef>
          </c:val>
          <c:extLst>
            <c:ext xmlns:c16="http://schemas.microsoft.com/office/drawing/2014/chart" uri="{C3380CC4-5D6E-409C-BE32-E72D297353CC}">
              <c16:uniqueId val="{00000000-6793-48DC-A2E3-7204F54586F4}"/>
            </c:ext>
          </c:extLst>
        </c:ser>
        <c:dLbls>
          <c:showLegendKey val="0"/>
          <c:showVal val="0"/>
          <c:showCatName val="0"/>
          <c:showSerName val="0"/>
          <c:showPercent val="0"/>
          <c:showBubbleSize val="0"/>
        </c:dLbls>
        <c:gapWidth val="219"/>
        <c:overlap val="-27"/>
        <c:axId val="587822776"/>
        <c:axId val="587823104"/>
      </c:barChart>
      <c:catAx>
        <c:axId val="587822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7823104"/>
        <c:crosses val="autoZero"/>
        <c:auto val="1"/>
        <c:lblAlgn val="ctr"/>
        <c:lblOffset val="100"/>
        <c:noMultiLvlLbl val="0"/>
      </c:catAx>
      <c:valAx>
        <c:axId val="58782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78227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61997513468711"/>
          <c:y val="3.8773343116252378E-2"/>
          <c:w val="0.8039180365612193"/>
          <c:h val="0.55680078353103912"/>
        </c:manualLayout>
      </c:layout>
      <c:barChart>
        <c:barDir val="col"/>
        <c:grouping val="clustered"/>
        <c:varyColors val="0"/>
        <c:ser>
          <c:idx val="1"/>
          <c:order val="1"/>
          <c:tx>
            <c:strRef>
              <c:f>Sheet1!$L$1</c:f>
              <c:strCache>
                <c:ptCount val="1"/>
              </c:strCache>
            </c:strRef>
          </c:tx>
          <c:spPr>
            <a:solidFill>
              <a:schemeClr val="tx1">
                <a:lumMod val="65000"/>
                <a:lumOff val="35000"/>
              </a:schemeClr>
            </a:solidFill>
            <a:ln>
              <a:noFill/>
            </a:ln>
            <a:effectLst/>
          </c:spPr>
          <c:invertIfNegative val="0"/>
          <c:cat>
            <c:strRef>
              <c:f>Sheet1!$J$2:$J$6</c:f>
              <c:strCache>
                <c:ptCount val="5"/>
                <c:pt idx="0">
                  <c:v>Microeconomic</c:v>
                </c:pt>
                <c:pt idx="1">
                  <c:v>Macroeconomic</c:v>
                </c:pt>
                <c:pt idx="2">
                  <c:v>Environmental </c:v>
                </c:pt>
                <c:pt idx="3">
                  <c:v>Nutrition/Food Security</c:v>
                </c:pt>
                <c:pt idx="4">
                  <c:v>Social</c:v>
                </c:pt>
              </c:strCache>
            </c:strRef>
          </c:cat>
          <c:val>
            <c:numRef>
              <c:f>Sheet1!$L$2:$L$6</c:f>
              <c:numCache>
                <c:formatCode>General</c:formatCode>
                <c:ptCount val="5"/>
                <c:pt idx="0">
                  <c:v>10</c:v>
                </c:pt>
                <c:pt idx="1">
                  <c:v>9</c:v>
                </c:pt>
                <c:pt idx="2">
                  <c:v>1</c:v>
                </c:pt>
                <c:pt idx="3">
                  <c:v>1</c:v>
                </c:pt>
                <c:pt idx="4">
                  <c:v>0</c:v>
                </c:pt>
              </c:numCache>
            </c:numRef>
          </c:val>
          <c:extLst>
            <c:ext xmlns:c16="http://schemas.microsoft.com/office/drawing/2014/chart" uri="{C3380CC4-5D6E-409C-BE32-E72D297353CC}">
              <c16:uniqueId val="{00000000-9260-4C2E-992C-0B08D3FAC4D2}"/>
            </c:ext>
          </c:extLst>
        </c:ser>
        <c:dLbls>
          <c:showLegendKey val="0"/>
          <c:showVal val="0"/>
          <c:showCatName val="0"/>
          <c:showSerName val="0"/>
          <c:showPercent val="0"/>
          <c:showBubbleSize val="0"/>
        </c:dLbls>
        <c:gapWidth val="219"/>
        <c:overlap val="-27"/>
        <c:axId val="585501424"/>
        <c:axId val="585501752"/>
        <c:extLst>
          <c:ext xmlns:c15="http://schemas.microsoft.com/office/drawing/2012/chart" uri="{02D57815-91ED-43cb-92C2-25804820EDAC}">
            <c15:filteredBarSeries>
              <c15:ser>
                <c:idx val="0"/>
                <c:order val="0"/>
                <c:tx>
                  <c:strRef>
                    <c:extLst>
                      <c:ext uri="{02D57815-91ED-43cb-92C2-25804820EDAC}">
                        <c15:formulaRef>
                          <c15:sqref>Sheet1!$K$1</c15:sqref>
                        </c15:formulaRef>
                      </c:ext>
                    </c:extLst>
                    <c:strCache>
                      <c:ptCount val="1"/>
                    </c:strCache>
                  </c:strRef>
                </c:tx>
                <c:spPr>
                  <a:solidFill>
                    <a:schemeClr val="dk1">
                      <a:tint val="88500"/>
                    </a:schemeClr>
                  </a:solidFill>
                  <a:ln>
                    <a:noFill/>
                  </a:ln>
                  <a:effectLst/>
                </c:spPr>
                <c:invertIfNegative val="0"/>
                <c:cat>
                  <c:strRef>
                    <c:extLst>
                      <c:ext uri="{02D57815-91ED-43cb-92C2-25804820EDAC}">
                        <c15:formulaRef>
                          <c15:sqref>Sheet1!$J$2:$J$6</c15:sqref>
                        </c15:formulaRef>
                      </c:ext>
                    </c:extLst>
                    <c:strCache>
                      <c:ptCount val="5"/>
                      <c:pt idx="0">
                        <c:v>Microeconomic</c:v>
                      </c:pt>
                      <c:pt idx="1">
                        <c:v>Macroeconomic</c:v>
                      </c:pt>
                      <c:pt idx="2">
                        <c:v>Environmental </c:v>
                      </c:pt>
                      <c:pt idx="3">
                        <c:v>Nutrition/Food Security</c:v>
                      </c:pt>
                      <c:pt idx="4">
                        <c:v>Social</c:v>
                      </c:pt>
                    </c:strCache>
                  </c:strRef>
                </c:cat>
                <c:val>
                  <c:numRef>
                    <c:extLst>
                      <c:ext uri="{02D57815-91ED-43cb-92C2-25804820EDAC}">
                        <c15:formulaRef>
                          <c15:sqref>Sheet1!$K$2:$K$6</c15:sqref>
                        </c15:formulaRef>
                      </c:ext>
                    </c:extLst>
                    <c:numCache>
                      <c:formatCode>General</c:formatCode>
                      <c:ptCount val="5"/>
                    </c:numCache>
                  </c:numRef>
                </c:val>
                <c:extLst>
                  <c:ext xmlns:c16="http://schemas.microsoft.com/office/drawing/2014/chart" uri="{C3380CC4-5D6E-409C-BE32-E72D297353CC}">
                    <c16:uniqueId val="{00000001-9260-4C2E-992C-0B08D3FAC4D2}"/>
                  </c:ext>
                </c:extLst>
              </c15:ser>
            </c15:filteredBarSeries>
          </c:ext>
        </c:extLst>
      </c:barChart>
      <c:catAx>
        <c:axId val="585501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5501752"/>
        <c:crosses val="autoZero"/>
        <c:auto val="1"/>
        <c:lblAlgn val="ctr"/>
        <c:lblOffset val="100"/>
        <c:noMultiLvlLbl val="0"/>
      </c:catAx>
      <c:valAx>
        <c:axId val="585501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55014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0AB9E2D8D5894898F96C1E3D31D56C" ma:contentTypeVersion="8" ma:contentTypeDescription="Create a new document." ma:contentTypeScope="" ma:versionID="74cf8904923d3827fdcaea2375ef05da">
  <xsd:schema xmlns:xsd="http://www.w3.org/2001/XMLSchema" xmlns:xs="http://www.w3.org/2001/XMLSchema" xmlns:p="http://schemas.microsoft.com/office/2006/metadata/properties" xmlns:ns3="9c5b454a-81d6-46c5-be72-8d9b04583a2d" targetNamespace="http://schemas.microsoft.com/office/2006/metadata/properties" ma:root="true" ma:fieldsID="a520696f29b458c7537854c3fc2cd53a" ns3:_="">
    <xsd:import namespace="9c5b454a-81d6-46c5-be72-8d9b04583a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5b454a-81d6-46c5-be72-8d9b04583a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D21BF-BBB6-4C6D-B386-2B5071502D79}">
  <ds:schemaRefs>
    <ds:schemaRef ds:uri="9c5b454a-81d6-46c5-be72-8d9b04583a2d"/>
    <ds:schemaRef ds:uri="http://purl.org/dc/term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BCAC7142-9650-4768-8331-2FAEB5AF756F}">
  <ds:schemaRefs>
    <ds:schemaRef ds:uri="http://schemas.microsoft.com/sharepoint/v3/contenttype/forms"/>
  </ds:schemaRefs>
</ds:datastoreItem>
</file>

<file path=customXml/itemProps3.xml><?xml version="1.0" encoding="utf-8"?>
<ds:datastoreItem xmlns:ds="http://schemas.openxmlformats.org/officeDocument/2006/customXml" ds:itemID="{4B4A9643-A866-49B9-9163-BCF016213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5b454a-81d6-46c5-be72-8d9b04583a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D8D22C-B8D2-4EB7-B7D6-701F97E6E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3379</Words>
  <Characters>19262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Karl (ICRAF)</dc:creator>
  <cp:keywords/>
  <dc:description/>
  <cp:lastModifiedBy>Hughes, Karl (ICRAF)</cp:lastModifiedBy>
  <cp:revision>4</cp:revision>
  <dcterms:created xsi:type="dcterms:W3CDTF">2019-11-18T05:04:00Z</dcterms:created>
  <dcterms:modified xsi:type="dcterms:W3CDTF">2019-11-18T05:09:00Z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0x0101008E0AB9E2D8D5894898F96C1E3D31D56C</vt:lpwstr>
  </property>
</Properties>
</file>