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F35" w:rsidRPr="00496E98" w:rsidRDefault="00A37F35" w:rsidP="00A37F35">
      <w:pPr>
        <w:rPr>
          <w:rFonts w:asciiTheme="minorHAnsi" w:hAnsiTheme="minorHAnsi"/>
          <w:sz w:val="22"/>
          <w:szCs w:val="22"/>
        </w:rPr>
      </w:pPr>
      <w:r w:rsidRPr="00496E98">
        <w:rPr>
          <w:rStyle w:val="size"/>
          <w:rFonts w:asciiTheme="minorHAnsi" w:eastAsia="Times New Roman" w:hAnsiTheme="minorHAnsi"/>
          <w:b/>
          <w:sz w:val="22"/>
          <w:szCs w:val="22"/>
        </w:rPr>
        <w:t xml:space="preserve">Activity: </w:t>
      </w:r>
      <w:r w:rsidRPr="00A37F35">
        <w:rPr>
          <w:rFonts w:asciiTheme="minorHAnsi" w:eastAsia="Times New Roman" w:hAnsiTheme="minorHAnsi"/>
          <w:b/>
          <w:bCs/>
          <w:sz w:val="22"/>
          <w:szCs w:val="22"/>
        </w:rPr>
        <w:t>Varietal improvement for seed and maturity traits by broadening the genetic base</w:t>
      </w:r>
    </w:p>
    <w:p w:rsidR="00A37F35" w:rsidRPr="00496E98" w:rsidRDefault="00A37F35" w:rsidP="00A37F35">
      <w:pPr>
        <w:numPr>
          <w:ilvl w:val="0"/>
          <w:numId w:val="1"/>
        </w:numPr>
        <w:shd w:val="clear" w:color="auto" w:fill="FFFFFF"/>
        <w:spacing w:before="100" w:beforeAutospacing="1"/>
        <w:rPr>
          <w:rStyle w:val="size"/>
          <w:rFonts w:asciiTheme="minorHAnsi" w:eastAsia="Times New Roman" w:hAnsiTheme="minorHAnsi"/>
          <w:b/>
          <w:color w:val="000000"/>
          <w:sz w:val="22"/>
          <w:szCs w:val="22"/>
        </w:rPr>
      </w:pPr>
      <w:r w:rsidRPr="00496E98">
        <w:rPr>
          <w:rStyle w:val="size"/>
          <w:rFonts w:asciiTheme="minorHAnsi" w:eastAsia="Times New Roman" w:hAnsiTheme="minorHAnsi"/>
          <w:b/>
          <w:color w:val="000000"/>
          <w:sz w:val="22"/>
          <w:szCs w:val="22"/>
        </w:rPr>
        <w:t>Objective of activity and intended output:</w:t>
      </w:r>
    </w:p>
    <w:p w:rsidR="00A37F35" w:rsidRPr="00496E98" w:rsidRDefault="00A37F35" w:rsidP="00A37F35">
      <w:pPr>
        <w:shd w:val="clear" w:color="auto" w:fill="FFFFFF"/>
        <w:spacing w:before="100" w:beforeAutospacing="1"/>
        <w:ind w:left="720"/>
        <w:rPr>
          <w:rFonts w:asciiTheme="minorHAnsi" w:eastAsia="Times New Roman" w:hAnsiTheme="minorHAnsi"/>
          <w:color w:val="000000"/>
          <w:sz w:val="22"/>
          <w:szCs w:val="22"/>
        </w:rPr>
      </w:pPr>
      <w:r>
        <w:rPr>
          <w:rFonts w:asciiTheme="minorHAnsi" w:eastAsia="Times New Roman" w:hAnsiTheme="minorHAnsi"/>
          <w:color w:val="000000"/>
          <w:sz w:val="22"/>
          <w:szCs w:val="22"/>
        </w:rPr>
        <w:t xml:space="preserve">To identify superior plant types with good seed traits and high yield in different maturity duration. </w:t>
      </w:r>
    </w:p>
    <w:p w:rsidR="00A37F35" w:rsidRPr="00496E98" w:rsidRDefault="00A37F35" w:rsidP="00A37F35">
      <w:pPr>
        <w:numPr>
          <w:ilvl w:val="0"/>
          <w:numId w:val="1"/>
        </w:numPr>
        <w:shd w:val="clear" w:color="auto" w:fill="FFFFFF"/>
        <w:spacing w:before="100" w:beforeAutospacing="1"/>
        <w:rPr>
          <w:rStyle w:val="size"/>
          <w:rFonts w:asciiTheme="minorHAnsi" w:eastAsia="Times New Roman" w:hAnsiTheme="minorHAnsi"/>
          <w:b/>
          <w:color w:val="000000"/>
          <w:sz w:val="22"/>
          <w:szCs w:val="22"/>
        </w:rPr>
      </w:pPr>
      <w:r w:rsidRPr="00496E98">
        <w:rPr>
          <w:rStyle w:val="size"/>
          <w:rFonts w:asciiTheme="minorHAnsi" w:eastAsia="Times New Roman" w:hAnsiTheme="minorHAnsi"/>
          <w:b/>
          <w:color w:val="000000"/>
          <w:sz w:val="22"/>
          <w:szCs w:val="22"/>
        </w:rPr>
        <w:t>Materials and methods:</w:t>
      </w:r>
    </w:p>
    <w:p w:rsidR="00AE6845" w:rsidRDefault="00AE6845" w:rsidP="00A37F35">
      <w:pPr>
        <w:shd w:val="clear" w:color="auto" w:fill="FFFFFF"/>
        <w:spacing w:before="100" w:beforeAutospacing="1"/>
        <w:ind w:left="720"/>
        <w:jc w:val="both"/>
        <w:rPr>
          <w:rStyle w:val="size"/>
          <w:rFonts w:asciiTheme="minorHAnsi" w:eastAsia="Times New Roman" w:hAnsiTheme="minorHAnsi"/>
          <w:color w:val="000000"/>
          <w:sz w:val="22"/>
          <w:szCs w:val="22"/>
        </w:rPr>
      </w:pPr>
      <w:r>
        <w:rPr>
          <w:rStyle w:val="size"/>
          <w:rFonts w:asciiTheme="minorHAnsi" w:eastAsia="Times New Roman" w:hAnsiTheme="minorHAnsi"/>
          <w:color w:val="000000"/>
          <w:sz w:val="22"/>
          <w:szCs w:val="22"/>
        </w:rPr>
        <w:t xml:space="preserve">Pedigree method of breeding involving diverse parents having disease resistance, high yield and seed traits. </w:t>
      </w:r>
    </w:p>
    <w:p w:rsidR="00A37F35" w:rsidRPr="00496E98" w:rsidRDefault="00A37F35" w:rsidP="00A37F35">
      <w:pPr>
        <w:numPr>
          <w:ilvl w:val="0"/>
          <w:numId w:val="1"/>
        </w:numPr>
        <w:shd w:val="clear" w:color="auto" w:fill="FFFFFF"/>
        <w:spacing w:before="100" w:beforeAutospacing="1"/>
        <w:rPr>
          <w:rStyle w:val="size"/>
          <w:rFonts w:asciiTheme="minorHAnsi" w:eastAsia="Times New Roman" w:hAnsiTheme="minorHAnsi"/>
          <w:b/>
          <w:color w:val="000000"/>
          <w:sz w:val="22"/>
          <w:szCs w:val="22"/>
        </w:rPr>
      </w:pPr>
      <w:r w:rsidRPr="00496E98">
        <w:rPr>
          <w:rStyle w:val="size"/>
          <w:rFonts w:asciiTheme="minorHAnsi" w:eastAsia="Times New Roman" w:hAnsiTheme="minorHAnsi"/>
          <w:b/>
          <w:color w:val="000000"/>
          <w:sz w:val="22"/>
          <w:szCs w:val="22"/>
        </w:rPr>
        <w:t>Results and interpretation:</w:t>
      </w:r>
    </w:p>
    <w:p w:rsidR="00AE6845" w:rsidRDefault="00AE6845" w:rsidP="00A37F35">
      <w:pPr>
        <w:shd w:val="clear" w:color="auto" w:fill="FFFFFF"/>
        <w:spacing w:before="100" w:beforeAutospacing="1"/>
        <w:ind w:left="720"/>
        <w:jc w:val="both"/>
        <w:rPr>
          <w:rFonts w:asciiTheme="minorHAnsi" w:eastAsia="Times New Roman" w:hAnsiTheme="minorHAnsi"/>
          <w:color w:val="000000"/>
          <w:sz w:val="22"/>
          <w:szCs w:val="22"/>
          <w:lang w:val="en-GB"/>
        </w:rPr>
      </w:pPr>
      <w:r>
        <w:rPr>
          <w:rFonts w:asciiTheme="minorHAnsi" w:eastAsia="Times New Roman" w:hAnsiTheme="minorHAnsi"/>
          <w:color w:val="000000"/>
          <w:sz w:val="22"/>
          <w:szCs w:val="22"/>
          <w:lang w:val="en-GB"/>
        </w:rPr>
        <w:t>77 F3 progenies were studied in 2016 season and superior single plant selections with good seed traits were selected for further study in 2017 season.</w:t>
      </w:r>
      <w:r w:rsidR="00E44895">
        <w:rPr>
          <w:rFonts w:asciiTheme="minorHAnsi" w:eastAsia="Times New Roman" w:hAnsiTheme="minorHAnsi"/>
          <w:color w:val="000000"/>
          <w:sz w:val="22"/>
          <w:szCs w:val="22"/>
          <w:lang w:val="en-GB"/>
        </w:rPr>
        <w:t xml:space="preserve"> </w:t>
      </w:r>
      <w:r>
        <w:rPr>
          <w:rFonts w:asciiTheme="minorHAnsi" w:eastAsia="Times New Roman" w:hAnsiTheme="minorHAnsi"/>
          <w:color w:val="000000"/>
          <w:sz w:val="22"/>
          <w:szCs w:val="22"/>
          <w:lang w:val="en-GB"/>
        </w:rPr>
        <w:t xml:space="preserve">In super early group (which mature in less than 100 days) stabilized Ines ICPL 20338, 20325, 11255, were identified as high yielding types with good seed size. Multilocation evaluation and on farm demonstrations with </w:t>
      </w:r>
      <w:r w:rsidR="00E44895">
        <w:rPr>
          <w:rFonts w:asciiTheme="minorHAnsi" w:eastAsia="Times New Roman" w:hAnsiTheme="minorHAnsi"/>
          <w:color w:val="000000"/>
          <w:sz w:val="22"/>
          <w:szCs w:val="22"/>
          <w:lang w:val="en-GB"/>
        </w:rPr>
        <w:t>13 elite super early lines</w:t>
      </w:r>
      <w:r>
        <w:rPr>
          <w:rFonts w:asciiTheme="minorHAnsi" w:eastAsia="Times New Roman" w:hAnsiTheme="minorHAnsi"/>
          <w:color w:val="000000"/>
          <w:sz w:val="22"/>
          <w:szCs w:val="22"/>
          <w:lang w:val="en-GB"/>
        </w:rPr>
        <w:t xml:space="preserve"> were conducted in 13 locations in </w:t>
      </w:r>
      <w:r w:rsidR="00E44895">
        <w:rPr>
          <w:rFonts w:asciiTheme="minorHAnsi" w:eastAsia="Times New Roman" w:hAnsiTheme="minorHAnsi"/>
          <w:color w:val="000000"/>
          <w:sz w:val="22"/>
          <w:szCs w:val="22"/>
          <w:lang w:val="en-GB"/>
        </w:rPr>
        <w:t>different parts</w:t>
      </w:r>
      <w:r>
        <w:rPr>
          <w:rFonts w:asciiTheme="minorHAnsi" w:eastAsia="Times New Roman" w:hAnsiTheme="minorHAnsi"/>
          <w:color w:val="000000"/>
          <w:sz w:val="22"/>
          <w:szCs w:val="22"/>
          <w:lang w:val="en-GB"/>
        </w:rPr>
        <w:t xml:space="preserve"> of India and Myanmar. </w:t>
      </w:r>
      <w:r w:rsidR="00E44895">
        <w:rPr>
          <w:rFonts w:asciiTheme="minorHAnsi" w:eastAsia="Times New Roman" w:hAnsiTheme="minorHAnsi"/>
          <w:color w:val="000000"/>
          <w:sz w:val="22"/>
          <w:szCs w:val="22"/>
          <w:lang w:val="en-GB"/>
        </w:rPr>
        <w:t xml:space="preserve">To enhance further the seed size of super early lines for more than 10 Gms per 100 seeds, fresh crossing programme was initiated with bold seeded types and F1s were generated during 2016. </w:t>
      </w:r>
    </w:p>
    <w:p w:rsidR="00E44895" w:rsidRDefault="00E44895" w:rsidP="00A37F35">
      <w:pPr>
        <w:shd w:val="clear" w:color="auto" w:fill="FFFFFF"/>
        <w:spacing w:before="100" w:beforeAutospacing="1"/>
        <w:ind w:left="720"/>
        <w:jc w:val="both"/>
        <w:rPr>
          <w:rFonts w:asciiTheme="minorHAnsi" w:eastAsia="Times New Roman" w:hAnsiTheme="minorHAnsi"/>
          <w:color w:val="000000"/>
          <w:sz w:val="22"/>
          <w:szCs w:val="22"/>
          <w:lang w:val="en-GB"/>
        </w:rPr>
      </w:pPr>
      <w:r>
        <w:rPr>
          <w:rFonts w:asciiTheme="minorHAnsi" w:eastAsia="Times New Roman" w:hAnsiTheme="minorHAnsi"/>
          <w:color w:val="000000"/>
          <w:sz w:val="22"/>
          <w:szCs w:val="22"/>
          <w:lang w:val="en-GB"/>
        </w:rPr>
        <w:t xml:space="preserve">                           </w:t>
      </w:r>
      <w:r w:rsidRPr="00E44895">
        <w:rPr>
          <w:rFonts w:asciiTheme="minorHAnsi" w:eastAsia="Times New Roman" w:hAnsiTheme="minorHAnsi"/>
          <w:noProof/>
          <w:color w:val="000000"/>
          <w:sz w:val="22"/>
          <w:szCs w:val="22"/>
        </w:rPr>
        <w:drawing>
          <wp:inline distT="0" distB="0" distL="0" distR="0">
            <wp:extent cx="3619180" cy="2407187"/>
            <wp:effectExtent l="0" t="0" r="635" b="0"/>
            <wp:docPr id="2" name="Picture 2" descr="G:\Photos 2016\ICPL 20338-BIL 6\DSC_0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hotos 2016\ICPL 20338-BIL 6\DSC_030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23137" cy="2409819"/>
                    </a:xfrm>
                    <a:prstGeom prst="rect">
                      <a:avLst/>
                    </a:prstGeom>
                    <a:noFill/>
                    <a:ln>
                      <a:noFill/>
                    </a:ln>
                  </pic:spPr>
                </pic:pic>
              </a:graphicData>
            </a:graphic>
          </wp:inline>
        </w:drawing>
      </w:r>
    </w:p>
    <w:p w:rsidR="00E44895" w:rsidRDefault="00E44895" w:rsidP="00A37F35">
      <w:pPr>
        <w:shd w:val="clear" w:color="auto" w:fill="FFFFFF"/>
        <w:spacing w:before="100" w:beforeAutospacing="1"/>
        <w:ind w:left="720"/>
        <w:jc w:val="both"/>
        <w:rPr>
          <w:rFonts w:asciiTheme="minorHAnsi" w:eastAsia="Times New Roman" w:hAnsiTheme="minorHAnsi"/>
          <w:color w:val="000000"/>
          <w:sz w:val="22"/>
          <w:szCs w:val="22"/>
          <w:lang w:val="en-GB"/>
        </w:rPr>
      </w:pPr>
      <w:r>
        <w:rPr>
          <w:rFonts w:asciiTheme="minorHAnsi" w:eastAsia="Times New Roman" w:hAnsiTheme="minorHAnsi"/>
          <w:color w:val="000000"/>
          <w:sz w:val="22"/>
          <w:szCs w:val="22"/>
          <w:lang w:val="en-GB"/>
        </w:rPr>
        <w:t xml:space="preserve">                                    Super early pigeonpea (ICPL 20338) in </w:t>
      </w:r>
      <w:bookmarkStart w:id="0" w:name="_GoBack"/>
      <w:bookmarkEnd w:id="0"/>
      <w:r>
        <w:rPr>
          <w:rFonts w:asciiTheme="minorHAnsi" w:eastAsia="Times New Roman" w:hAnsiTheme="minorHAnsi"/>
          <w:color w:val="000000"/>
          <w:sz w:val="22"/>
          <w:szCs w:val="22"/>
          <w:lang w:val="en-GB"/>
        </w:rPr>
        <w:t xml:space="preserve">farmer’s field of India. </w:t>
      </w:r>
    </w:p>
    <w:p w:rsidR="00A37F35" w:rsidRPr="00496E98" w:rsidRDefault="00A37F35" w:rsidP="00A37F35">
      <w:pPr>
        <w:shd w:val="clear" w:color="auto" w:fill="FFFFFF"/>
        <w:spacing w:before="100" w:beforeAutospacing="1"/>
        <w:ind w:left="720"/>
        <w:jc w:val="both"/>
        <w:rPr>
          <w:rFonts w:asciiTheme="minorHAnsi" w:eastAsia="Times New Roman" w:hAnsiTheme="minorHAnsi"/>
          <w:color w:val="000000"/>
          <w:sz w:val="22"/>
          <w:szCs w:val="22"/>
          <w:lang w:val="en-GB"/>
        </w:rPr>
      </w:pPr>
      <w:r w:rsidRPr="00496E98">
        <w:rPr>
          <w:rFonts w:asciiTheme="minorHAnsi" w:eastAsia="Times New Roman" w:hAnsiTheme="minorHAnsi"/>
          <w:color w:val="000000"/>
          <w:sz w:val="22"/>
          <w:szCs w:val="22"/>
          <w:lang w:val="en-GB"/>
        </w:rPr>
        <w:t xml:space="preserve">                             </w:t>
      </w:r>
    </w:p>
    <w:p w:rsidR="00A37F35" w:rsidRPr="00496E98" w:rsidRDefault="00A37F35" w:rsidP="00A37F35">
      <w:pPr>
        <w:numPr>
          <w:ilvl w:val="0"/>
          <w:numId w:val="1"/>
        </w:numPr>
        <w:shd w:val="clear" w:color="auto" w:fill="FFFFFF"/>
        <w:spacing w:before="100" w:beforeAutospacing="1"/>
        <w:rPr>
          <w:rStyle w:val="size"/>
          <w:rFonts w:asciiTheme="minorHAnsi" w:eastAsia="Times New Roman" w:hAnsiTheme="minorHAnsi"/>
          <w:b/>
          <w:color w:val="000000"/>
          <w:sz w:val="22"/>
          <w:szCs w:val="22"/>
        </w:rPr>
      </w:pPr>
      <w:r w:rsidRPr="00496E98">
        <w:rPr>
          <w:rStyle w:val="size"/>
          <w:rFonts w:asciiTheme="minorHAnsi" w:eastAsia="Times New Roman" w:hAnsiTheme="minorHAnsi"/>
          <w:b/>
          <w:color w:val="000000"/>
          <w:sz w:val="22"/>
          <w:szCs w:val="22"/>
        </w:rPr>
        <w:t>N</w:t>
      </w:r>
      <w:r w:rsidR="00E44895">
        <w:rPr>
          <w:rStyle w:val="size"/>
          <w:rFonts w:asciiTheme="minorHAnsi" w:eastAsia="Times New Roman" w:hAnsiTheme="minorHAnsi"/>
          <w:b/>
          <w:color w:val="000000"/>
          <w:sz w:val="22"/>
          <w:szCs w:val="22"/>
        </w:rPr>
        <w:t>ext steps:</w:t>
      </w:r>
    </w:p>
    <w:p w:rsidR="00A37F35" w:rsidRPr="00496E98" w:rsidRDefault="00E44895" w:rsidP="00A37F35">
      <w:pPr>
        <w:shd w:val="clear" w:color="auto" w:fill="FFFFFF"/>
        <w:spacing w:before="100" w:beforeAutospacing="1"/>
        <w:ind w:left="720"/>
        <w:rPr>
          <w:rStyle w:val="size"/>
          <w:rFonts w:asciiTheme="minorHAnsi" w:eastAsia="Times New Roman" w:hAnsiTheme="minorHAnsi"/>
          <w:color w:val="000000"/>
          <w:sz w:val="22"/>
          <w:szCs w:val="22"/>
        </w:rPr>
      </w:pPr>
      <w:r>
        <w:rPr>
          <w:rFonts w:asciiTheme="minorHAnsi" w:eastAsia="Times New Roman" w:hAnsiTheme="minorHAnsi"/>
          <w:bCs/>
          <w:color w:val="000000"/>
          <w:sz w:val="22"/>
          <w:szCs w:val="22"/>
          <w:lang w:val="en-GB"/>
        </w:rPr>
        <w:t xml:space="preserve">Correlation between seed size and yield, GXE interaction of stabilized lines will be studied.  </w:t>
      </w:r>
    </w:p>
    <w:p w:rsidR="00A37F35" w:rsidRPr="00496E98" w:rsidRDefault="00A37F35" w:rsidP="00A37F35">
      <w:pPr>
        <w:shd w:val="clear" w:color="auto" w:fill="FFFFFF"/>
        <w:spacing w:before="100" w:beforeAutospacing="1"/>
        <w:ind w:left="720"/>
        <w:rPr>
          <w:rStyle w:val="size"/>
          <w:rFonts w:asciiTheme="minorHAnsi" w:eastAsia="Times New Roman" w:hAnsiTheme="minorHAnsi"/>
          <w:b/>
          <w:color w:val="000000"/>
          <w:sz w:val="22"/>
          <w:szCs w:val="22"/>
        </w:rPr>
      </w:pPr>
    </w:p>
    <w:p w:rsidR="000F7402" w:rsidRDefault="000F7402"/>
    <w:sectPr w:rsidR="000F74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4713C"/>
    <w:multiLevelType w:val="multilevel"/>
    <w:tmpl w:val="C4CA1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CCD"/>
    <w:rsid w:val="000F7402"/>
    <w:rsid w:val="00860CCD"/>
    <w:rsid w:val="00A37F35"/>
    <w:rsid w:val="00AE6845"/>
    <w:rsid w:val="00E4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86DC8D-888C-4BFE-9E61-5D5AD074B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F35"/>
    <w:pPr>
      <w:spacing w:after="0" w:line="240" w:lineRule="auto"/>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A37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Sameerkumar, CV (ICRISAT-IN)</dc:creator>
  <cp:keywords/>
  <dc:description/>
  <cp:lastModifiedBy>Sameerkumar, CV (ICRISAT-IN)</cp:lastModifiedBy>
  <cp:revision>2</cp:revision>
  <dcterms:created xsi:type="dcterms:W3CDTF">2017-02-06T04:25:00Z</dcterms:created>
  <dcterms:modified xsi:type="dcterms:W3CDTF">2017-02-06T04:55:00Z</dcterms:modified>
</cp:coreProperties>
</file>