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7905" w:rsidRPr="00DB16F0" w:rsidRDefault="00497905" w:rsidP="00497905">
      <w:pPr>
        <w:jc w:val="both"/>
        <w:rPr>
          <w:rFonts w:eastAsia="Times New Roman"/>
        </w:rPr>
      </w:pPr>
      <w:r w:rsidRPr="00DB16F0">
        <w:rPr>
          <w:rFonts w:eastAsia="Times New Roman"/>
          <w:b/>
          <w:bCs/>
          <w:highlight w:val="yellow"/>
        </w:rPr>
        <w:t>Activity:</w:t>
      </w:r>
      <w:r>
        <w:rPr>
          <w:rFonts w:eastAsia="Times New Roman"/>
          <w:highlight w:val="yellow"/>
        </w:rPr>
        <w:t xml:space="preserve"> </w:t>
      </w:r>
      <w:r w:rsidRPr="00DB16F0">
        <w:rPr>
          <w:rFonts w:eastAsia="Times New Roman"/>
          <w:highlight w:val="yellow"/>
        </w:rPr>
        <w:t xml:space="preserve">Multi-environment evaluation of chickpea disease nurseries (wilt, </w:t>
      </w:r>
      <w:proofErr w:type="spellStart"/>
      <w:r w:rsidRPr="00DB16F0">
        <w:rPr>
          <w:rFonts w:eastAsia="Times New Roman"/>
          <w:highlight w:val="yellow"/>
        </w:rPr>
        <w:t>Aschochyta</w:t>
      </w:r>
      <w:proofErr w:type="spellEnd"/>
      <w:r w:rsidRPr="00DB16F0">
        <w:rPr>
          <w:rFonts w:eastAsia="Times New Roman"/>
          <w:highlight w:val="yellow"/>
        </w:rPr>
        <w:t xml:space="preserve"> blight and Botrytis grey </w:t>
      </w:r>
      <w:proofErr w:type="spellStart"/>
      <w:r w:rsidRPr="00DB16F0">
        <w:rPr>
          <w:rFonts w:eastAsia="Times New Roman"/>
          <w:highlight w:val="yellow"/>
        </w:rPr>
        <w:t>mold</w:t>
      </w:r>
      <w:proofErr w:type="spellEnd"/>
      <w:r w:rsidRPr="00DB16F0">
        <w:rPr>
          <w:rFonts w:eastAsia="Times New Roman"/>
          <w:highlight w:val="yellow"/>
        </w:rPr>
        <w:t>) to identify stable and new sources of resistance</w:t>
      </w:r>
    </w:p>
    <w:p w:rsidR="00497905" w:rsidRPr="00DB16F0" w:rsidRDefault="00497905" w:rsidP="00497905">
      <w:pPr>
        <w:jc w:val="both"/>
        <w:rPr>
          <w:rFonts w:eastAsia="Times New Roman"/>
        </w:rPr>
      </w:pPr>
      <w:r w:rsidRPr="00DB16F0">
        <w:rPr>
          <w:rFonts w:eastAsia="Times New Roman"/>
          <w:b/>
        </w:rPr>
        <w:t>Objective</w:t>
      </w:r>
      <w:r w:rsidRPr="00DB16F0">
        <w:rPr>
          <w:rFonts w:eastAsia="Times New Roman"/>
        </w:rPr>
        <w:t xml:space="preserve">: </w:t>
      </w:r>
      <w:r>
        <w:rPr>
          <w:rFonts w:eastAsia="Times New Roman"/>
        </w:rPr>
        <w:t>(</w:t>
      </w:r>
      <w:proofErr w:type="spellStart"/>
      <w:r>
        <w:rPr>
          <w:rFonts w:eastAsia="Times New Roman"/>
        </w:rPr>
        <w:t>i</w:t>
      </w:r>
      <w:proofErr w:type="spellEnd"/>
      <w:r>
        <w:rPr>
          <w:rFonts w:eastAsia="Times New Roman"/>
        </w:rPr>
        <w:t xml:space="preserve">) </w:t>
      </w:r>
      <w:r w:rsidRPr="000C0541">
        <w:rPr>
          <w:bCs/>
          <w:lang w:val="en-US"/>
        </w:rPr>
        <w:t xml:space="preserve">To study the G x E interaction and identify stable and broad based sources of resistance to Fusarium wilt, </w:t>
      </w:r>
      <w:proofErr w:type="spellStart"/>
      <w:r w:rsidRPr="000C0541">
        <w:rPr>
          <w:rFonts w:eastAsia="Times New Roman"/>
        </w:rPr>
        <w:t>Aschochyta</w:t>
      </w:r>
      <w:proofErr w:type="spellEnd"/>
      <w:r w:rsidRPr="000C0541">
        <w:rPr>
          <w:rFonts w:eastAsia="Times New Roman"/>
        </w:rPr>
        <w:t xml:space="preserve"> blight (AB) and Botrytis grey </w:t>
      </w:r>
      <w:proofErr w:type="spellStart"/>
      <w:r w:rsidRPr="000C0541">
        <w:rPr>
          <w:rFonts w:eastAsia="Times New Roman"/>
        </w:rPr>
        <w:t>mold</w:t>
      </w:r>
      <w:proofErr w:type="spellEnd"/>
      <w:r w:rsidRPr="000C0541">
        <w:rPr>
          <w:rFonts w:eastAsia="Times New Roman"/>
        </w:rPr>
        <w:t xml:space="preserve"> (BGM)</w:t>
      </w:r>
      <w:r w:rsidRPr="000C0541">
        <w:rPr>
          <w:bCs/>
          <w:lang w:val="en-US"/>
        </w:rPr>
        <w:t xml:space="preserve"> (ii) Share resistant germplasm and breeding material with NARS</w:t>
      </w:r>
    </w:p>
    <w:p w:rsidR="00497905" w:rsidRPr="00DB16F0" w:rsidRDefault="00497905" w:rsidP="00497905">
      <w:pPr>
        <w:jc w:val="both"/>
        <w:rPr>
          <w:rStyle w:val="size"/>
          <w:rFonts w:eastAsia="Times New Roman"/>
          <w:color w:val="000000"/>
        </w:rPr>
      </w:pPr>
      <w:r w:rsidRPr="00DB16F0">
        <w:rPr>
          <w:rStyle w:val="size"/>
          <w:rFonts w:eastAsia="Times New Roman"/>
          <w:b/>
          <w:color w:val="000000"/>
        </w:rPr>
        <w:t>Materials and methods</w:t>
      </w:r>
      <w:r w:rsidRPr="00DB16F0">
        <w:rPr>
          <w:rStyle w:val="size"/>
          <w:rFonts w:eastAsia="Times New Roman"/>
          <w:color w:val="000000"/>
        </w:rPr>
        <w:t>:</w:t>
      </w:r>
      <w:r w:rsidRPr="00DB16F0">
        <w:t xml:space="preserve"> </w:t>
      </w:r>
      <w:r w:rsidRPr="00DB16F0">
        <w:rPr>
          <w:rStyle w:val="size"/>
          <w:rFonts w:eastAsia="Times New Roman"/>
          <w:color w:val="000000"/>
        </w:rPr>
        <w:t xml:space="preserve">Under the ICRISAT- ICAR collaboration, disease nurseries </w:t>
      </w:r>
      <w:r>
        <w:rPr>
          <w:rStyle w:val="size"/>
          <w:rFonts w:eastAsia="Times New Roman"/>
          <w:color w:val="000000"/>
        </w:rPr>
        <w:t xml:space="preserve">of wilt (ICWN), </w:t>
      </w:r>
      <w:r w:rsidRPr="00DB16F0">
        <w:rPr>
          <w:rStyle w:val="size"/>
          <w:rFonts w:eastAsia="Times New Roman"/>
          <w:color w:val="000000"/>
        </w:rPr>
        <w:t xml:space="preserve">AB (IABN) and BGM (IBGMN) consisting of 30 entries (28 resistant cultivars and 2 susceptible checks) were evaluated at different locations (hot spots) in India. </w:t>
      </w:r>
      <w:r>
        <w:rPr>
          <w:rStyle w:val="size"/>
          <w:rFonts w:eastAsia="Times New Roman"/>
          <w:color w:val="000000"/>
        </w:rPr>
        <w:t>I</w:t>
      </w:r>
      <w:r>
        <w:t>CWN was sent to 10 hot-spot locations, I</w:t>
      </w:r>
      <w:r w:rsidRPr="00DB16F0">
        <w:rPr>
          <w:rStyle w:val="size"/>
          <w:rFonts w:eastAsia="Times New Roman"/>
          <w:color w:val="000000"/>
        </w:rPr>
        <w:t>ABN to 4 locations (</w:t>
      </w:r>
      <w:proofErr w:type="spellStart"/>
      <w:r w:rsidRPr="00DB16F0">
        <w:rPr>
          <w:rStyle w:val="size"/>
          <w:rFonts w:eastAsia="Times New Roman"/>
          <w:color w:val="000000"/>
        </w:rPr>
        <w:t>Gurdaspur</w:t>
      </w:r>
      <w:proofErr w:type="spellEnd"/>
      <w:r w:rsidRPr="00DB16F0">
        <w:rPr>
          <w:rStyle w:val="size"/>
          <w:rFonts w:eastAsia="Times New Roman"/>
          <w:color w:val="000000"/>
        </w:rPr>
        <w:t xml:space="preserve">, </w:t>
      </w:r>
      <w:proofErr w:type="spellStart"/>
      <w:r w:rsidRPr="00DB16F0">
        <w:rPr>
          <w:rStyle w:val="size"/>
          <w:rFonts w:eastAsia="Times New Roman"/>
          <w:color w:val="000000"/>
        </w:rPr>
        <w:t>Dhaulakuan</w:t>
      </w:r>
      <w:proofErr w:type="spellEnd"/>
      <w:r w:rsidRPr="00DB16F0">
        <w:rPr>
          <w:rStyle w:val="size"/>
          <w:rFonts w:eastAsia="Times New Roman"/>
          <w:color w:val="000000"/>
        </w:rPr>
        <w:t xml:space="preserve"> ICRISAT and Ludhiana) and IBGMN to 4 locations (</w:t>
      </w:r>
      <w:proofErr w:type="spellStart"/>
      <w:r w:rsidRPr="00DB16F0">
        <w:rPr>
          <w:rStyle w:val="size"/>
          <w:rFonts w:eastAsia="Times New Roman"/>
          <w:color w:val="000000"/>
        </w:rPr>
        <w:t>Gurdaspur</w:t>
      </w:r>
      <w:proofErr w:type="spellEnd"/>
      <w:r w:rsidRPr="00DB16F0">
        <w:rPr>
          <w:rStyle w:val="size"/>
          <w:rFonts w:eastAsia="Times New Roman"/>
          <w:color w:val="000000"/>
        </w:rPr>
        <w:t xml:space="preserve">, ICRISAT, Ludhiana and </w:t>
      </w:r>
      <w:proofErr w:type="spellStart"/>
      <w:r w:rsidRPr="00DB16F0">
        <w:rPr>
          <w:rStyle w:val="size"/>
          <w:rFonts w:eastAsia="Times New Roman"/>
          <w:color w:val="000000"/>
        </w:rPr>
        <w:t>Pantnagar</w:t>
      </w:r>
      <w:proofErr w:type="spellEnd"/>
      <w:r w:rsidRPr="00DB16F0">
        <w:rPr>
          <w:rStyle w:val="size"/>
          <w:rFonts w:eastAsia="Times New Roman"/>
          <w:color w:val="000000"/>
        </w:rPr>
        <w:t>) in India. Each entry was planted in one row of 4 m long and replicated twice. The respective susceptible cultivars were planted after every four test entries in all locations. Additionally, all co-operators included a susceptible check of the local area as test entries for proper comparison. Application of fertilizer, insecticide and other cultural practices were followed as per the local practices. Wherever possible, co-operators planted the nursery in sick plot or in the area where the disease commonly observed every year. Information on planting date, season’s rainfall, irrigation, fertilizer application and insecticides used was provided by co-operators in the prescribed format provided in the data record books.  Data on disease incidence was recorded thrice at seedling, flowering, and at maturity stages of the crop.</w:t>
      </w:r>
    </w:p>
    <w:p w:rsidR="00497905" w:rsidRPr="00DB16F0" w:rsidRDefault="00497905" w:rsidP="00497905">
      <w:pPr>
        <w:jc w:val="both"/>
      </w:pPr>
      <w:r w:rsidRPr="00DB16F0">
        <w:rPr>
          <w:b/>
        </w:rPr>
        <w:t>Results and interpretation</w:t>
      </w:r>
      <w:r w:rsidRPr="00DB16F0">
        <w:t xml:space="preserve">: </w:t>
      </w:r>
      <w:r>
        <w:t>D</w:t>
      </w:r>
      <w:r w:rsidRPr="00DB16F0">
        <w:t>etails of the results are as follows:</w:t>
      </w:r>
    </w:p>
    <w:p w:rsidR="00497905" w:rsidRDefault="00497905" w:rsidP="00497905">
      <w:r w:rsidRPr="00A36605">
        <w:rPr>
          <w:u w:val="single"/>
        </w:rPr>
        <w:t>ICW nursery</w:t>
      </w:r>
      <w:r>
        <w:t>:  Data was received only from 5 locations. One entry (ICCV 98503) at five locations and five entries (ICCVs 04608, 05530, 05532, 08102 and 08118) were found resistant to wilt at four locations.</w:t>
      </w:r>
    </w:p>
    <w:p w:rsidR="00497905" w:rsidRPr="00DB16F0" w:rsidRDefault="00497905" w:rsidP="00497905">
      <w:pPr>
        <w:spacing w:before="120" w:after="0" w:line="240" w:lineRule="auto"/>
        <w:jc w:val="both"/>
      </w:pPr>
      <w:r w:rsidRPr="00DB16F0">
        <w:rPr>
          <w:u w:val="single"/>
        </w:rPr>
        <w:t>AB nursery (IABN)</w:t>
      </w:r>
      <w:r>
        <w:rPr>
          <w:u w:val="single"/>
        </w:rPr>
        <w:t xml:space="preserve">: </w:t>
      </w:r>
      <w:r w:rsidRPr="00DB16F0">
        <w:t>Entries having broad based resistance to AB were concluded based on data received from three locations. Of the 28 entries, two entries (ICWAs 17 and 20) were found resistant and 16 entries moderately resistant to AB at four locations.</w:t>
      </w:r>
    </w:p>
    <w:p w:rsidR="00497905" w:rsidRPr="00DB16F0" w:rsidRDefault="00497905" w:rsidP="00497905">
      <w:pPr>
        <w:spacing w:before="120" w:after="0" w:line="240" w:lineRule="auto"/>
        <w:jc w:val="both"/>
      </w:pPr>
      <w:r w:rsidRPr="00DB16F0">
        <w:rPr>
          <w:u w:val="single"/>
        </w:rPr>
        <w:t xml:space="preserve"> BGM nursery (IBGMN)</w:t>
      </w:r>
      <w:r>
        <w:rPr>
          <w:u w:val="single"/>
        </w:rPr>
        <w:t xml:space="preserve">: </w:t>
      </w:r>
      <w:r w:rsidRPr="00DB16F0">
        <w:t xml:space="preserve">Entries having broad based resistance to BGM were concluded based on data received from two locations. Of the 28 entries, five entries (ICWBs 02, 10, 11, 14 and 27) were found to be moderately resistant to BGM at two locations (&lt;5 rating on 1-9 scale). </w:t>
      </w:r>
    </w:p>
    <w:p w:rsidR="00497905" w:rsidRPr="00DB16F0" w:rsidRDefault="00497905" w:rsidP="00497905">
      <w:pPr>
        <w:spacing w:before="120" w:after="0" w:line="240" w:lineRule="auto"/>
        <w:jc w:val="both"/>
      </w:pPr>
    </w:p>
    <w:p w:rsidR="00497905" w:rsidRPr="00DB16F0" w:rsidRDefault="00497905" w:rsidP="00497905">
      <w:pPr>
        <w:jc w:val="both"/>
      </w:pPr>
      <w:r w:rsidRPr="00DB16F0">
        <w:rPr>
          <w:b/>
        </w:rPr>
        <w:t>Next steps</w:t>
      </w:r>
      <w:r w:rsidRPr="00DB16F0">
        <w:t xml:space="preserve">: This work has allowed to identify sources of resistance to </w:t>
      </w:r>
      <w:r>
        <w:t xml:space="preserve">wilt, </w:t>
      </w:r>
      <w:r w:rsidRPr="00DB16F0">
        <w:t xml:space="preserve">AB and BGM of chickpea with great potential for use in breeding programs. Further work ought to be oriented toward confirming </w:t>
      </w:r>
      <w:r>
        <w:t xml:space="preserve">multiple </w:t>
      </w:r>
      <w:r w:rsidRPr="00DB16F0">
        <w:t xml:space="preserve">resistance under controlled conditions. </w:t>
      </w:r>
    </w:p>
    <w:p w:rsidR="009F5FEA" w:rsidRDefault="009F5FEA">
      <w:bookmarkStart w:id="0" w:name="_GoBack"/>
      <w:bookmarkEnd w:id="0"/>
    </w:p>
    <w:sectPr w:rsidR="009F5F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E0D"/>
    <w:rsid w:val="00497905"/>
    <w:rsid w:val="009F5FEA"/>
    <w:rsid w:val="00F41E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511EF1-B94A-4049-933D-84FD438D9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905"/>
    <w:pPr>
      <w:spacing w:after="200" w:line="276" w:lineRule="auto"/>
    </w:pPr>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497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407</Words>
  <Characters>2320</Characters>
  <Application>Microsoft Office Word</Application>
  <DocSecurity>0</DocSecurity>
  <Lines>19</Lines>
  <Paragraphs>5</Paragraphs>
  <ScaleCrop>false</ScaleCrop>
  <Company>Hewlett-Packard Company</Company>
  <LinksUpToDate>false</LinksUpToDate>
  <CharactersWithSpaces>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2017-02-26T10:19:00Z</dcterms:created>
  <dcterms:modified xsi:type="dcterms:W3CDTF">2017-02-26T10:20:00Z</dcterms:modified>
</cp:coreProperties>
</file>