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8E0" w:rsidRPr="00172560" w:rsidRDefault="007918E0" w:rsidP="007918E0">
      <w:pPr>
        <w:rPr>
          <w:rStyle w:val="size"/>
          <w:rFonts w:eastAsia="Times New Roman"/>
          <w:b/>
          <w:color w:val="000000"/>
          <w:shd w:val="clear" w:color="auto" w:fill="FFFFFF"/>
        </w:rPr>
      </w:pPr>
      <w:r w:rsidRPr="00172560">
        <w:rPr>
          <w:rStyle w:val="size"/>
          <w:rFonts w:eastAsia="Times New Roman"/>
          <w:b/>
          <w:color w:val="000000"/>
          <w:shd w:val="clear" w:color="auto" w:fill="FFFFFF"/>
        </w:rPr>
        <w:t>Activity: Screening of advanced breeding materials and segregating populations for downy mildew and blast reaction</w:t>
      </w:r>
    </w:p>
    <w:p w:rsidR="007918E0" w:rsidRDefault="007918E0" w:rsidP="007918E0">
      <w:pPr>
        <w:tabs>
          <w:tab w:val="left" w:pos="900"/>
        </w:tabs>
        <w:spacing w:before="120"/>
        <w:jc w:val="both"/>
        <w:rPr>
          <w:rStyle w:val="size"/>
          <w:b/>
          <w:color w:val="000000"/>
          <w:shd w:val="clear" w:color="auto" w:fill="FFFFFF"/>
        </w:rPr>
      </w:pPr>
      <w:r>
        <w:rPr>
          <w:rStyle w:val="size"/>
          <w:b/>
          <w:color w:val="000000"/>
          <w:shd w:val="clear" w:color="auto" w:fill="FFFFFF"/>
        </w:rPr>
        <w:t>Objective</w:t>
      </w:r>
    </w:p>
    <w:p w:rsidR="007918E0" w:rsidRPr="00172560" w:rsidRDefault="007918E0" w:rsidP="007918E0">
      <w:pPr>
        <w:tabs>
          <w:tab w:val="left" w:pos="900"/>
        </w:tabs>
        <w:spacing w:before="120"/>
        <w:jc w:val="both"/>
        <w:rPr>
          <w:b/>
        </w:rPr>
      </w:pPr>
      <w:r w:rsidRPr="00172560">
        <w:t xml:space="preserve">As a part of breeding for DM resistance, breeding lines are screened against different pathotypes of </w:t>
      </w:r>
      <w:r w:rsidRPr="00172560">
        <w:rPr>
          <w:i/>
        </w:rPr>
        <w:t>S. graminicola</w:t>
      </w:r>
      <w:r w:rsidRPr="00172560">
        <w:t xml:space="preserve"> in greenhouse under high disease pressure (&gt;85% disease incidence in the susceptible check) and the agronomically superior lines resistant to at least two pathotypes are designated and disseminated as seed parents. Similarly, breeding lines are also screened for blast resistance for the management of this disease through host plant resistance.</w:t>
      </w:r>
    </w:p>
    <w:p w:rsidR="007918E0" w:rsidRPr="00172560" w:rsidRDefault="007918E0" w:rsidP="007918E0">
      <w:pPr>
        <w:spacing w:before="120"/>
        <w:jc w:val="both"/>
        <w:rPr>
          <w:rStyle w:val="size"/>
          <w:b/>
          <w:color w:val="000000"/>
          <w:shd w:val="clear" w:color="auto" w:fill="FFFFFF"/>
        </w:rPr>
      </w:pPr>
      <w:r w:rsidRPr="00172560">
        <w:rPr>
          <w:rStyle w:val="size"/>
          <w:b/>
          <w:color w:val="000000"/>
          <w:shd w:val="clear" w:color="auto" w:fill="FFFFFF"/>
        </w:rPr>
        <w:t>Materials and methods</w:t>
      </w:r>
    </w:p>
    <w:p w:rsidR="007918E0" w:rsidRPr="00172560" w:rsidRDefault="007918E0" w:rsidP="007918E0">
      <w:pPr>
        <w:jc w:val="both"/>
        <w:rPr>
          <w:rFonts w:eastAsia="Calibri"/>
          <w:color w:val="000000" w:themeColor="text1"/>
          <w:lang w:bidi="mr-IN"/>
        </w:rPr>
      </w:pPr>
      <w:r w:rsidRPr="00172560">
        <w:rPr>
          <w:rFonts w:eastAsia="Times New Roman"/>
        </w:rPr>
        <w:t xml:space="preserve">One hundred fifty four B-lines were screened against </w:t>
      </w:r>
      <w:r>
        <w:rPr>
          <w:rFonts w:eastAsia="Times New Roman"/>
        </w:rPr>
        <w:t>six</w:t>
      </w:r>
      <w:r w:rsidRPr="00172560">
        <w:rPr>
          <w:rFonts w:eastAsia="Times New Roman"/>
        </w:rPr>
        <w:t xml:space="preserve"> pathotypes- Sg 139, Sg 150, Sg 200, Sg 212, Sg 298 and Sg 610 under greenhouse conditions. The experiment was conducted in CRD with two replicates; one pot/replicate. </w:t>
      </w:r>
      <w:r w:rsidRPr="00172560">
        <w:t xml:space="preserve">Pot-grown seedlings of pearl millet lines were spray-inoculated at the coleoptile stage with sporangia of test isolates. </w:t>
      </w:r>
      <w:r w:rsidRPr="00172560">
        <w:rPr>
          <w:rStyle w:val="size"/>
          <w:b/>
          <w:color w:val="000000"/>
          <w:shd w:val="clear" w:color="auto" w:fill="FFFFFF"/>
        </w:rPr>
        <w:t xml:space="preserve"> </w:t>
      </w:r>
      <w:r w:rsidRPr="00172560">
        <w:rPr>
          <w:rStyle w:val="size"/>
          <w:color w:val="000000"/>
          <w:shd w:val="clear" w:color="auto" w:fill="FFFFFF"/>
        </w:rPr>
        <w:t xml:space="preserve">Similarly, 216 R-lines were also screened against these pathotypes. For blast resistance, </w:t>
      </w:r>
      <w:r w:rsidRPr="00172560">
        <w:rPr>
          <w:rFonts w:eastAsia="Times New Roman"/>
        </w:rPr>
        <w:t>100 biofortfied B-lines from</w:t>
      </w:r>
      <w:r w:rsidRPr="00172560">
        <w:rPr>
          <w:rFonts w:eastAsia="Times New Roman"/>
          <w:b/>
        </w:rPr>
        <w:t xml:space="preserve"> </w:t>
      </w:r>
      <w:r w:rsidRPr="00172560">
        <w:rPr>
          <w:rFonts w:eastAsia="Times New Roman"/>
        </w:rPr>
        <w:t>Harvest+ were evaluated against three pathotypes, Pg 45, Pg 186 and Pg 138, under greenhouse conditions.</w:t>
      </w:r>
      <w:r w:rsidRPr="00172560">
        <w:rPr>
          <w:rFonts w:eastAsia="Calibri"/>
          <w:color w:val="000000" w:themeColor="text1"/>
          <w:lang w:bidi="mr-IN"/>
        </w:rPr>
        <w:t xml:space="preserve"> The screening was conducted in a CRD with </w:t>
      </w:r>
      <w:r w:rsidRPr="00172560">
        <w:rPr>
          <w:color w:val="000000" w:themeColor="text1"/>
          <w:lang w:bidi="mr-IN"/>
        </w:rPr>
        <w:t>three</w:t>
      </w:r>
      <w:r w:rsidRPr="00172560">
        <w:rPr>
          <w:rFonts w:eastAsia="Calibri"/>
          <w:color w:val="000000" w:themeColor="text1"/>
          <w:lang w:bidi="mr-IN"/>
        </w:rPr>
        <w:t xml:space="preserve"> replications, 1 pot/replication along with a susceptible check ICMB 95444. </w:t>
      </w:r>
    </w:p>
    <w:p w:rsidR="007918E0" w:rsidRPr="00172560" w:rsidRDefault="007918E0" w:rsidP="007918E0">
      <w:pPr>
        <w:spacing w:before="120"/>
        <w:jc w:val="both"/>
        <w:rPr>
          <w:b/>
          <w:iCs/>
        </w:rPr>
      </w:pPr>
      <w:r>
        <w:rPr>
          <w:b/>
          <w:iCs/>
        </w:rPr>
        <w:t>Results</w:t>
      </w:r>
      <w:r w:rsidRPr="00172560">
        <w:rPr>
          <w:b/>
          <w:iCs/>
        </w:rPr>
        <w:t xml:space="preserve"> </w:t>
      </w:r>
    </w:p>
    <w:p w:rsidR="007918E0" w:rsidRPr="00172560" w:rsidRDefault="007918E0" w:rsidP="007918E0">
      <w:pPr>
        <w:jc w:val="both"/>
        <w:rPr>
          <w:rFonts w:eastAsia="Times New Roman"/>
        </w:rPr>
      </w:pPr>
      <w:r w:rsidRPr="00172560">
        <w:rPr>
          <w:b/>
          <w:iCs/>
        </w:rPr>
        <w:t xml:space="preserve">DM Resistance. </w:t>
      </w:r>
      <w:r w:rsidRPr="00172560">
        <w:rPr>
          <w:iCs/>
        </w:rPr>
        <w:t xml:space="preserve">Of the 154 B-lines, 16 lines had poor germination; thus data of these lines were not considered. </w:t>
      </w:r>
      <w:r w:rsidRPr="00172560">
        <w:rPr>
          <w:rFonts w:eastAsia="Times New Roman"/>
        </w:rPr>
        <w:t>Maximum 86 lines were found resistant (≤10% DM) to Sg 139 and minimum 28 lines were resistant to Sg 610 (</w:t>
      </w:r>
      <w:r w:rsidRPr="00172560">
        <w:rPr>
          <w:rFonts w:eastAsia="Times New Roman"/>
          <w:b/>
        </w:rPr>
        <w:t>Fig. 1</w:t>
      </w:r>
      <w:r w:rsidRPr="00172560">
        <w:rPr>
          <w:rFonts w:eastAsia="Times New Roman"/>
        </w:rPr>
        <w:t>). Twenty one lines were resistant to all six pathotypes</w:t>
      </w:r>
      <w:r>
        <w:rPr>
          <w:rFonts w:eastAsia="Times New Roman"/>
        </w:rPr>
        <w:t xml:space="preserve">, </w:t>
      </w:r>
      <w:r w:rsidRPr="00172560">
        <w:rPr>
          <w:rFonts w:eastAsia="Times New Roman"/>
        </w:rPr>
        <w:t>31 lines were resistant to any five and 15 B-lines were resistant to any four pathotypes. For R-lines data of 17-23 lines were not considered because of poor germination. Maximum 132 lines were resistant to Sg 200 and minimum 55 lines were resistant to Sg 610 (</w:t>
      </w:r>
      <w:r w:rsidRPr="00172560">
        <w:rPr>
          <w:rFonts w:eastAsia="Times New Roman"/>
          <w:b/>
        </w:rPr>
        <w:t>Fig. 2</w:t>
      </w:r>
      <w:r w:rsidRPr="00172560">
        <w:rPr>
          <w:rFonts w:eastAsia="Times New Roman"/>
        </w:rPr>
        <w:t>). Forty two lines were resistant to all six pathotypes, another 42 lines were resistant to any five pathotypes, 24 to four and 23 to any three pathotypes.</w:t>
      </w:r>
    </w:p>
    <w:p w:rsidR="007918E0" w:rsidRPr="00172560" w:rsidRDefault="007918E0" w:rsidP="007918E0">
      <w:pPr>
        <w:jc w:val="both"/>
        <w:rPr>
          <w:iCs/>
        </w:rPr>
      </w:pPr>
      <w:r w:rsidRPr="00172560">
        <w:rPr>
          <w:rFonts w:eastAsia="Times New Roman"/>
          <w:b/>
        </w:rPr>
        <w:t>Blast resistance.</w:t>
      </w:r>
      <w:r w:rsidRPr="00172560">
        <w:rPr>
          <w:rFonts w:eastAsia="Times New Roman"/>
        </w:rPr>
        <w:t xml:space="preserve"> None of the lines exhibited resistance to Pg 138 and 186. However, 10 lines were found resistant </w:t>
      </w:r>
      <w:r w:rsidRPr="00172560">
        <w:t xml:space="preserve">(≤3.0 score) </w:t>
      </w:r>
      <w:r w:rsidRPr="00172560">
        <w:rPr>
          <w:rFonts w:eastAsia="Times New Roman"/>
        </w:rPr>
        <w:t>to Pg 45.</w:t>
      </w:r>
    </w:p>
    <w:p w:rsidR="007918E0" w:rsidRDefault="007918E0" w:rsidP="007918E0">
      <w:pPr>
        <w:jc w:val="both"/>
        <w:rPr>
          <w:b/>
        </w:rPr>
      </w:pPr>
      <w:r>
        <w:rPr>
          <w:b/>
        </w:rPr>
        <w:t>Next steps</w:t>
      </w:r>
    </w:p>
    <w:p w:rsidR="007918E0" w:rsidRPr="00172560" w:rsidRDefault="007918E0" w:rsidP="007918E0">
      <w:pPr>
        <w:jc w:val="both"/>
      </w:pPr>
      <w:r>
        <w:t>Multiple-</w:t>
      </w:r>
      <w:r w:rsidRPr="00172560">
        <w:t>pathotype resistant and agronomically superior breeding lines identified in this study can be used to develop DM resistant pearl millet hybrids. As none of the biofortfied</w:t>
      </w:r>
      <w:r w:rsidRPr="00172560">
        <w:rPr>
          <w:rFonts w:eastAsia="Times New Roman"/>
        </w:rPr>
        <w:t xml:space="preserve"> B-lines from</w:t>
      </w:r>
      <w:r w:rsidRPr="00172560">
        <w:rPr>
          <w:rFonts w:eastAsia="Times New Roman"/>
          <w:b/>
        </w:rPr>
        <w:t xml:space="preserve"> </w:t>
      </w:r>
      <w:r w:rsidRPr="00172560">
        <w:rPr>
          <w:rFonts w:eastAsia="Times New Roman"/>
        </w:rPr>
        <w:t xml:space="preserve">Harvest+ was found resistant to </w:t>
      </w:r>
      <w:r w:rsidRPr="00172560">
        <w:rPr>
          <w:rFonts w:eastAsia="Times New Roman"/>
          <w:i/>
        </w:rPr>
        <w:t>M. grisea</w:t>
      </w:r>
      <w:r w:rsidRPr="00172560">
        <w:rPr>
          <w:rFonts w:eastAsia="Times New Roman"/>
        </w:rPr>
        <w:t xml:space="preserve"> pathotypes </w:t>
      </w:r>
      <w:r w:rsidRPr="00172560">
        <w:t>Pg 138 and Pg 186, there is a need to identify sources of resistance to these pathotypes for use in pearl millet breeding programs.</w:t>
      </w:r>
    </w:p>
    <w:p w:rsidR="007918E0" w:rsidRPr="00172560" w:rsidRDefault="007918E0" w:rsidP="007918E0">
      <w:pPr>
        <w:jc w:val="both"/>
        <w:rPr>
          <w:b/>
        </w:rPr>
      </w:pPr>
    </w:p>
    <w:p w:rsidR="007918E0" w:rsidRPr="00172560" w:rsidRDefault="007918E0" w:rsidP="007918E0">
      <w:pPr>
        <w:jc w:val="both"/>
        <w:rPr>
          <w:b/>
        </w:rPr>
      </w:pPr>
      <w:r w:rsidRPr="00172560">
        <w:rPr>
          <w:noProof/>
        </w:rPr>
        <w:lastRenderedPageBreak/>
        <w:drawing>
          <wp:inline distT="0" distB="0" distL="0" distR="0" wp14:anchorId="713AC382" wp14:editId="766B446A">
            <wp:extent cx="5083791" cy="2456597"/>
            <wp:effectExtent l="0" t="0" r="3175" b="12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7918E0" w:rsidRPr="00172560" w:rsidRDefault="007918E0" w:rsidP="007918E0">
      <w:pPr>
        <w:jc w:val="both"/>
        <w:rPr>
          <w:b/>
        </w:rPr>
      </w:pPr>
    </w:p>
    <w:p w:rsidR="007918E0" w:rsidRPr="00172560" w:rsidRDefault="007918E0" w:rsidP="007918E0">
      <w:pPr>
        <w:jc w:val="both"/>
        <w:rPr>
          <w:b/>
          <w:i/>
        </w:rPr>
      </w:pPr>
      <w:r w:rsidRPr="00172560">
        <w:rPr>
          <w:b/>
        </w:rPr>
        <w:t xml:space="preserve">Fig. 1. Reaction of B-lines against six pathotypes of </w:t>
      </w:r>
      <w:r w:rsidRPr="00172560">
        <w:rPr>
          <w:b/>
          <w:i/>
        </w:rPr>
        <w:t>Sclerospora graminicola</w:t>
      </w:r>
    </w:p>
    <w:p w:rsidR="007918E0" w:rsidRPr="00172560" w:rsidRDefault="007918E0" w:rsidP="007918E0">
      <w:pPr>
        <w:jc w:val="both"/>
      </w:pPr>
      <w:r w:rsidRPr="00172560">
        <w:t>Resistant = ≤10% DM; moderately resistant = 11-20% DM; susceptible = &gt;20% DM</w:t>
      </w:r>
    </w:p>
    <w:p w:rsidR="007918E0" w:rsidRPr="00172560" w:rsidRDefault="007918E0" w:rsidP="007918E0">
      <w:pPr>
        <w:jc w:val="both"/>
        <w:rPr>
          <w:b/>
        </w:rPr>
      </w:pPr>
    </w:p>
    <w:p w:rsidR="007918E0" w:rsidRPr="00172560" w:rsidRDefault="007918E0" w:rsidP="007918E0">
      <w:pPr>
        <w:jc w:val="both"/>
        <w:rPr>
          <w:b/>
        </w:rPr>
      </w:pPr>
      <w:r w:rsidRPr="00172560">
        <w:rPr>
          <w:noProof/>
        </w:rPr>
        <w:drawing>
          <wp:inline distT="0" distB="0" distL="0" distR="0" wp14:anchorId="0C2C8FD2" wp14:editId="249621C4">
            <wp:extent cx="5186149" cy="2374710"/>
            <wp:effectExtent l="0" t="0" r="14605" b="698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7918E0" w:rsidRPr="00172560" w:rsidRDefault="007918E0" w:rsidP="007918E0">
      <w:pPr>
        <w:jc w:val="both"/>
        <w:rPr>
          <w:b/>
        </w:rPr>
      </w:pPr>
    </w:p>
    <w:p w:rsidR="007918E0" w:rsidRPr="00172560" w:rsidRDefault="007918E0" w:rsidP="007918E0">
      <w:pPr>
        <w:jc w:val="both"/>
        <w:rPr>
          <w:b/>
        </w:rPr>
      </w:pPr>
      <w:r w:rsidRPr="00172560">
        <w:rPr>
          <w:b/>
        </w:rPr>
        <w:t xml:space="preserve">Fig. 2. Reaction of R-lines against six pathotypes of </w:t>
      </w:r>
      <w:r w:rsidRPr="00172560">
        <w:rPr>
          <w:b/>
          <w:i/>
        </w:rPr>
        <w:t>Sclerospora graminicola</w:t>
      </w:r>
    </w:p>
    <w:p w:rsidR="007918E0" w:rsidRPr="00172560" w:rsidRDefault="007918E0" w:rsidP="007918E0">
      <w:pPr>
        <w:jc w:val="both"/>
        <w:rPr>
          <w:b/>
        </w:rPr>
      </w:pPr>
      <w:r w:rsidRPr="00172560">
        <w:t>Resistant = ≤10% DM; moderately resistant = 11-20% DM; susceptible = &gt;20% DM</w:t>
      </w:r>
    </w:p>
    <w:p w:rsidR="005E5174" w:rsidRDefault="005E5174">
      <w:bookmarkStart w:id="0" w:name="_GoBack"/>
      <w:bookmarkEnd w:id="0"/>
    </w:p>
    <w:sectPr w:rsidR="005E51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607"/>
    <w:rsid w:val="005E5174"/>
    <w:rsid w:val="007918E0"/>
    <w:rsid w:val="008256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5A54FF-8E8C-416B-B817-D7F6C0870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18E0"/>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791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2.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sharma\AppData\Local\Microsoft\Windows\INetCache\Content.Outlook\89Z9PTTG\B%20%20R%20lines%20%20Final%20Summary%20tables-24-1-2017.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sharma\AppData\Local\Microsoft\Windows\INetCache\Content.Outlook\89Z9PTTG\B%20%20R%20lines%20%20Final%20Summary%20tables-24-1-2017.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0.10014279922326783"/>
          <c:y val="5.1400554097404488E-2"/>
          <c:w val="0.70464869940037989"/>
          <c:h val="0.79111301183198746"/>
        </c:manualLayout>
      </c:layout>
      <c:bar3DChart>
        <c:barDir val="col"/>
        <c:grouping val="clustered"/>
        <c:varyColors val="0"/>
        <c:ser>
          <c:idx val="0"/>
          <c:order val="0"/>
          <c:tx>
            <c:strRef>
              <c:f>Graph!$C$2</c:f>
              <c:strCache>
                <c:ptCount val="1"/>
                <c:pt idx="0">
                  <c:v>Resistant</c:v>
                </c:pt>
              </c:strCache>
            </c:strRef>
          </c:tx>
          <c:spPr>
            <a:pattFill prst="pct60">
              <a:fgClr>
                <a:schemeClr val="bg2">
                  <a:lumMod val="75000"/>
                </a:schemeClr>
              </a:fgClr>
              <a:bgClr>
                <a:schemeClr val="bg1"/>
              </a:bgClr>
            </a:pattFill>
          </c:spPr>
          <c:invertIfNegative val="0"/>
          <c:dLbls>
            <c:spPr>
              <a:noFill/>
              <a:ln>
                <a:noFill/>
              </a:ln>
              <a:effectLst/>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Graph!$B$3:$B$8</c:f>
              <c:strCache>
                <c:ptCount val="6"/>
                <c:pt idx="0">
                  <c:v>Sg 139</c:v>
                </c:pt>
                <c:pt idx="1">
                  <c:v>Sg 150</c:v>
                </c:pt>
                <c:pt idx="2">
                  <c:v>Sg 200</c:v>
                </c:pt>
                <c:pt idx="3">
                  <c:v>Sg 212</c:v>
                </c:pt>
                <c:pt idx="4">
                  <c:v>Sg 298</c:v>
                </c:pt>
                <c:pt idx="5">
                  <c:v>Sg 610</c:v>
                </c:pt>
              </c:strCache>
            </c:strRef>
          </c:cat>
          <c:val>
            <c:numRef>
              <c:f>Graph!$C$3:$C$8</c:f>
              <c:numCache>
                <c:formatCode>General</c:formatCode>
                <c:ptCount val="6"/>
                <c:pt idx="0">
                  <c:v>86</c:v>
                </c:pt>
                <c:pt idx="1">
                  <c:v>81</c:v>
                </c:pt>
                <c:pt idx="2">
                  <c:v>69</c:v>
                </c:pt>
                <c:pt idx="3">
                  <c:v>70</c:v>
                </c:pt>
                <c:pt idx="4">
                  <c:v>80</c:v>
                </c:pt>
                <c:pt idx="5">
                  <c:v>28</c:v>
                </c:pt>
              </c:numCache>
            </c:numRef>
          </c:val>
        </c:ser>
        <c:ser>
          <c:idx val="1"/>
          <c:order val="1"/>
          <c:tx>
            <c:strRef>
              <c:f>Graph!$D$2</c:f>
              <c:strCache>
                <c:ptCount val="1"/>
                <c:pt idx="0">
                  <c:v>Moderately Resistant</c:v>
                </c:pt>
              </c:strCache>
            </c:strRef>
          </c:tx>
          <c:spPr>
            <a:pattFill prst="openDmnd">
              <a:fgClr>
                <a:schemeClr val="accent6">
                  <a:lumMod val="75000"/>
                </a:schemeClr>
              </a:fgClr>
              <a:bgClr>
                <a:schemeClr val="bg1"/>
              </a:bgClr>
            </a:pattFill>
            <a:ln w="12700"/>
            <a:effectLst>
              <a:outerShdw blurRad="40000" dist="20000" dir="5400000" rotWithShape="0">
                <a:srgbClr val="FFC000">
                  <a:alpha val="38000"/>
                </a:srgbClr>
              </a:outerShdw>
            </a:effectLst>
          </c:spPr>
          <c:invertIfNegative val="0"/>
          <c:dLbls>
            <c:spPr>
              <a:noFill/>
              <a:ln>
                <a:noFill/>
              </a:ln>
              <a:effectLst/>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Graph!$B$3:$B$8</c:f>
              <c:strCache>
                <c:ptCount val="6"/>
                <c:pt idx="0">
                  <c:v>Sg 139</c:v>
                </c:pt>
                <c:pt idx="1">
                  <c:v>Sg 150</c:v>
                </c:pt>
                <c:pt idx="2">
                  <c:v>Sg 200</c:v>
                </c:pt>
                <c:pt idx="3">
                  <c:v>Sg 212</c:v>
                </c:pt>
                <c:pt idx="4">
                  <c:v>Sg 298</c:v>
                </c:pt>
                <c:pt idx="5">
                  <c:v>Sg 610</c:v>
                </c:pt>
              </c:strCache>
            </c:strRef>
          </c:cat>
          <c:val>
            <c:numRef>
              <c:f>Graph!$D$3:$D$8</c:f>
              <c:numCache>
                <c:formatCode>General</c:formatCode>
                <c:ptCount val="6"/>
                <c:pt idx="0">
                  <c:v>17</c:v>
                </c:pt>
                <c:pt idx="1">
                  <c:v>18</c:v>
                </c:pt>
                <c:pt idx="2">
                  <c:v>19</c:v>
                </c:pt>
                <c:pt idx="3">
                  <c:v>25</c:v>
                </c:pt>
                <c:pt idx="4">
                  <c:v>23</c:v>
                </c:pt>
                <c:pt idx="5">
                  <c:v>7</c:v>
                </c:pt>
              </c:numCache>
            </c:numRef>
          </c:val>
        </c:ser>
        <c:ser>
          <c:idx val="2"/>
          <c:order val="2"/>
          <c:tx>
            <c:strRef>
              <c:f>Graph!$E$2</c:f>
              <c:strCache>
                <c:ptCount val="1"/>
                <c:pt idx="0">
                  <c:v>Susceptible</c:v>
                </c:pt>
              </c:strCache>
            </c:strRef>
          </c:tx>
          <c:spPr>
            <a:pattFill prst="lgCheck">
              <a:fgClr>
                <a:schemeClr val="accent3">
                  <a:lumMod val="60000"/>
                  <a:lumOff val="40000"/>
                </a:schemeClr>
              </a:fgClr>
              <a:bgClr>
                <a:schemeClr val="bg1"/>
              </a:bgClr>
            </a:pattFill>
          </c:spPr>
          <c:invertIfNegative val="0"/>
          <c:dLbls>
            <c:spPr>
              <a:noFill/>
              <a:ln>
                <a:noFill/>
              </a:ln>
              <a:effectLst/>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Graph!$B$3:$B$8</c:f>
              <c:strCache>
                <c:ptCount val="6"/>
                <c:pt idx="0">
                  <c:v>Sg 139</c:v>
                </c:pt>
                <c:pt idx="1">
                  <c:v>Sg 150</c:v>
                </c:pt>
                <c:pt idx="2">
                  <c:v>Sg 200</c:v>
                </c:pt>
                <c:pt idx="3">
                  <c:v>Sg 212</c:v>
                </c:pt>
                <c:pt idx="4">
                  <c:v>Sg 298</c:v>
                </c:pt>
                <c:pt idx="5">
                  <c:v>Sg 610</c:v>
                </c:pt>
              </c:strCache>
            </c:strRef>
          </c:cat>
          <c:val>
            <c:numRef>
              <c:f>Graph!$E$3:$E$8</c:f>
              <c:numCache>
                <c:formatCode>General</c:formatCode>
                <c:ptCount val="6"/>
                <c:pt idx="0">
                  <c:v>35</c:v>
                </c:pt>
                <c:pt idx="1">
                  <c:v>39</c:v>
                </c:pt>
                <c:pt idx="2">
                  <c:v>50</c:v>
                </c:pt>
                <c:pt idx="3">
                  <c:v>43</c:v>
                </c:pt>
                <c:pt idx="4">
                  <c:v>35</c:v>
                </c:pt>
                <c:pt idx="5">
                  <c:v>103</c:v>
                </c:pt>
              </c:numCache>
            </c:numRef>
          </c:val>
        </c:ser>
        <c:dLbls>
          <c:showLegendKey val="0"/>
          <c:showVal val="0"/>
          <c:showCatName val="0"/>
          <c:showSerName val="0"/>
          <c:showPercent val="0"/>
          <c:showBubbleSize val="0"/>
        </c:dLbls>
        <c:gapWidth val="150"/>
        <c:shape val="box"/>
        <c:axId val="313651760"/>
        <c:axId val="313652320"/>
        <c:axId val="0"/>
      </c:bar3DChart>
      <c:catAx>
        <c:axId val="313651760"/>
        <c:scaling>
          <c:orientation val="minMax"/>
        </c:scaling>
        <c:delete val="0"/>
        <c:axPos val="b"/>
        <c:title>
          <c:tx>
            <c:rich>
              <a:bodyPr/>
              <a:lstStyle/>
              <a:p>
                <a:pPr>
                  <a:defRPr sz="1000" b="1" i="0" u="none" strike="noStrike" baseline="0">
                    <a:solidFill>
                      <a:srgbClr val="000000"/>
                    </a:solidFill>
                    <a:latin typeface="Calibri"/>
                    <a:ea typeface="Calibri"/>
                    <a:cs typeface="Calibri"/>
                  </a:defRPr>
                </a:pPr>
                <a:r>
                  <a:rPr lang="en-US"/>
                  <a:t>Pathotypes</a:t>
                </a:r>
              </a:p>
            </c:rich>
          </c:tx>
          <c:layout>
            <c:manualLayout>
              <c:xMode val="edge"/>
              <c:yMode val="edge"/>
              <c:x val="0.36876631290653883"/>
              <c:y val="0.92556613350160499"/>
            </c:manualLayout>
          </c:layout>
          <c:overlay val="0"/>
        </c:title>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313652320"/>
        <c:crosses val="autoZero"/>
        <c:auto val="1"/>
        <c:lblAlgn val="ctr"/>
        <c:lblOffset val="100"/>
        <c:noMultiLvlLbl val="0"/>
      </c:catAx>
      <c:valAx>
        <c:axId val="313652320"/>
        <c:scaling>
          <c:orientation val="minMax"/>
        </c:scaling>
        <c:delete val="0"/>
        <c:axPos val="l"/>
        <c:title>
          <c:tx>
            <c:rich>
              <a:bodyPr/>
              <a:lstStyle/>
              <a:p>
                <a:pPr>
                  <a:defRPr sz="1000" b="1" i="0" u="none" strike="noStrike" baseline="0">
                    <a:solidFill>
                      <a:srgbClr val="000000"/>
                    </a:solidFill>
                    <a:latin typeface="Calibri"/>
                    <a:ea typeface="Calibri"/>
                    <a:cs typeface="Calibri"/>
                  </a:defRPr>
                </a:pPr>
                <a:r>
                  <a:rPr lang="en-US"/>
                  <a:t>Number of B lines</a:t>
                </a:r>
              </a:p>
            </c:rich>
          </c:tx>
          <c:overlay val="0"/>
        </c:title>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313651760"/>
        <c:crosses val="autoZero"/>
        <c:crossBetween val="between"/>
      </c:valAx>
      <c:spPr>
        <a:noFill/>
        <a:ln w="25400">
          <a:noFill/>
        </a:ln>
      </c:spPr>
    </c:plotArea>
    <c:legend>
      <c:legendPos val="t"/>
      <c:overlay val="0"/>
      <c:txPr>
        <a:bodyPr/>
        <a:lstStyle/>
        <a:p>
          <a:pPr>
            <a:defRPr sz="920" b="0" i="0" u="none" strike="noStrike" baseline="0">
              <a:solidFill>
                <a:srgbClr val="000000"/>
              </a:solidFill>
              <a:latin typeface="Calibri"/>
              <a:ea typeface="Calibri"/>
              <a:cs typeface="Calibri"/>
            </a:defRPr>
          </a:pPr>
          <a:endParaRPr lang="en-US"/>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col"/>
        <c:grouping val="clustered"/>
        <c:varyColors val="0"/>
        <c:ser>
          <c:idx val="0"/>
          <c:order val="0"/>
          <c:tx>
            <c:strRef>
              <c:f>Graph!$C$12</c:f>
              <c:strCache>
                <c:ptCount val="1"/>
                <c:pt idx="0">
                  <c:v>Resistant</c:v>
                </c:pt>
              </c:strCache>
            </c:strRef>
          </c:tx>
          <c:spPr>
            <a:pattFill prst="lgCheck">
              <a:fgClr>
                <a:schemeClr val="accent4">
                  <a:lumMod val="75000"/>
                </a:schemeClr>
              </a:fgClr>
              <a:bgClr>
                <a:schemeClr val="bg1">
                  <a:lumMod val="75000"/>
                </a:schemeClr>
              </a:bgClr>
            </a:pattFill>
          </c:spPr>
          <c:invertIfNegative val="0"/>
          <c:dLbls>
            <c:spPr>
              <a:noFill/>
              <a:ln>
                <a:noFill/>
              </a:ln>
              <a:effectLst/>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Graph!$B$13:$B$18</c:f>
              <c:strCache>
                <c:ptCount val="6"/>
                <c:pt idx="0">
                  <c:v>Sg 139</c:v>
                </c:pt>
                <c:pt idx="1">
                  <c:v>Sg 150</c:v>
                </c:pt>
                <c:pt idx="2">
                  <c:v>Sg 200</c:v>
                </c:pt>
                <c:pt idx="3">
                  <c:v>Sg 212</c:v>
                </c:pt>
                <c:pt idx="4">
                  <c:v>Sg 298</c:v>
                </c:pt>
                <c:pt idx="5">
                  <c:v>Sg 610</c:v>
                </c:pt>
              </c:strCache>
            </c:strRef>
          </c:cat>
          <c:val>
            <c:numRef>
              <c:f>Graph!$C$13:$C$18</c:f>
              <c:numCache>
                <c:formatCode>General</c:formatCode>
                <c:ptCount val="6"/>
                <c:pt idx="0">
                  <c:v>119</c:v>
                </c:pt>
                <c:pt idx="1">
                  <c:v>127</c:v>
                </c:pt>
                <c:pt idx="2">
                  <c:v>132</c:v>
                </c:pt>
                <c:pt idx="3">
                  <c:v>116</c:v>
                </c:pt>
                <c:pt idx="4">
                  <c:v>115</c:v>
                </c:pt>
                <c:pt idx="5">
                  <c:v>55</c:v>
                </c:pt>
              </c:numCache>
            </c:numRef>
          </c:val>
        </c:ser>
        <c:ser>
          <c:idx val="1"/>
          <c:order val="1"/>
          <c:tx>
            <c:strRef>
              <c:f>Graph!$D$12</c:f>
              <c:strCache>
                <c:ptCount val="1"/>
                <c:pt idx="0">
                  <c:v>Moderately Resistant</c:v>
                </c:pt>
              </c:strCache>
            </c:strRef>
          </c:tx>
          <c:spPr>
            <a:pattFill prst="wdUpDiag">
              <a:fgClr>
                <a:schemeClr val="bg2">
                  <a:lumMod val="50000"/>
                </a:schemeClr>
              </a:fgClr>
              <a:bgClr>
                <a:schemeClr val="bg1">
                  <a:lumMod val="75000"/>
                </a:schemeClr>
              </a:bgClr>
            </a:pattFill>
          </c:spPr>
          <c:invertIfNegative val="0"/>
          <c:dLbls>
            <c:spPr>
              <a:noFill/>
              <a:ln>
                <a:noFill/>
              </a:ln>
              <a:effectLst/>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Graph!$B$13:$B$18</c:f>
              <c:strCache>
                <c:ptCount val="6"/>
                <c:pt idx="0">
                  <c:v>Sg 139</c:v>
                </c:pt>
                <c:pt idx="1">
                  <c:v>Sg 150</c:v>
                </c:pt>
                <c:pt idx="2">
                  <c:v>Sg 200</c:v>
                </c:pt>
                <c:pt idx="3">
                  <c:v>Sg 212</c:v>
                </c:pt>
                <c:pt idx="4">
                  <c:v>Sg 298</c:v>
                </c:pt>
                <c:pt idx="5">
                  <c:v>Sg 610</c:v>
                </c:pt>
              </c:strCache>
            </c:strRef>
          </c:cat>
          <c:val>
            <c:numRef>
              <c:f>Graph!$D$13:$D$18</c:f>
              <c:numCache>
                <c:formatCode>General</c:formatCode>
                <c:ptCount val="6"/>
                <c:pt idx="0">
                  <c:v>24</c:v>
                </c:pt>
                <c:pt idx="1">
                  <c:v>10</c:v>
                </c:pt>
                <c:pt idx="2">
                  <c:v>6</c:v>
                </c:pt>
                <c:pt idx="3">
                  <c:v>11</c:v>
                </c:pt>
                <c:pt idx="4">
                  <c:v>24</c:v>
                </c:pt>
                <c:pt idx="5">
                  <c:v>12</c:v>
                </c:pt>
              </c:numCache>
            </c:numRef>
          </c:val>
        </c:ser>
        <c:ser>
          <c:idx val="2"/>
          <c:order val="2"/>
          <c:tx>
            <c:strRef>
              <c:f>Graph!$E$12</c:f>
              <c:strCache>
                <c:ptCount val="1"/>
                <c:pt idx="0">
                  <c:v>Susceptible</c:v>
                </c:pt>
              </c:strCache>
            </c:strRef>
          </c:tx>
          <c:spPr>
            <a:pattFill prst="smGrid">
              <a:fgClr>
                <a:schemeClr val="accent2">
                  <a:lumMod val="60000"/>
                  <a:lumOff val="40000"/>
                </a:schemeClr>
              </a:fgClr>
              <a:bgClr>
                <a:schemeClr val="bg1">
                  <a:lumMod val="75000"/>
                </a:schemeClr>
              </a:bgClr>
            </a:pattFill>
          </c:spPr>
          <c:invertIfNegative val="0"/>
          <c:dLbls>
            <c:spPr>
              <a:noFill/>
              <a:ln>
                <a:noFill/>
              </a:ln>
              <a:effectLst/>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Graph!$B$13:$B$18</c:f>
              <c:strCache>
                <c:ptCount val="6"/>
                <c:pt idx="0">
                  <c:v>Sg 139</c:v>
                </c:pt>
                <c:pt idx="1">
                  <c:v>Sg 150</c:v>
                </c:pt>
                <c:pt idx="2">
                  <c:v>Sg 200</c:v>
                </c:pt>
                <c:pt idx="3">
                  <c:v>Sg 212</c:v>
                </c:pt>
                <c:pt idx="4">
                  <c:v>Sg 298</c:v>
                </c:pt>
                <c:pt idx="5">
                  <c:v>Sg 610</c:v>
                </c:pt>
              </c:strCache>
            </c:strRef>
          </c:cat>
          <c:val>
            <c:numRef>
              <c:f>Graph!$E$13:$E$18</c:f>
              <c:numCache>
                <c:formatCode>General</c:formatCode>
                <c:ptCount val="6"/>
                <c:pt idx="0">
                  <c:v>50</c:v>
                </c:pt>
                <c:pt idx="1">
                  <c:v>56</c:v>
                </c:pt>
                <c:pt idx="2">
                  <c:v>59</c:v>
                </c:pt>
                <c:pt idx="3">
                  <c:v>72</c:v>
                </c:pt>
                <c:pt idx="4">
                  <c:v>57</c:v>
                </c:pt>
                <c:pt idx="5">
                  <c:v>130</c:v>
                </c:pt>
              </c:numCache>
            </c:numRef>
          </c:val>
        </c:ser>
        <c:dLbls>
          <c:showLegendKey val="0"/>
          <c:showVal val="0"/>
          <c:showCatName val="0"/>
          <c:showSerName val="0"/>
          <c:showPercent val="0"/>
          <c:showBubbleSize val="0"/>
        </c:dLbls>
        <c:gapWidth val="150"/>
        <c:axId val="313655680"/>
        <c:axId val="313656240"/>
      </c:barChart>
      <c:catAx>
        <c:axId val="313655680"/>
        <c:scaling>
          <c:orientation val="minMax"/>
        </c:scaling>
        <c:delete val="0"/>
        <c:axPos val="b"/>
        <c:title>
          <c:tx>
            <c:rich>
              <a:bodyPr/>
              <a:lstStyle/>
              <a:p>
                <a:pPr>
                  <a:defRPr sz="900" b="1" i="0" u="none" strike="noStrike" baseline="0">
                    <a:solidFill>
                      <a:srgbClr val="000000"/>
                    </a:solidFill>
                    <a:latin typeface="Times New Roman"/>
                    <a:ea typeface="Times New Roman"/>
                    <a:cs typeface="Times New Roman"/>
                  </a:defRPr>
                </a:pPr>
                <a:r>
                  <a:rPr lang="en-US"/>
                  <a:t>Pathotypes</a:t>
                </a:r>
              </a:p>
            </c:rich>
          </c:tx>
          <c:layout>
            <c:manualLayout>
              <c:xMode val="edge"/>
              <c:yMode val="edge"/>
              <c:x val="0.4963056938373071"/>
              <c:y val="0.88505642850773636"/>
            </c:manualLayout>
          </c:layout>
          <c:overlay val="0"/>
        </c:title>
        <c:numFmt formatCode="General" sourceLinked="1"/>
        <c:majorTickMark val="none"/>
        <c:minorTickMark val="none"/>
        <c:tickLblPos val="nextTo"/>
        <c:txPr>
          <a:bodyPr rot="0" vert="horz"/>
          <a:lstStyle/>
          <a:p>
            <a:pPr>
              <a:defRPr sz="900" b="0" i="0" u="none" strike="noStrike" baseline="0">
                <a:solidFill>
                  <a:srgbClr val="000000"/>
                </a:solidFill>
                <a:latin typeface="Times New Roman"/>
                <a:ea typeface="Times New Roman"/>
                <a:cs typeface="Times New Roman"/>
              </a:defRPr>
            </a:pPr>
            <a:endParaRPr lang="en-US"/>
          </a:p>
        </c:txPr>
        <c:crossAx val="313656240"/>
        <c:crosses val="autoZero"/>
        <c:auto val="1"/>
        <c:lblAlgn val="ctr"/>
        <c:lblOffset val="100"/>
        <c:noMultiLvlLbl val="0"/>
      </c:catAx>
      <c:valAx>
        <c:axId val="313656240"/>
        <c:scaling>
          <c:orientation val="minMax"/>
        </c:scaling>
        <c:delete val="0"/>
        <c:axPos val="l"/>
        <c:title>
          <c:tx>
            <c:rich>
              <a:bodyPr/>
              <a:lstStyle/>
              <a:p>
                <a:pPr>
                  <a:defRPr sz="900" b="1" i="0" u="none" strike="noStrike" baseline="0">
                    <a:solidFill>
                      <a:srgbClr val="000000"/>
                    </a:solidFill>
                    <a:latin typeface="Times New Roman"/>
                    <a:ea typeface="Times New Roman"/>
                    <a:cs typeface="Times New Roman"/>
                  </a:defRPr>
                </a:pPr>
                <a:r>
                  <a:rPr lang="en-US"/>
                  <a:t>Number of  R  lines </a:t>
                </a:r>
              </a:p>
            </c:rich>
          </c:tx>
          <c:overlay val="0"/>
        </c:title>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313655680"/>
        <c:crosses val="autoZero"/>
        <c:crossBetween val="between"/>
      </c:valAx>
    </c:plotArea>
    <c:legend>
      <c:legendPos val="t"/>
      <c:overlay val="0"/>
      <c:txPr>
        <a:bodyPr/>
        <a:lstStyle/>
        <a:p>
          <a:pPr>
            <a:defRPr sz="825" b="0" i="0" u="none" strike="noStrike" baseline="0">
              <a:solidFill>
                <a:srgbClr val="000000"/>
              </a:solidFill>
              <a:latin typeface="Times New Roman"/>
              <a:ea typeface="Times New Roman"/>
              <a:cs typeface="Times New Roman"/>
            </a:defRPr>
          </a:pPr>
          <a:endParaRPr lang="en-US"/>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427</Words>
  <Characters>2436</Characters>
  <Application>Microsoft Office Word</Application>
  <DocSecurity>0</DocSecurity>
  <Lines>20</Lines>
  <Paragraphs>5</Paragraphs>
  <ScaleCrop>false</ScaleCrop>
  <Company>Hewlett-Packard Company</Company>
  <LinksUpToDate>false</LinksUpToDate>
  <CharactersWithSpaces>2858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2017-01-31T14:39:00Z</dcterms:created>
  <dcterms:modified xsi:type="dcterms:W3CDTF">2017-01-31T14:39:00Z</dcterms:modified>
</cp:coreProperties>
</file>