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drawings/drawing1.xml" ContentType="application/vnd.openxmlformats-officedocument.drawingml.chartshapes+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47BFC" w:rsidRPr="00B00FA6" w:rsidRDefault="00847BFC" w:rsidP="00847BFC">
      <w:pPr>
        <w:shd w:val="clear" w:color="auto" w:fill="FFFFFF"/>
        <w:rPr>
          <w:sz w:val="22"/>
          <w:szCs w:val="22"/>
        </w:rPr>
      </w:pPr>
      <w:r w:rsidRPr="00B00FA6">
        <w:rPr>
          <w:b/>
          <w:sz w:val="22"/>
          <w:szCs w:val="22"/>
        </w:rPr>
        <w:t xml:space="preserve">1. </w:t>
      </w:r>
      <w:r w:rsidRPr="00B00FA6">
        <w:rPr>
          <w:sz w:val="22"/>
          <w:szCs w:val="22"/>
        </w:rPr>
        <w:t xml:space="preserve">Heat tolerant </w:t>
      </w:r>
      <w:r w:rsidRPr="00B00FA6">
        <w:rPr>
          <w:b/>
          <w:sz w:val="22"/>
          <w:szCs w:val="22"/>
        </w:rPr>
        <w:t>chickpea</w:t>
      </w:r>
      <w:r w:rsidRPr="00B00FA6">
        <w:rPr>
          <w:sz w:val="22"/>
          <w:szCs w:val="22"/>
        </w:rPr>
        <w:t xml:space="preserve">, common bean, </w:t>
      </w:r>
      <w:proofErr w:type="spellStart"/>
      <w:r w:rsidRPr="00B00FA6">
        <w:rPr>
          <w:sz w:val="22"/>
          <w:szCs w:val="22"/>
        </w:rPr>
        <w:t>faba</w:t>
      </w:r>
      <w:proofErr w:type="spellEnd"/>
      <w:r w:rsidRPr="00B00FA6">
        <w:rPr>
          <w:sz w:val="22"/>
          <w:szCs w:val="22"/>
        </w:rPr>
        <w:t xml:space="preserve"> bean and lentil</w:t>
      </w:r>
    </w:p>
    <w:p w:rsidR="00847BFC" w:rsidRPr="00B00FA6" w:rsidRDefault="00847BFC" w:rsidP="00847BFC">
      <w:pPr>
        <w:shd w:val="clear" w:color="auto" w:fill="FFFFFF"/>
        <w:rPr>
          <w:sz w:val="22"/>
          <w:szCs w:val="22"/>
        </w:rPr>
      </w:pPr>
      <w:r w:rsidRPr="00B00FA6">
        <w:rPr>
          <w:b/>
          <w:sz w:val="22"/>
          <w:szCs w:val="22"/>
        </w:rPr>
        <w:t>Activity</w:t>
      </w:r>
      <w:r w:rsidRPr="00B00FA6">
        <w:rPr>
          <w:sz w:val="22"/>
          <w:szCs w:val="22"/>
        </w:rPr>
        <w:t xml:space="preserve">: </w:t>
      </w:r>
      <w:bookmarkStart w:id="0" w:name="_GoBack"/>
      <w:r w:rsidRPr="00B00FA6">
        <w:rPr>
          <w:sz w:val="22"/>
          <w:szCs w:val="22"/>
        </w:rPr>
        <w:t xml:space="preserve">Advanced early maturing breeding lines and MABC lines evaluated for grain yield </w:t>
      </w:r>
      <w:bookmarkEnd w:id="0"/>
      <w:r w:rsidRPr="00B00FA6">
        <w:rPr>
          <w:sz w:val="22"/>
          <w:szCs w:val="22"/>
        </w:rPr>
        <w:t>and other adaptive traits in Ethiopia</w:t>
      </w:r>
    </w:p>
    <w:p w:rsidR="00847BFC" w:rsidRPr="00B00FA6" w:rsidRDefault="00847BFC" w:rsidP="00847BFC">
      <w:pPr>
        <w:shd w:val="clear" w:color="auto" w:fill="FFFFFF"/>
        <w:rPr>
          <w:sz w:val="22"/>
          <w:szCs w:val="22"/>
        </w:rPr>
      </w:pPr>
      <w:proofErr w:type="gramStart"/>
      <w:r w:rsidRPr="00B00FA6">
        <w:rPr>
          <w:b/>
          <w:sz w:val="22"/>
          <w:szCs w:val="22"/>
        </w:rPr>
        <w:t>objective</w:t>
      </w:r>
      <w:proofErr w:type="gramEnd"/>
      <w:r w:rsidRPr="00B00FA6">
        <w:rPr>
          <w:b/>
          <w:sz w:val="22"/>
          <w:szCs w:val="22"/>
        </w:rPr>
        <w:t xml:space="preserve">:  </w:t>
      </w:r>
      <w:r w:rsidRPr="00B00FA6">
        <w:rPr>
          <w:sz w:val="22"/>
          <w:szCs w:val="22"/>
        </w:rPr>
        <w:t xml:space="preserve">Evaluation of MABC lines for yield and adaptation to advance to the next advanced breeding cycle. </w:t>
      </w:r>
    </w:p>
    <w:p w:rsidR="00847BFC" w:rsidRPr="00B00FA6" w:rsidRDefault="00847BFC" w:rsidP="00847BFC">
      <w:pPr>
        <w:shd w:val="clear" w:color="auto" w:fill="FFFFFF"/>
        <w:rPr>
          <w:sz w:val="22"/>
          <w:szCs w:val="22"/>
        </w:rPr>
      </w:pPr>
      <w:r w:rsidRPr="00B00FA6">
        <w:rPr>
          <w:b/>
          <w:sz w:val="22"/>
          <w:szCs w:val="22"/>
        </w:rPr>
        <w:t>Intended output</w:t>
      </w:r>
      <w:r w:rsidRPr="00B00FA6">
        <w:rPr>
          <w:sz w:val="22"/>
          <w:szCs w:val="22"/>
        </w:rPr>
        <w:t>:  outperforming lines both for their agronomic parameters and adaptation and yield performances would be selected. Those lines with market preferred grain products would be promoted.</w:t>
      </w:r>
    </w:p>
    <w:p w:rsidR="00847BFC" w:rsidRPr="00B00FA6" w:rsidRDefault="00847BFC" w:rsidP="00847BFC">
      <w:pPr>
        <w:shd w:val="clear" w:color="auto" w:fill="FFFFFF"/>
        <w:rPr>
          <w:sz w:val="22"/>
          <w:szCs w:val="22"/>
        </w:rPr>
      </w:pPr>
    </w:p>
    <w:p w:rsidR="00847BFC" w:rsidRPr="00B00FA6" w:rsidRDefault="00847BFC" w:rsidP="00847BFC">
      <w:pPr>
        <w:shd w:val="clear" w:color="auto" w:fill="FFFFFF"/>
        <w:rPr>
          <w:sz w:val="22"/>
          <w:szCs w:val="22"/>
        </w:rPr>
      </w:pPr>
      <w:r w:rsidRPr="00B00FA6">
        <w:rPr>
          <w:b/>
          <w:sz w:val="22"/>
          <w:szCs w:val="22"/>
        </w:rPr>
        <w:t>M &amp;M</w:t>
      </w:r>
      <w:r w:rsidRPr="00B00FA6">
        <w:rPr>
          <w:sz w:val="22"/>
          <w:szCs w:val="22"/>
        </w:rPr>
        <w:t xml:space="preserve">: Four set (MABCF6-YIELD trial= 16,  MABCF6-NEW trial =18, MABC- DESI-1 trial=22, and MABC- DESI-2 trial=24)  of  some 80 MABC lines performance trial was executed along standard checks during the 2014-2016 main season at </w:t>
      </w:r>
      <w:proofErr w:type="spellStart"/>
      <w:r w:rsidRPr="00B00FA6">
        <w:rPr>
          <w:sz w:val="22"/>
          <w:szCs w:val="22"/>
        </w:rPr>
        <w:t>Debre</w:t>
      </w:r>
      <w:proofErr w:type="spellEnd"/>
      <w:r w:rsidRPr="00B00FA6">
        <w:rPr>
          <w:sz w:val="22"/>
          <w:szCs w:val="22"/>
        </w:rPr>
        <w:t xml:space="preserve"> </w:t>
      </w:r>
      <w:proofErr w:type="spellStart"/>
      <w:r w:rsidRPr="00B00FA6">
        <w:rPr>
          <w:sz w:val="22"/>
          <w:szCs w:val="22"/>
        </w:rPr>
        <w:t>Zeit</w:t>
      </w:r>
      <w:proofErr w:type="spellEnd"/>
      <w:r w:rsidRPr="00B00FA6">
        <w:rPr>
          <w:sz w:val="22"/>
          <w:szCs w:val="22"/>
        </w:rPr>
        <w:t xml:space="preserve"> research center man station. The experiment was set in RCBD with three </w:t>
      </w:r>
      <w:proofErr w:type="gramStart"/>
      <w:r w:rsidRPr="00B00FA6">
        <w:rPr>
          <w:sz w:val="22"/>
          <w:szCs w:val="22"/>
        </w:rPr>
        <w:t>replication .</w:t>
      </w:r>
      <w:proofErr w:type="gramEnd"/>
      <w:r w:rsidRPr="00B00FA6">
        <w:rPr>
          <w:sz w:val="22"/>
          <w:szCs w:val="22"/>
        </w:rPr>
        <w:t xml:space="preserve"> All agronomic practices was done as necessity and all parameters collected for statistical analysis. </w:t>
      </w:r>
    </w:p>
    <w:p w:rsidR="00847BFC" w:rsidRPr="00B00FA6" w:rsidRDefault="00847BFC" w:rsidP="00847BFC">
      <w:pPr>
        <w:shd w:val="clear" w:color="auto" w:fill="FFFFFF"/>
        <w:rPr>
          <w:sz w:val="22"/>
          <w:szCs w:val="22"/>
        </w:rPr>
      </w:pPr>
      <w:r w:rsidRPr="00B00FA6">
        <w:rPr>
          <w:sz w:val="22"/>
          <w:szCs w:val="22"/>
        </w:rPr>
        <w:t xml:space="preserve"> </w:t>
      </w:r>
    </w:p>
    <w:p w:rsidR="00847BFC" w:rsidRPr="00B00FA6" w:rsidRDefault="00847BFC" w:rsidP="00847BFC">
      <w:pPr>
        <w:shd w:val="clear" w:color="auto" w:fill="FFFFFF"/>
        <w:rPr>
          <w:sz w:val="22"/>
          <w:szCs w:val="22"/>
        </w:rPr>
      </w:pPr>
      <w:r w:rsidRPr="00B00FA6">
        <w:rPr>
          <w:b/>
          <w:sz w:val="22"/>
          <w:szCs w:val="22"/>
        </w:rPr>
        <w:t>Result and interpretation</w:t>
      </w:r>
      <w:r w:rsidRPr="00B00FA6">
        <w:rPr>
          <w:sz w:val="22"/>
          <w:szCs w:val="22"/>
        </w:rPr>
        <w:t xml:space="preserve">: </w:t>
      </w:r>
    </w:p>
    <w:p w:rsidR="00847BFC" w:rsidRPr="00B00FA6" w:rsidRDefault="00847BFC" w:rsidP="00847BFC">
      <w:pPr>
        <w:shd w:val="clear" w:color="auto" w:fill="FFFFFF"/>
        <w:rPr>
          <w:sz w:val="22"/>
          <w:szCs w:val="22"/>
        </w:rPr>
      </w:pPr>
      <w:r w:rsidRPr="00B00FA6">
        <w:rPr>
          <w:sz w:val="22"/>
          <w:szCs w:val="22"/>
        </w:rPr>
        <w:t xml:space="preserve">In the subsequent tables under the MABC category, it is evident that those marker assisted tool have supported the integration and expression of gene of interests for traits like yield and drought tolerance.  In each of the sets significance level of better performances have been realized. At this junction this materials are supposed to promote to over location test for subsequent variety release. </w:t>
      </w:r>
      <w:proofErr w:type="gramStart"/>
      <w:r w:rsidRPr="00B00FA6">
        <w:rPr>
          <w:sz w:val="22"/>
          <w:szCs w:val="22"/>
        </w:rPr>
        <w:t>Hence  a</w:t>
      </w:r>
      <w:proofErr w:type="gramEnd"/>
      <w:r w:rsidRPr="00B00FA6">
        <w:rPr>
          <w:sz w:val="22"/>
          <w:szCs w:val="22"/>
        </w:rPr>
        <w:t xml:space="preserve"> total of some 33 better performing selected lines combined from each figure list have been transferred to the national research program for the aforementioned purpose designated as </w:t>
      </w:r>
      <w:r w:rsidRPr="00B00FA6">
        <w:rPr>
          <w:i/>
          <w:sz w:val="22"/>
          <w:szCs w:val="22"/>
        </w:rPr>
        <w:t>'breeding ready'</w:t>
      </w:r>
      <w:r w:rsidRPr="00B00FA6">
        <w:rPr>
          <w:sz w:val="22"/>
          <w:szCs w:val="22"/>
        </w:rPr>
        <w:t xml:space="preserve"> genotypes.</w:t>
      </w:r>
    </w:p>
    <w:p w:rsidR="00847BFC" w:rsidRPr="00B00FA6" w:rsidRDefault="00847BFC" w:rsidP="00847BFC">
      <w:pPr>
        <w:shd w:val="clear" w:color="auto" w:fill="FFFFFF"/>
        <w:rPr>
          <w:sz w:val="22"/>
          <w:szCs w:val="22"/>
        </w:rPr>
      </w:pPr>
    </w:p>
    <w:p w:rsidR="00847BFC" w:rsidRPr="00B00FA6" w:rsidRDefault="00847BFC" w:rsidP="00847BFC">
      <w:pPr>
        <w:shd w:val="clear" w:color="auto" w:fill="FFFFFF"/>
        <w:rPr>
          <w:sz w:val="22"/>
          <w:szCs w:val="22"/>
        </w:rPr>
      </w:pPr>
      <w:r w:rsidRPr="00B00FA6">
        <w:rPr>
          <w:noProof/>
          <w:sz w:val="22"/>
          <w:szCs w:val="22"/>
        </w:rPr>
        <w:drawing>
          <wp:inline distT="0" distB="0" distL="0" distR="0">
            <wp:extent cx="6405245" cy="2174240"/>
            <wp:effectExtent l="0" t="0" r="14605" b="16510"/>
            <wp:docPr id="4" name="Chart 4"/>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4"/>
              </a:graphicData>
            </a:graphic>
          </wp:inline>
        </w:drawing>
      </w:r>
    </w:p>
    <w:p w:rsidR="00847BFC" w:rsidRPr="00B00FA6" w:rsidRDefault="00847BFC" w:rsidP="00847BFC">
      <w:pPr>
        <w:rPr>
          <w:sz w:val="22"/>
          <w:szCs w:val="22"/>
        </w:rPr>
      </w:pPr>
      <w:r w:rsidRPr="00B00FA6">
        <w:rPr>
          <w:sz w:val="22"/>
          <w:szCs w:val="22"/>
        </w:rPr>
        <w:t>Figure1. ICCX-090013-F4-P-284 BP, ICCX-090013-F4-P-276 BP, ICCX-090013-F4-P-265 BP, ICCX-090013-F4-P-177 BP, ICCX-090013-F4-P-248 BP, ICCV-11111</w:t>
      </w:r>
    </w:p>
    <w:p w:rsidR="00847BFC" w:rsidRPr="00B00FA6" w:rsidRDefault="00847BFC" w:rsidP="00847BFC">
      <w:pPr>
        <w:shd w:val="clear" w:color="auto" w:fill="FFFFFF"/>
        <w:rPr>
          <w:sz w:val="22"/>
          <w:szCs w:val="22"/>
        </w:rPr>
      </w:pPr>
      <w:r w:rsidRPr="00B00FA6">
        <w:rPr>
          <w:noProof/>
          <w:sz w:val="22"/>
          <w:szCs w:val="22"/>
        </w:rPr>
        <w:drawing>
          <wp:inline distT="0" distB="0" distL="0" distR="0">
            <wp:extent cx="6445250" cy="1831975"/>
            <wp:effectExtent l="0" t="0" r="12700" b="15875"/>
            <wp:docPr id="3" name="Chart 3"/>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5"/>
              </a:graphicData>
            </a:graphic>
          </wp:inline>
        </w:drawing>
      </w:r>
    </w:p>
    <w:p w:rsidR="00847BFC" w:rsidRPr="00B00FA6" w:rsidRDefault="00847BFC" w:rsidP="00847BFC">
      <w:pPr>
        <w:rPr>
          <w:sz w:val="22"/>
          <w:szCs w:val="22"/>
        </w:rPr>
      </w:pPr>
      <w:r w:rsidRPr="00B00FA6">
        <w:rPr>
          <w:sz w:val="22"/>
          <w:szCs w:val="22"/>
        </w:rPr>
        <w:t>Figure 2:</w:t>
      </w:r>
      <w:r w:rsidRPr="00B00FA6">
        <w:rPr>
          <w:color w:val="000000"/>
          <w:sz w:val="22"/>
          <w:szCs w:val="22"/>
        </w:rPr>
        <w:t xml:space="preserve"> MABC 11, MABC 4, MABC 16, MABC 13, MABC 14, MABC 9, MABC 18, MABC 19, MABC 3, MABC 2</w:t>
      </w:r>
    </w:p>
    <w:p w:rsidR="00847BFC" w:rsidRPr="00B00FA6" w:rsidRDefault="00847BFC" w:rsidP="00847BFC">
      <w:pPr>
        <w:shd w:val="clear" w:color="auto" w:fill="FFFFFF"/>
        <w:rPr>
          <w:sz w:val="22"/>
          <w:szCs w:val="22"/>
        </w:rPr>
      </w:pPr>
    </w:p>
    <w:p w:rsidR="00847BFC" w:rsidRPr="00B00FA6" w:rsidRDefault="00847BFC" w:rsidP="00847BFC">
      <w:pPr>
        <w:shd w:val="clear" w:color="auto" w:fill="FFFFFF"/>
        <w:rPr>
          <w:sz w:val="22"/>
          <w:szCs w:val="22"/>
        </w:rPr>
      </w:pPr>
      <w:r w:rsidRPr="00B00FA6">
        <w:rPr>
          <w:noProof/>
          <w:sz w:val="22"/>
          <w:szCs w:val="22"/>
        </w:rPr>
        <w:drawing>
          <wp:inline distT="0" distB="0" distL="0" distR="0">
            <wp:extent cx="6690995" cy="2212340"/>
            <wp:effectExtent l="0" t="0" r="14605" b="16510"/>
            <wp:docPr id="2" name="Chart 2"/>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inline>
        </w:drawing>
      </w:r>
    </w:p>
    <w:p w:rsidR="00847BFC" w:rsidRPr="00B00FA6" w:rsidRDefault="00847BFC" w:rsidP="00847BFC">
      <w:pPr>
        <w:rPr>
          <w:sz w:val="22"/>
          <w:szCs w:val="22"/>
        </w:rPr>
      </w:pPr>
      <w:r w:rsidRPr="00B00FA6">
        <w:rPr>
          <w:sz w:val="22"/>
          <w:szCs w:val="22"/>
        </w:rPr>
        <w:t>Figure 3: ICCMABCA-27, ICCMABCA-30, ICCMABCA-33, ICCMABCA-35</w:t>
      </w:r>
    </w:p>
    <w:p w:rsidR="00847BFC" w:rsidRPr="00B00FA6" w:rsidRDefault="00847BFC" w:rsidP="00847BFC">
      <w:pPr>
        <w:shd w:val="clear" w:color="auto" w:fill="FFFFFF"/>
        <w:rPr>
          <w:noProof/>
          <w:sz w:val="22"/>
          <w:szCs w:val="22"/>
        </w:rPr>
      </w:pPr>
      <w:r w:rsidRPr="00B00FA6">
        <w:rPr>
          <w:noProof/>
          <w:sz w:val="22"/>
          <w:szCs w:val="22"/>
        </w:rPr>
        <w:drawing>
          <wp:inline distT="0" distB="0" distL="0" distR="0">
            <wp:extent cx="6604000" cy="2067560"/>
            <wp:effectExtent l="0" t="0" r="6350" b="8890"/>
            <wp:docPr id="1" name="Chart 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rsidR="00847BFC" w:rsidRPr="00B00FA6" w:rsidRDefault="00847BFC" w:rsidP="00847BFC">
      <w:pPr>
        <w:rPr>
          <w:sz w:val="22"/>
          <w:szCs w:val="22"/>
        </w:rPr>
      </w:pPr>
      <w:r w:rsidRPr="00B00FA6">
        <w:rPr>
          <w:noProof/>
          <w:sz w:val="22"/>
          <w:szCs w:val="22"/>
        </w:rPr>
        <w:t>Figure 4:</w:t>
      </w:r>
      <w:r w:rsidRPr="00B00FA6">
        <w:rPr>
          <w:sz w:val="22"/>
          <w:szCs w:val="22"/>
        </w:rPr>
        <w:t xml:space="preserve"> </w:t>
      </w:r>
      <w:r w:rsidRPr="00B00FA6">
        <w:rPr>
          <w:color w:val="000000"/>
          <w:sz w:val="22"/>
          <w:szCs w:val="22"/>
        </w:rPr>
        <w:t>ICCMABCD-6</w:t>
      </w:r>
      <w:proofErr w:type="gramStart"/>
      <w:r w:rsidRPr="00B00FA6">
        <w:rPr>
          <w:color w:val="000000"/>
          <w:sz w:val="22"/>
          <w:szCs w:val="22"/>
        </w:rPr>
        <w:t>,ICCMABCD</w:t>
      </w:r>
      <w:proofErr w:type="gramEnd"/>
      <w:r w:rsidRPr="00B00FA6">
        <w:rPr>
          <w:color w:val="000000"/>
          <w:sz w:val="22"/>
          <w:szCs w:val="22"/>
        </w:rPr>
        <w:t>-19,ICCMABCD-16,ICCMABCD-7,ICCMABCD-9,ICCMABCD-18, ICCMABCD-24, ICCMABCD-14, ICCMABCD-5, ICCMABCD-23, ICCMABCD-21, ICCMABCD-11, ICCV-10</w:t>
      </w:r>
    </w:p>
    <w:p w:rsidR="00847BFC" w:rsidRPr="00B00FA6" w:rsidRDefault="00847BFC" w:rsidP="00847BFC">
      <w:pPr>
        <w:shd w:val="clear" w:color="auto" w:fill="FFFFFF"/>
        <w:rPr>
          <w:sz w:val="22"/>
          <w:szCs w:val="22"/>
        </w:rPr>
      </w:pPr>
      <w:r w:rsidRPr="00B00FA6">
        <w:rPr>
          <w:sz w:val="22"/>
          <w:szCs w:val="22"/>
        </w:rPr>
        <w:t xml:space="preserve"> </w:t>
      </w:r>
    </w:p>
    <w:p w:rsidR="00847BFC" w:rsidRPr="00B00FA6" w:rsidRDefault="00847BFC" w:rsidP="00847BFC">
      <w:pPr>
        <w:shd w:val="clear" w:color="auto" w:fill="FFFFFF"/>
        <w:rPr>
          <w:sz w:val="22"/>
          <w:szCs w:val="22"/>
        </w:rPr>
      </w:pPr>
      <w:r w:rsidRPr="00B00FA6">
        <w:rPr>
          <w:sz w:val="22"/>
          <w:szCs w:val="22"/>
        </w:rPr>
        <w:t>In over all the yield level ranked best have surpassed 2.5t/ha. This would be verified under yield by management over location test where some of them could still gain more than three tones based on the environment and management responses.</w:t>
      </w:r>
    </w:p>
    <w:p w:rsidR="00847BFC" w:rsidRPr="00B00FA6" w:rsidRDefault="00847BFC" w:rsidP="00847BFC">
      <w:pPr>
        <w:shd w:val="clear" w:color="auto" w:fill="FFFFFF"/>
        <w:jc w:val="both"/>
        <w:rPr>
          <w:sz w:val="22"/>
          <w:szCs w:val="22"/>
        </w:rPr>
      </w:pPr>
      <w:r w:rsidRPr="00B00FA6">
        <w:rPr>
          <w:b/>
          <w:sz w:val="22"/>
          <w:szCs w:val="22"/>
        </w:rPr>
        <w:t>Next step</w:t>
      </w:r>
      <w:r w:rsidRPr="00B00FA6">
        <w:rPr>
          <w:sz w:val="22"/>
          <w:szCs w:val="22"/>
        </w:rPr>
        <w:t xml:space="preserve">: As part of the germplasm enhancement program support to the NARS, those MABC lines are opportunities in the germplasm pool of the national program. They improve the likely hood of getting super performing lines that can go for variety release either from its yield gain or other quality attributes or both combined. In the coming 2-3 years we are expecting the variety verification trial among these pools. Apart from this the partnership will get strengthened far </w:t>
      </w:r>
      <w:proofErr w:type="gramStart"/>
      <w:r w:rsidRPr="00B00FA6">
        <w:rPr>
          <w:sz w:val="22"/>
          <w:szCs w:val="22"/>
        </w:rPr>
        <w:t>more stronger</w:t>
      </w:r>
      <w:proofErr w:type="gramEnd"/>
      <w:r w:rsidRPr="00B00FA6">
        <w:rPr>
          <w:sz w:val="22"/>
          <w:szCs w:val="22"/>
        </w:rPr>
        <w:t xml:space="preserve"> having those innovative breeding materials mainstreaming into the system productivity.</w:t>
      </w:r>
    </w:p>
    <w:p w:rsidR="00847BFC" w:rsidRPr="00B00FA6" w:rsidRDefault="00847BFC" w:rsidP="00847BFC">
      <w:pPr>
        <w:shd w:val="clear" w:color="auto" w:fill="FFFFFF"/>
        <w:jc w:val="both"/>
        <w:rPr>
          <w:sz w:val="22"/>
          <w:szCs w:val="22"/>
        </w:rPr>
      </w:pPr>
    </w:p>
    <w:p w:rsidR="00847BFC" w:rsidRPr="00B00FA6" w:rsidRDefault="00847BFC" w:rsidP="00847BFC">
      <w:pPr>
        <w:shd w:val="clear" w:color="auto" w:fill="FFFFFF"/>
        <w:jc w:val="both"/>
        <w:rPr>
          <w:sz w:val="22"/>
          <w:szCs w:val="22"/>
        </w:rPr>
      </w:pPr>
      <w:r w:rsidRPr="00B00FA6">
        <w:rPr>
          <w:sz w:val="22"/>
          <w:szCs w:val="22"/>
        </w:rPr>
        <w:t xml:space="preserve">On the other hand, in view of realizing the genetic gain, we are embarking on maximizing the number of crosses, and </w:t>
      </w:r>
      <w:proofErr w:type="gramStart"/>
      <w:r w:rsidRPr="00B00FA6">
        <w:rPr>
          <w:sz w:val="22"/>
          <w:szCs w:val="22"/>
        </w:rPr>
        <w:t>subsequent  population</w:t>
      </w:r>
      <w:proofErr w:type="gramEnd"/>
      <w:r w:rsidRPr="00B00FA6">
        <w:rPr>
          <w:sz w:val="22"/>
          <w:szCs w:val="22"/>
        </w:rPr>
        <w:t xml:space="preserve"> enhancement. As such crossing </w:t>
      </w:r>
      <w:proofErr w:type="gramStart"/>
      <w:r w:rsidRPr="00B00FA6">
        <w:rPr>
          <w:sz w:val="22"/>
          <w:szCs w:val="22"/>
        </w:rPr>
        <w:t>between 50-100 per annum</w:t>
      </w:r>
      <w:proofErr w:type="gramEnd"/>
      <w:r w:rsidRPr="00B00FA6">
        <w:rPr>
          <w:sz w:val="22"/>
          <w:szCs w:val="22"/>
        </w:rPr>
        <w:t xml:space="preserve"> is the set goal. At the same time marker assisted breeding, BMS and other digital scheme would be mainstreamed as part of the routine activities.</w:t>
      </w:r>
    </w:p>
    <w:p w:rsidR="0083777E" w:rsidRDefault="0083777E"/>
    <w:sectPr w:rsidR="0083777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95821"/>
    <w:rsid w:val="0083777E"/>
    <w:rsid w:val="00847BFC"/>
    <w:rsid w:val="00C9582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77F1063-67DB-4569-A4FA-BD405C38A0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47BFC"/>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chart" Target="charts/chart4.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chart" Target="charts/chart3.xml"/><Relationship Id="rId5" Type="http://schemas.openxmlformats.org/officeDocument/2006/relationships/chart" Target="charts/chart2.xml"/><Relationship Id="rId4" Type="http://schemas.openxmlformats.org/officeDocument/2006/relationships/chart" Target="charts/chart1.xml"/><Relationship Id="rId9" Type="http://schemas.openxmlformats.org/officeDocument/2006/relationships/theme" Target="theme/theme1.xml"/></Relationships>
</file>

<file path=word/charts/_rels/chart1.xml.rels><?xml version="1.0" encoding="UTF-8" standalone="yes"?>
<Relationships xmlns="http://schemas.openxmlformats.org/package/2006/relationships"><Relationship Id="rId2" Type="http://schemas.openxmlformats.org/officeDocument/2006/relationships/chartUserShapes" Target="../drawings/drawing1.xml"/><Relationship Id="rId1" Type="http://schemas.openxmlformats.org/officeDocument/2006/relationships/oleObject" Target="Book1"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_rels/chart4.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en-US"/>
  <c:roundedCorners val="1"/>
  <c:style val="2"/>
  <c:chart>
    <c:autoTitleDeleted val="1"/>
    <c:plotArea>
      <c:layout/>
      <c:barChart>
        <c:barDir val="col"/>
        <c:grouping val="clustered"/>
        <c:varyColors val="1"/>
        <c:ser>
          <c:idx val="0"/>
          <c:order val="0"/>
          <c:invertIfNegative val="1"/>
          <c:cat>
            <c:strRef>
              <c:f>Sheet1!$B$5:$B$21</c:f>
              <c:strCache>
                <c:ptCount val="17"/>
                <c:pt idx="0">
                  <c:v> </c:v>
                </c:pt>
                <c:pt idx="1">
                  <c:v>ICCX-090013-F4-P-107 BP</c:v>
                </c:pt>
                <c:pt idx="2">
                  <c:v>ICCX-090013-F4-P-163 BP</c:v>
                </c:pt>
                <c:pt idx="3">
                  <c:v>ICCX-090013-F4 P-223 BP</c:v>
                </c:pt>
                <c:pt idx="4">
                  <c:v>ICCX-090013-F4-P-284 BP</c:v>
                </c:pt>
                <c:pt idx="5">
                  <c:v>ICCX-090013-F4-P-242 BP</c:v>
                </c:pt>
                <c:pt idx="6">
                  <c:v>ICCX- 090013-F4-P-173 BP</c:v>
                </c:pt>
                <c:pt idx="7">
                  <c:v>ICCX-090013-F4-P-276 BP</c:v>
                </c:pt>
                <c:pt idx="8">
                  <c:v>ICCX-090013-F4-P-265 BP</c:v>
                </c:pt>
                <c:pt idx="9">
                  <c:v>ICCX-090013-F4-P-103 BP</c:v>
                </c:pt>
                <c:pt idx="10">
                  <c:v>ICCX-090013-F4-P-105 BP</c:v>
                </c:pt>
                <c:pt idx="11">
                  <c:v>ICCX-090013-F4-P-177 BP</c:v>
                </c:pt>
                <c:pt idx="12">
                  <c:v>ICCX-090013-F4-P-248 BP</c:v>
                </c:pt>
                <c:pt idx="13">
                  <c:v>ICCV-11111</c:v>
                </c:pt>
                <c:pt idx="14">
                  <c:v>ICCV-11108</c:v>
                </c:pt>
                <c:pt idx="15">
                  <c:v>NATOLI</c:v>
                </c:pt>
                <c:pt idx="16">
                  <c:v>LOCAL CHECK</c:v>
                </c:pt>
              </c:strCache>
            </c:strRef>
          </c:cat>
          <c:val>
            <c:numRef>
              <c:f>Sheet1!$C$5:$C$21</c:f>
              <c:numCache>
                <c:formatCode>General</c:formatCode>
                <c:ptCount val="17"/>
                <c:pt idx="1">
                  <c:v>1752</c:v>
                </c:pt>
                <c:pt idx="2">
                  <c:v>1883</c:v>
                </c:pt>
                <c:pt idx="3">
                  <c:v>1727</c:v>
                </c:pt>
                <c:pt idx="4">
                  <c:v>2258</c:v>
                </c:pt>
                <c:pt idx="5">
                  <c:v>1967</c:v>
                </c:pt>
                <c:pt idx="6">
                  <c:v>1245</c:v>
                </c:pt>
                <c:pt idx="7">
                  <c:v>2020</c:v>
                </c:pt>
                <c:pt idx="8">
                  <c:v>1997</c:v>
                </c:pt>
                <c:pt idx="9">
                  <c:v>1786</c:v>
                </c:pt>
                <c:pt idx="10">
                  <c:v>1697</c:v>
                </c:pt>
                <c:pt idx="11">
                  <c:v>2069</c:v>
                </c:pt>
                <c:pt idx="12">
                  <c:v>2026</c:v>
                </c:pt>
                <c:pt idx="13">
                  <c:v>2012</c:v>
                </c:pt>
                <c:pt idx="14">
                  <c:v>1758</c:v>
                </c:pt>
                <c:pt idx="15">
                  <c:v>2651</c:v>
                </c:pt>
                <c:pt idx="16">
                  <c:v>1555</c:v>
                </c:pt>
              </c:numCache>
            </c:numRef>
          </c:val>
        </c:ser>
        <c:dLbls>
          <c:showLegendKey val="0"/>
          <c:showVal val="0"/>
          <c:showCatName val="0"/>
          <c:showSerName val="0"/>
          <c:showPercent val="0"/>
          <c:showBubbleSize val="0"/>
        </c:dLbls>
        <c:gapWidth val="150"/>
        <c:axId val="302205872"/>
        <c:axId val="302206432"/>
      </c:barChart>
      <c:catAx>
        <c:axId val="302205872"/>
        <c:scaling>
          <c:orientation val="minMax"/>
        </c:scaling>
        <c:delete val="1"/>
        <c:axPos val="b"/>
        <c:numFmt formatCode="General" sourceLinked="0"/>
        <c:majorTickMark val="cross"/>
        <c:minorTickMark val="cross"/>
        <c:tickLblPos val="nextTo"/>
        <c:crossAx val="302206432"/>
        <c:crosses val="autoZero"/>
        <c:auto val="1"/>
        <c:lblAlgn val="ctr"/>
        <c:lblOffset val="100"/>
        <c:noMultiLvlLbl val="1"/>
      </c:catAx>
      <c:valAx>
        <c:axId val="302206432"/>
        <c:scaling>
          <c:orientation val="minMax"/>
        </c:scaling>
        <c:delete val="1"/>
        <c:axPos val="l"/>
        <c:majorGridlines/>
        <c:numFmt formatCode="General" sourceLinked="1"/>
        <c:majorTickMark val="cross"/>
        <c:minorTickMark val="cross"/>
        <c:tickLblPos val="nextTo"/>
        <c:crossAx val="302205872"/>
        <c:crosses val="autoZero"/>
        <c:crossBetween val="between"/>
      </c:valAx>
    </c:plotArea>
    <c:plotVisOnly val="1"/>
    <c:dispBlanksAs val="zero"/>
    <c:showDLblsOverMax val="1"/>
  </c:chart>
  <c:externalData r:id="rId1">
    <c:autoUpdate val="1"/>
  </c:externalData>
  <c:userShapes r:id="rId2"/>
</c:chartSpace>
</file>

<file path=word/charts/chart2.xml><?xml version="1.0" encoding="utf-8"?>
<c:chartSpace xmlns:c="http://schemas.openxmlformats.org/drawingml/2006/chart" xmlns:a="http://schemas.openxmlformats.org/drawingml/2006/main" xmlns:r="http://schemas.openxmlformats.org/officeDocument/2006/relationships">
  <c:date1904 val="1"/>
  <c:lang val="en-US"/>
  <c:roundedCorners val="1"/>
  <c:style val="2"/>
  <c:chart>
    <c:title>
      <c:tx>
        <c:rich>
          <a:bodyPr/>
          <a:lstStyle/>
          <a:p>
            <a:pPr>
              <a:defRPr sz="1100"/>
            </a:pPr>
            <a:r>
              <a:rPr lang="en-US" sz="1100"/>
              <a:t>Mean yield /kg/ha/ of MABC F^-new set  trials 2014 main season, 2015 main and off season </a:t>
            </a:r>
          </a:p>
        </c:rich>
      </c:tx>
      <c:overlay val="1"/>
    </c:title>
    <c:autoTitleDeleted val="0"/>
    <c:plotArea>
      <c:layout/>
      <c:barChart>
        <c:barDir val="col"/>
        <c:grouping val="clustered"/>
        <c:varyColors val="1"/>
        <c:ser>
          <c:idx val="0"/>
          <c:order val="0"/>
          <c:tx>
            <c:strRef>
              <c:f>Sheet2!$B$2</c:f>
              <c:strCache>
                <c:ptCount val="1"/>
                <c:pt idx="0">
                  <c:v>OVER ALL MEAN</c:v>
                </c:pt>
              </c:strCache>
            </c:strRef>
          </c:tx>
          <c:invertIfNegative val="1"/>
          <c:cat>
            <c:strRef>
              <c:f>Sheet2!$A$3:$A$20</c:f>
              <c:strCache>
                <c:ptCount val="18"/>
                <c:pt idx="0">
                  <c:v>MABC 11</c:v>
                </c:pt>
                <c:pt idx="1">
                  <c:v>MABC 4</c:v>
                </c:pt>
                <c:pt idx="2">
                  <c:v>MABC 16</c:v>
                </c:pt>
                <c:pt idx="3">
                  <c:v>MABC 13</c:v>
                </c:pt>
                <c:pt idx="4">
                  <c:v>MABC 14</c:v>
                </c:pt>
                <c:pt idx="5">
                  <c:v>MABC 10</c:v>
                </c:pt>
                <c:pt idx="6">
                  <c:v>ICCV-939554</c:v>
                </c:pt>
                <c:pt idx="7">
                  <c:v>ICCV- 4958</c:v>
                </c:pt>
                <c:pt idx="8">
                  <c:v>MABC 9</c:v>
                </c:pt>
                <c:pt idx="9">
                  <c:v>MABC 7</c:v>
                </c:pt>
                <c:pt idx="10">
                  <c:v>MABC 6</c:v>
                </c:pt>
                <c:pt idx="11">
                  <c:v>MABC 18</c:v>
                </c:pt>
                <c:pt idx="12">
                  <c:v>MABC 19</c:v>
                </c:pt>
                <c:pt idx="13">
                  <c:v>MABC 3</c:v>
                </c:pt>
                <c:pt idx="14">
                  <c:v>MABC 2</c:v>
                </c:pt>
                <c:pt idx="15">
                  <c:v>MABC 22</c:v>
                </c:pt>
                <c:pt idx="16">
                  <c:v>NATOLI</c:v>
                </c:pt>
                <c:pt idx="17">
                  <c:v>DALOTA</c:v>
                </c:pt>
              </c:strCache>
            </c:strRef>
          </c:cat>
          <c:val>
            <c:numRef>
              <c:f>Sheet2!$B$3:$B$20</c:f>
              <c:numCache>
                <c:formatCode>General</c:formatCode>
                <c:ptCount val="18"/>
                <c:pt idx="0">
                  <c:v>2220.4</c:v>
                </c:pt>
                <c:pt idx="1">
                  <c:v>2356.5</c:v>
                </c:pt>
                <c:pt idx="2">
                  <c:v>2109.1999999999998</c:v>
                </c:pt>
                <c:pt idx="3">
                  <c:v>2624.6</c:v>
                </c:pt>
                <c:pt idx="4">
                  <c:v>2204.3000000000002</c:v>
                </c:pt>
                <c:pt idx="5">
                  <c:v>1918.5</c:v>
                </c:pt>
                <c:pt idx="6">
                  <c:v>1889.6</c:v>
                </c:pt>
                <c:pt idx="7">
                  <c:v>1795</c:v>
                </c:pt>
                <c:pt idx="8">
                  <c:v>2131.9</c:v>
                </c:pt>
                <c:pt idx="9">
                  <c:v>1942.3</c:v>
                </c:pt>
                <c:pt idx="10">
                  <c:v>1885</c:v>
                </c:pt>
                <c:pt idx="11">
                  <c:v>2231.8000000000002</c:v>
                </c:pt>
                <c:pt idx="12">
                  <c:v>2612</c:v>
                </c:pt>
                <c:pt idx="13">
                  <c:v>2171.3000000000002</c:v>
                </c:pt>
                <c:pt idx="14">
                  <c:v>2307.1</c:v>
                </c:pt>
                <c:pt idx="15">
                  <c:v>1769.5</c:v>
                </c:pt>
                <c:pt idx="16">
                  <c:v>2461.6999999999998</c:v>
                </c:pt>
                <c:pt idx="17">
                  <c:v>2018.8</c:v>
                </c:pt>
              </c:numCache>
            </c:numRef>
          </c:val>
        </c:ser>
        <c:dLbls>
          <c:showLegendKey val="0"/>
          <c:showVal val="0"/>
          <c:showCatName val="0"/>
          <c:showSerName val="0"/>
          <c:showPercent val="0"/>
          <c:showBubbleSize val="0"/>
        </c:dLbls>
        <c:gapWidth val="150"/>
        <c:axId val="302208672"/>
        <c:axId val="302209232"/>
      </c:barChart>
      <c:catAx>
        <c:axId val="302208672"/>
        <c:scaling>
          <c:orientation val="minMax"/>
        </c:scaling>
        <c:delete val="1"/>
        <c:axPos val="b"/>
        <c:numFmt formatCode="General" sourceLinked="0"/>
        <c:majorTickMark val="cross"/>
        <c:minorTickMark val="cross"/>
        <c:tickLblPos val="nextTo"/>
        <c:crossAx val="302209232"/>
        <c:crosses val="autoZero"/>
        <c:auto val="1"/>
        <c:lblAlgn val="ctr"/>
        <c:lblOffset val="100"/>
        <c:noMultiLvlLbl val="1"/>
      </c:catAx>
      <c:valAx>
        <c:axId val="302209232"/>
        <c:scaling>
          <c:orientation val="minMax"/>
        </c:scaling>
        <c:delete val="1"/>
        <c:axPos val="l"/>
        <c:majorGridlines/>
        <c:numFmt formatCode="General" sourceLinked="1"/>
        <c:majorTickMark val="cross"/>
        <c:minorTickMark val="cross"/>
        <c:tickLblPos val="nextTo"/>
        <c:crossAx val="302208672"/>
        <c:crosses val="autoZero"/>
        <c:crossBetween val="between"/>
      </c:valAx>
    </c:plotArea>
    <c:plotVisOnly val="1"/>
    <c:dispBlanksAs val="zero"/>
    <c:showDLblsOverMax val="1"/>
  </c:chart>
  <c:externalData r:id="rId1">
    <c:autoUpdate val="1"/>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1"/>
  <c:lang val="en-US"/>
  <c:roundedCorners val="1"/>
  <c:style val="2"/>
  <c:chart>
    <c:title>
      <c:tx>
        <c:rich>
          <a:bodyPr/>
          <a:lstStyle/>
          <a:p>
            <a:pPr>
              <a:defRPr sz="1050"/>
            </a:pPr>
            <a:r>
              <a:rPr lang="en-US" sz="1050"/>
              <a:t>Mean</a:t>
            </a:r>
            <a:r>
              <a:rPr lang="en-US" sz="1050" baseline="0"/>
              <a:t> grain yield /kg/ha/ of MABC desi 2,yield trial 2014 and 2015 main seasons</a:t>
            </a:r>
            <a:endParaRPr lang="en-US" sz="1050"/>
          </a:p>
        </c:rich>
      </c:tx>
      <c:overlay val="1"/>
    </c:title>
    <c:autoTitleDeleted val="0"/>
    <c:plotArea>
      <c:layout/>
      <c:barChart>
        <c:barDir val="col"/>
        <c:grouping val="clustered"/>
        <c:varyColors val="1"/>
        <c:ser>
          <c:idx val="0"/>
          <c:order val="0"/>
          <c:tx>
            <c:strRef>
              <c:f>Sheet3!$B$1</c:f>
              <c:strCache>
                <c:ptCount val="1"/>
                <c:pt idx="0">
                  <c:v>OVER ALL MEAN</c:v>
                </c:pt>
              </c:strCache>
            </c:strRef>
          </c:tx>
          <c:invertIfNegative val="1"/>
          <c:cat>
            <c:strRef>
              <c:f>Sheet3!$A$2:$A$23</c:f>
              <c:strCache>
                <c:ptCount val="22"/>
                <c:pt idx="0">
                  <c:v>ICCMABCA-23</c:v>
                </c:pt>
                <c:pt idx="1">
                  <c:v>ICCMABCA-24</c:v>
                </c:pt>
                <c:pt idx="2">
                  <c:v>ICCMABCA-25</c:v>
                </c:pt>
                <c:pt idx="3">
                  <c:v>ICCMABCA-26</c:v>
                </c:pt>
                <c:pt idx="4">
                  <c:v>ICCMABCA-27</c:v>
                </c:pt>
                <c:pt idx="5">
                  <c:v>ICCMABCA-28</c:v>
                </c:pt>
                <c:pt idx="6">
                  <c:v>ICCMABCA-30</c:v>
                </c:pt>
                <c:pt idx="7">
                  <c:v>ICCMABCA-31</c:v>
                </c:pt>
                <c:pt idx="8">
                  <c:v>ICCMABCA-33</c:v>
                </c:pt>
                <c:pt idx="9">
                  <c:v>ICCMABCA-34</c:v>
                </c:pt>
                <c:pt idx="10">
                  <c:v>ICCMABCA-35</c:v>
                </c:pt>
                <c:pt idx="11">
                  <c:v>ICCMABCA-36</c:v>
                </c:pt>
                <c:pt idx="12">
                  <c:v>ICCMABCA-37</c:v>
                </c:pt>
                <c:pt idx="13">
                  <c:v>ICCMABCA-39</c:v>
                </c:pt>
                <c:pt idx="14">
                  <c:v>ICCMABCA-40</c:v>
                </c:pt>
                <c:pt idx="15">
                  <c:v>ICCMABCA-41</c:v>
                </c:pt>
                <c:pt idx="16">
                  <c:v>ICCMABCA-42</c:v>
                </c:pt>
                <c:pt idx="17">
                  <c:v>ICCMABCA-43</c:v>
                </c:pt>
                <c:pt idx="18">
                  <c:v>ICCV-93954</c:v>
                </c:pt>
                <c:pt idx="19">
                  <c:v>ICC-4958</c:v>
                </c:pt>
                <c:pt idx="20">
                  <c:v>Natoli</c:v>
                </c:pt>
                <c:pt idx="21">
                  <c:v>Dalota</c:v>
                </c:pt>
              </c:strCache>
            </c:strRef>
          </c:cat>
          <c:val>
            <c:numRef>
              <c:f>Sheet3!$B$2:$B$23</c:f>
              <c:numCache>
                <c:formatCode>General</c:formatCode>
                <c:ptCount val="22"/>
                <c:pt idx="0">
                  <c:v>1885.93</c:v>
                </c:pt>
                <c:pt idx="1">
                  <c:v>1724.06</c:v>
                </c:pt>
                <c:pt idx="2">
                  <c:v>1780.02</c:v>
                </c:pt>
                <c:pt idx="3">
                  <c:v>1862.11</c:v>
                </c:pt>
                <c:pt idx="4">
                  <c:v>1979.38</c:v>
                </c:pt>
                <c:pt idx="5">
                  <c:v>1850.7</c:v>
                </c:pt>
                <c:pt idx="6">
                  <c:v>1996.13</c:v>
                </c:pt>
                <c:pt idx="7">
                  <c:v>1768.06</c:v>
                </c:pt>
                <c:pt idx="8">
                  <c:v>2031.95</c:v>
                </c:pt>
                <c:pt idx="9">
                  <c:v>1672.49</c:v>
                </c:pt>
                <c:pt idx="10">
                  <c:v>1919.26</c:v>
                </c:pt>
                <c:pt idx="11">
                  <c:v>1862.23</c:v>
                </c:pt>
                <c:pt idx="12">
                  <c:v>1369.86</c:v>
                </c:pt>
                <c:pt idx="13">
                  <c:v>1708.12</c:v>
                </c:pt>
                <c:pt idx="14">
                  <c:v>1642.37</c:v>
                </c:pt>
                <c:pt idx="15">
                  <c:v>1670.75</c:v>
                </c:pt>
                <c:pt idx="16">
                  <c:v>1649.99</c:v>
                </c:pt>
                <c:pt idx="17">
                  <c:v>1832.87</c:v>
                </c:pt>
                <c:pt idx="18">
                  <c:v>1414.74</c:v>
                </c:pt>
                <c:pt idx="19">
                  <c:v>1722.86</c:v>
                </c:pt>
                <c:pt idx="20">
                  <c:v>1257</c:v>
                </c:pt>
                <c:pt idx="21">
                  <c:v>1087.5</c:v>
                </c:pt>
              </c:numCache>
            </c:numRef>
          </c:val>
        </c:ser>
        <c:dLbls>
          <c:showLegendKey val="0"/>
          <c:showVal val="0"/>
          <c:showCatName val="0"/>
          <c:showSerName val="0"/>
          <c:showPercent val="0"/>
          <c:showBubbleSize val="0"/>
        </c:dLbls>
        <c:gapWidth val="150"/>
        <c:axId val="238321776"/>
        <c:axId val="238322336"/>
      </c:barChart>
      <c:catAx>
        <c:axId val="238321776"/>
        <c:scaling>
          <c:orientation val="minMax"/>
        </c:scaling>
        <c:delete val="1"/>
        <c:axPos val="b"/>
        <c:numFmt formatCode="General" sourceLinked="0"/>
        <c:majorTickMark val="cross"/>
        <c:minorTickMark val="cross"/>
        <c:tickLblPos val="nextTo"/>
        <c:crossAx val="238322336"/>
        <c:crosses val="autoZero"/>
        <c:auto val="1"/>
        <c:lblAlgn val="ctr"/>
        <c:lblOffset val="100"/>
        <c:noMultiLvlLbl val="1"/>
      </c:catAx>
      <c:valAx>
        <c:axId val="238322336"/>
        <c:scaling>
          <c:orientation val="minMax"/>
        </c:scaling>
        <c:delete val="1"/>
        <c:axPos val="l"/>
        <c:majorGridlines/>
        <c:numFmt formatCode="General" sourceLinked="1"/>
        <c:majorTickMark val="cross"/>
        <c:minorTickMark val="cross"/>
        <c:tickLblPos val="nextTo"/>
        <c:crossAx val="238321776"/>
        <c:crosses val="autoZero"/>
        <c:crossBetween val="between"/>
      </c:valAx>
    </c:plotArea>
    <c:plotVisOnly val="1"/>
    <c:dispBlanksAs val="zero"/>
    <c:showDLblsOverMax val="1"/>
  </c:chart>
  <c:externalData r:id="rId1">
    <c:autoUpdate val="1"/>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1"/>
  <c:lang val="en-US"/>
  <c:roundedCorners val="1"/>
  <c:style val="2"/>
  <c:chart>
    <c:title>
      <c:tx>
        <c:rich>
          <a:bodyPr/>
          <a:lstStyle/>
          <a:p>
            <a:pPr>
              <a:defRPr sz="1100"/>
            </a:pPr>
            <a:r>
              <a:rPr lang="en-US" sz="1100"/>
              <a:t>Mean grain yield /kg/ha/ of MABC-desi set 2 trial, 2014</a:t>
            </a:r>
            <a:r>
              <a:rPr lang="en-US" sz="1100" baseline="0"/>
              <a:t> Main Season, 2015 Offseason</a:t>
            </a:r>
            <a:endParaRPr lang="en-US" sz="1100"/>
          </a:p>
        </c:rich>
      </c:tx>
      <c:overlay val="1"/>
    </c:title>
    <c:autoTitleDeleted val="0"/>
    <c:plotArea>
      <c:layout/>
      <c:barChart>
        <c:barDir val="col"/>
        <c:grouping val="clustered"/>
        <c:varyColors val="1"/>
        <c:ser>
          <c:idx val="0"/>
          <c:order val="0"/>
          <c:tx>
            <c:strRef>
              <c:f>Sheet4!$B$1</c:f>
              <c:strCache>
                <c:ptCount val="1"/>
                <c:pt idx="0">
                  <c:v>OVER ALL MEAN</c:v>
                </c:pt>
              </c:strCache>
            </c:strRef>
          </c:tx>
          <c:invertIfNegative val="1"/>
          <c:cat>
            <c:strRef>
              <c:f>Sheet4!$A$2:$A$25</c:f>
              <c:strCache>
                <c:ptCount val="24"/>
                <c:pt idx="0">
                  <c:v>ICCMABCD-6</c:v>
                </c:pt>
                <c:pt idx="1">
                  <c:v>ICCMABCD-19</c:v>
                </c:pt>
                <c:pt idx="2">
                  <c:v>ICCMABCD-16</c:v>
                </c:pt>
                <c:pt idx="3">
                  <c:v>ICCMABCD-20</c:v>
                </c:pt>
                <c:pt idx="4">
                  <c:v>ICCMABCD-13</c:v>
                </c:pt>
                <c:pt idx="5">
                  <c:v>ICCMABCD-2</c:v>
                </c:pt>
                <c:pt idx="6">
                  <c:v>ICCMABCD-7</c:v>
                </c:pt>
                <c:pt idx="7">
                  <c:v>ICCMABCD-4</c:v>
                </c:pt>
                <c:pt idx="8">
                  <c:v>ICCMABCD-15</c:v>
                </c:pt>
                <c:pt idx="9">
                  <c:v>ICCMABCD-9</c:v>
                </c:pt>
                <c:pt idx="10">
                  <c:v>ICCMABCD-18</c:v>
                </c:pt>
                <c:pt idx="11">
                  <c:v>ICCMABCD-12</c:v>
                </c:pt>
                <c:pt idx="12">
                  <c:v>ICC-4958</c:v>
                </c:pt>
                <c:pt idx="13">
                  <c:v>ICCMABCD-1</c:v>
                </c:pt>
                <c:pt idx="14">
                  <c:v>ICCMABCD-24</c:v>
                </c:pt>
                <c:pt idx="15">
                  <c:v>ICCMABCD-8</c:v>
                </c:pt>
                <c:pt idx="16">
                  <c:v>ICCMABCD-14</c:v>
                </c:pt>
                <c:pt idx="17">
                  <c:v>ICCMABCD-5</c:v>
                </c:pt>
                <c:pt idx="18">
                  <c:v>ICCMABCD-23</c:v>
                </c:pt>
                <c:pt idx="19">
                  <c:v>ICCMABCD-21</c:v>
                </c:pt>
                <c:pt idx="20">
                  <c:v>ICCMABCD-11</c:v>
                </c:pt>
                <c:pt idx="21">
                  <c:v>ICCV-10</c:v>
                </c:pt>
                <c:pt idx="22">
                  <c:v>NATOLI</c:v>
                </c:pt>
                <c:pt idx="23">
                  <c:v>DALOTA</c:v>
                </c:pt>
              </c:strCache>
            </c:strRef>
          </c:cat>
          <c:val>
            <c:numRef>
              <c:f>Sheet4!$B$2:$B$25</c:f>
              <c:numCache>
                <c:formatCode>General</c:formatCode>
                <c:ptCount val="24"/>
                <c:pt idx="0">
                  <c:v>2647.4</c:v>
                </c:pt>
                <c:pt idx="1">
                  <c:v>2745.4</c:v>
                </c:pt>
                <c:pt idx="2">
                  <c:v>2874.1</c:v>
                </c:pt>
                <c:pt idx="3">
                  <c:v>1774.1</c:v>
                </c:pt>
                <c:pt idx="4">
                  <c:v>1785.2</c:v>
                </c:pt>
                <c:pt idx="5">
                  <c:v>1592.6</c:v>
                </c:pt>
                <c:pt idx="6">
                  <c:v>2406.6</c:v>
                </c:pt>
                <c:pt idx="7">
                  <c:v>1802.8</c:v>
                </c:pt>
                <c:pt idx="8">
                  <c:v>1453.2</c:v>
                </c:pt>
                <c:pt idx="9">
                  <c:v>2047.7</c:v>
                </c:pt>
                <c:pt idx="10">
                  <c:v>2822</c:v>
                </c:pt>
                <c:pt idx="11">
                  <c:v>1557.3</c:v>
                </c:pt>
                <c:pt idx="12">
                  <c:v>1544</c:v>
                </c:pt>
                <c:pt idx="13">
                  <c:v>1468</c:v>
                </c:pt>
                <c:pt idx="14">
                  <c:v>2041</c:v>
                </c:pt>
                <c:pt idx="15">
                  <c:v>1972.8</c:v>
                </c:pt>
                <c:pt idx="16">
                  <c:v>2215.4</c:v>
                </c:pt>
                <c:pt idx="17">
                  <c:v>2014</c:v>
                </c:pt>
                <c:pt idx="18">
                  <c:v>2226.3000000000002</c:v>
                </c:pt>
                <c:pt idx="19">
                  <c:v>2615.1</c:v>
                </c:pt>
                <c:pt idx="20">
                  <c:v>2586</c:v>
                </c:pt>
                <c:pt idx="21">
                  <c:v>2105.6999999999998</c:v>
                </c:pt>
                <c:pt idx="22">
                  <c:v>2108.3000000000002</c:v>
                </c:pt>
                <c:pt idx="23">
                  <c:v>783.3</c:v>
                </c:pt>
              </c:numCache>
            </c:numRef>
          </c:val>
        </c:ser>
        <c:dLbls>
          <c:showLegendKey val="0"/>
          <c:showVal val="0"/>
          <c:showCatName val="0"/>
          <c:showSerName val="0"/>
          <c:showPercent val="0"/>
          <c:showBubbleSize val="0"/>
        </c:dLbls>
        <c:gapWidth val="150"/>
        <c:axId val="302088000"/>
        <c:axId val="302088560"/>
      </c:barChart>
      <c:catAx>
        <c:axId val="302088000"/>
        <c:scaling>
          <c:orientation val="minMax"/>
        </c:scaling>
        <c:delete val="1"/>
        <c:axPos val="b"/>
        <c:numFmt formatCode="General" sourceLinked="0"/>
        <c:majorTickMark val="cross"/>
        <c:minorTickMark val="cross"/>
        <c:tickLblPos val="nextTo"/>
        <c:crossAx val="302088560"/>
        <c:crosses val="autoZero"/>
        <c:auto val="1"/>
        <c:lblAlgn val="ctr"/>
        <c:lblOffset val="100"/>
        <c:noMultiLvlLbl val="1"/>
      </c:catAx>
      <c:valAx>
        <c:axId val="302088560"/>
        <c:scaling>
          <c:orientation val="minMax"/>
        </c:scaling>
        <c:delete val="1"/>
        <c:axPos val="l"/>
        <c:majorGridlines/>
        <c:numFmt formatCode="General" sourceLinked="1"/>
        <c:majorTickMark val="cross"/>
        <c:minorTickMark val="cross"/>
        <c:tickLblPos val="nextTo"/>
        <c:crossAx val="302088000"/>
        <c:crosses val="autoZero"/>
        <c:crossBetween val="between"/>
      </c:valAx>
    </c:plotArea>
    <c:plotVisOnly val="1"/>
    <c:dispBlanksAs val="zero"/>
    <c:showDLblsOverMax val="1"/>
  </c:chart>
  <c:externalData r:id="rId1">
    <c:autoUpdate val="1"/>
  </c:externalData>
</c:chartSpace>
</file>

<file path=word/drawings/drawing1.xml><?xml version="1.0" encoding="utf-8"?>
<c:userShapes xmlns:c="http://schemas.openxmlformats.org/drawingml/2006/chart">
  <cdr:relSizeAnchor xmlns:cdr="http://schemas.openxmlformats.org/drawingml/2006/chartDrawing">
    <cdr:from>
      <cdr:x>0.20333</cdr:x>
      <cdr:y>0.06111</cdr:y>
    </cdr:from>
    <cdr:to>
      <cdr:x>0.84333</cdr:x>
      <cdr:y>0.16111</cdr:y>
    </cdr:to>
    <cdr:sp macro="" textlink="">
      <cdr:nvSpPr>
        <cdr:cNvPr id="2" name="TextBox 1"/>
        <cdr:cNvSpPr txBox="1"/>
      </cdr:nvSpPr>
      <cdr:spPr>
        <a:xfrm xmlns:a="http://schemas.openxmlformats.org/drawingml/2006/main">
          <a:off x="929640" y="167640"/>
          <a:ext cx="2926080" cy="274320"/>
        </a:xfrm>
        <a:prstGeom xmlns:a="http://schemas.openxmlformats.org/drawingml/2006/main" prst="rect">
          <a:avLst/>
        </a:prstGeom>
      </cdr:spPr>
      <cdr:txBody>
        <a:bodyPr xmlns:a="http://schemas.openxmlformats.org/drawingml/2006/main" wrap="square" rtlCol="0"/>
        <a:lstStyle xmlns:a="http://schemas.openxmlformats.org/drawingml/2006/main"/>
        <a:p xmlns:a="http://schemas.openxmlformats.org/drawingml/2006/main">
          <a:r>
            <a:rPr lang="en-US" sz="900"/>
            <a:t>mean</a:t>
          </a:r>
          <a:r>
            <a:rPr lang="en-US" sz="900" baseline="0"/>
            <a:t> yield /kg/ha/ perfomance of MABCF6i trial</a:t>
          </a:r>
          <a:endParaRPr lang="en-US" sz="900"/>
        </a:p>
      </cdr:txBody>
    </cdr:sp>
  </cdr:relSizeAnchor>
</c:userShape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479</Words>
  <Characters>2732</Characters>
  <Application>Microsoft Office Word</Application>
  <DocSecurity>0</DocSecurity>
  <Lines>22</Lines>
  <Paragraphs>6</Paragraphs>
  <ScaleCrop>false</ScaleCrop>
  <Company>Hewlett-Packard Company</Company>
  <LinksUpToDate>false</LinksUpToDate>
  <CharactersWithSpaces>3205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ICARDA</dc:creator>
  <cp:keywords/>
  <dc:description/>
  <cp:lastModifiedBy>ICARDA</cp:lastModifiedBy>
  <cp:revision>2</cp:revision>
  <dcterms:created xsi:type="dcterms:W3CDTF">2017-04-04T05:46:00Z</dcterms:created>
  <dcterms:modified xsi:type="dcterms:W3CDTF">2017-04-04T05:47:00Z</dcterms:modified>
</cp:coreProperties>
</file>