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F4C" w:rsidRPr="00AF576E" w:rsidRDefault="00BB6F4C" w:rsidP="00BB6F4C">
      <w:pPr>
        <w:pStyle w:val="ListParagraph"/>
        <w:ind w:left="0"/>
        <w:jc w:val="center"/>
        <w:rPr>
          <w:sz w:val="32"/>
        </w:rPr>
      </w:pPr>
      <w:bookmarkStart w:id="0" w:name="_GoBack"/>
      <w:bookmarkEnd w:id="0"/>
      <w:r w:rsidRPr="00AF576E">
        <w:rPr>
          <w:sz w:val="32"/>
        </w:rPr>
        <w:t xml:space="preserve">Review Panel of the Centre Commissioned External Review (CCER) </w:t>
      </w:r>
      <w:r>
        <w:rPr>
          <w:sz w:val="32"/>
        </w:rPr>
        <w:br/>
      </w:r>
      <w:r w:rsidRPr="00AF576E">
        <w:rPr>
          <w:sz w:val="32"/>
        </w:rPr>
        <w:t xml:space="preserve">on Social, Economic and Policy Research </w:t>
      </w:r>
      <w:r>
        <w:rPr>
          <w:sz w:val="32"/>
        </w:rPr>
        <w:t>across</w:t>
      </w:r>
      <w:r w:rsidRPr="00AF576E">
        <w:rPr>
          <w:sz w:val="32"/>
        </w:rPr>
        <w:t xml:space="preserve"> the International Centre </w:t>
      </w:r>
      <w:r>
        <w:rPr>
          <w:sz w:val="32"/>
        </w:rPr>
        <w:t>for</w:t>
      </w:r>
      <w:r w:rsidRPr="00AF576E">
        <w:rPr>
          <w:sz w:val="32"/>
        </w:rPr>
        <w:t xml:space="preserve"> Agricultur</w:t>
      </w:r>
      <w:r>
        <w:rPr>
          <w:sz w:val="32"/>
        </w:rPr>
        <w:t>al Research</w:t>
      </w:r>
      <w:r w:rsidRPr="00AF576E">
        <w:rPr>
          <w:sz w:val="32"/>
        </w:rPr>
        <w:t xml:space="preserve"> in the Dry Areas (ICARDA</w:t>
      </w:r>
      <w:r>
        <w:rPr>
          <w:sz w:val="32"/>
        </w:rPr>
        <w:t>)</w:t>
      </w:r>
    </w:p>
    <w:p w:rsidR="00BB6F4C" w:rsidRPr="008E2AF5" w:rsidRDefault="00BB6F4C" w:rsidP="00BB6F4C">
      <w:pPr>
        <w:pStyle w:val="ListParagraph"/>
        <w:ind w:left="0"/>
        <w:jc w:val="center"/>
        <w:rPr>
          <w:color w:val="000000" w:themeColor="text1"/>
          <w:sz w:val="32"/>
        </w:rPr>
      </w:pPr>
      <w:r w:rsidRPr="008E2AF5">
        <w:rPr>
          <w:color w:val="000000" w:themeColor="text1"/>
          <w:sz w:val="32"/>
        </w:rPr>
        <w:t>Center Response</w:t>
      </w:r>
    </w:p>
    <w:p w:rsidR="00BB6F4C" w:rsidRPr="008E2AF5" w:rsidRDefault="00BB6F4C" w:rsidP="00BB6F4C">
      <w:pPr>
        <w:pStyle w:val="ListParagraph"/>
        <w:ind w:left="0"/>
        <w:jc w:val="center"/>
        <w:rPr>
          <w:color w:val="000000" w:themeColor="text1"/>
          <w:sz w:val="32"/>
        </w:rPr>
      </w:pPr>
      <w:r w:rsidRPr="008E2AF5">
        <w:rPr>
          <w:color w:val="000000" w:themeColor="text1"/>
          <w:sz w:val="32"/>
        </w:rPr>
        <w:t>Draft</w:t>
      </w:r>
    </w:p>
    <w:tbl>
      <w:tblPr>
        <w:tblStyle w:val="TableGrid"/>
        <w:tblW w:w="13471" w:type="dxa"/>
        <w:tblLook w:val="04A0" w:firstRow="1" w:lastRow="0" w:firstColumn="1" w:lastColumn="0" w:noHBand="0" w:noVBand="1"/>
      </w:tblPr>
      <w:tblGrid>
        <w:gridCol w:w="6735"/>
        <w:gridCol w:w="6736"/>
      </w:tblGrid>
      <w:tr w:rsidR="006F75B7" w:rsidTr="00B6403B">
        <w:trPr>
          <w:trHeight w:val="433"/>
        </w:trPr>
        <w:tc>
          <w:tcPr>
            <w:tcW w:w="6735" w:type="dxa"/>
            <w:tcBorders>
              <w:bottom w:val="single" w:sz="4" w:space="0" w:color="auto"/>
            </w:tcBorders>
          </w:tcPr>
          <w:p w:rsidR="006F75B7" w:rsidRPr="00BB6F4C" w:rsidRDefault="006F75B7" w:rsidP="00BB6F4C">
            <w:pPr>
              <w:jc w:val="center"/>
              <w:rPr>
                <w:b/>
                <w:sz w:val="28"/>
                <w:szCs w:val="28"/>
              </w:rPr>
            </w:pPr>
            <w:r w:rsidRPr="00BB6F4C">
              <w:rPr>
                <w:b/>
                <w:sz w:val="28"/>
                <w:szCs w:val="28"/>
              </w:rPr>
              <w:t>Panel  Recommendations</w:t>
            </w:r>
          </w:p>
        </w:tc>
        <w:tc>
          <w:tcPr>
            <w:tcW w:w="6736" w:type="dxa"/>
            <w:tcBorders>
              <w:bottom w:val="single" w:sz="4" w:space="0" w:color="auto"/>
            </w:tcBorders>
          </w:tcPr>
          <w:p w:rsidR="006F75B7" w:rsidRPr="00BB6F4C" w:rsidRDefault="006F75B7" w:rsidP="00B6403B">
            <w:pPr>
              <w:rPr>
                <w:b/>
                <w:sz w:val="28"/>
                <w:szCs w:val="28"/>
              </w:rPr>
            </w:pPr>
            <w:r w:rsidRPr="00BB6F4C">
              <w:rPr>
                <w:b/>
                <w:sz w:val="28"/>
                <w:szCs w:val="28"/>
              </w:rPr>
              <w:t>Center Response</w:t>
            </w:r>
          </w:p>
        </w:tc>
      </w:tr>
      <w:tr w:rsidR="006F75B7" w:rsidTr="00B6403B">
        <w:trPr>
          <w:trHeight w:val="449"/>
        </w:trPr>
        <w:tc>
          <w:tcPr>
            <w:tcW w:w="13471" w:type="dxa"/>
            <w:gridSpan w:val="2"/>
            <w:shd w:val="clear" w:color="auto" w:fill="D9D9D9" w:themeFill="background1" w:themeFillShade="D9"/>
          </w:tcPr>
          <w:p w:rsidR="006F75B7" w:rsidRDefault="00BB6F4C" w:rsidP="00B6403B">
            <w:r>
              <w:rPr>
                <w:rFonts w:ascii="Calibri" w:eastAsia="Times New Roman" w:hAnsi="Calibri" w:cs="Times New Roman"/>
                <w:bCs/>
                <w:iCs/>
                <w:sz w:val="28"/>
                <w:szCs w:val="28"/>
              </w:rPr>
              <w:t>7.1</w:t>
            </w:r>
            <w:r w:rsidRPr="00BB6F4C">
              <w:rPr>
                <w:rFonts w:ascii="Calibri" w:eastAsia="Times New Roman" w:hAnsi="Calibri" w:cs="Times New Roman"/>
                <w:bCs/>
                <w:iCs/>
                <w:sz w:val="28"/>
                <w:szCs w:val="28"/>
              </w:rPr>
              <w:t xml:space="preserve"> </w:t>
            </w:r>
            <w:r w:rsidR="00827215" w:rsidRPr="00BB6F4C">
              <w:rPr>
                <w:rFonts w:ascii="Calibri" w:eastAsia="Times New Roman" w:hAnsi="Calibri" w:cs="Times New Roman"/>
                <w:bCs/>
                <w:iCs/>
                <w:sz w:val="28"/>
                <w:szCs w:val="28"/>
              </w:rPr>
              <w:t>Vision and mission</w:t>
            </w:r>
          </w:p>
        </w:tc>
      </w:tr>
      <w:tr w:rsidR="006F75B7" w:rsidTr="00B6403B">
        <w:trPr>
          <w:trHeight w:val="433"/>
        </w:trPr>
        <w:tc>
          <w:tcPr>
            <w:tcW w:w="6735" w:type="dxa"/>
            <w:tcBorders>
              <w:bottom w:val="single" w:sz="4" w:space="0" w:color="auto"/>
            </w:tcBorders>
          </w:tcPr>
          <w:p w:rsidR="00827215" w:rsidRPr="009A59C1" w:rsidRDefault="00827215" w:rsidP="00F2445C">
            <w:pPr>
              <w:pStyle w:val="ListParagraph"/>
              <w:numPr>
                <w:ilvl w:val="0"/>
                <w:numId w:val="1"/>
              </w:numPr>
              <w:ind w:left="426" w:hanging="426"/>
            </w:pPr>
            <w:r>
              <w:t xml:space="preserve">The panel thinks that it will be to ICARDA’s benefit if </w:t>
            </w:r>
            <w:r w:rsidRPr="009A59C1">
              <w:t>SEPRP articulate a vision and uses it to plan and evaluate its activities</w:t>
            </w:r>
            <w:r>
              <w:t>,</w:t>
            </w:r>
            <w:r w:rsidRPr="008138ED">
              <w:t xml:space="preserve"> </w:t>
            </w:r>
            <w:r>
              <w:t>along with vision of the center’s CRPs</w:t>
            </w:r>
            <w:r w:rsidRPr="009A59C1">
              <w:t>. SEPRP must clearly identify where it sees itself within ICARDA and with the global d</w:t>
            </w:r>
            <w:r>
              <w:t>evelopment research community</w:t>
            </w:r>
            <w:r w:rsidRPr="0045470C">
              <w:rPr>
                <w:b/>
              </w:rPr>
              <w:t>.</w:t>
            </w:r>
            <w:r>
              <w:rPr>
                <w:b/>
              </w:rPr>
              <w:t xml:space="preserve"> </w:t>
            </w:r>
            <w:r w:rsidRPr="009A59C1">
              <w:t xml:space="preserve">This would strengthen </w:t>
            </w:r>
            <w:r w:rsidRPr="00D15ED6">
              <w:t>SEPRP’s</w:t>
            </w:r>
            <w:r>
              <w:t xml:space="preserve"> service function with the Center and help make it a high level policy research group especially for the Arab region recognized by NARS ARIs and international organizations in development assistance without jeopardizing ICARDA’s global mandate.</w:t>
            </w:r>
          </w:p>
          <w:p w:rsidR="006F75B7" w:rsidRDefault="006F75B7" w:rsidP="00BB6F4C">
            <w:pPr>
              <w:jc w:val="center"/>
            </w:pPr>
          </w:p>
        </w:tc>
        <w:tc>
          <w:tcPr>
            <w:tcW w:w="6736" w:type="dxa"/>
            <w:tcBorders>
              <w:bottom w:val="single" w:sz="4" w:space="0" w:color="auto"/>
            </w:tcBorders>
          </w:tcPr>
          <w:p w:rsidR="00F819B5" w:rsidRPr="006149D9" w:rsidRDefault="00F819B5" w:rsidP="00B82829">
            <w:pPr>
              <w:rPr>
                <w:b/>
              </w:rPr>
            </w:pPr>
            <w:r w:rsidRPr="006149D9">
              <w:rPr>
                <w:b/>
              </w:rPr>
              <w:t>Partially accepted</w:t>
            </w:r>
          </w:p>
          <w:p w:rsidR="00D30C5C" w:rsidRDefault="00827215" w:rsidP="008E2AF5">
            <w:pPr>
              <w:tabs>
                <w:tab w:val="left" w:pos="3990"/>
              </w:tabs>
            </w:pPr>
            <w:r>
              <w:t>ICARDA recognize</w:t>
            </w:r>
            <w:r w:rsidR="00D30C5C">
              <w:t>s</w:t>
            </w:r>
            <w:r>
              <w:t xml:space="preserve"> the </w:t>
            </w:r>
            <w:r w:rsidR="00D30C5C">
              <w:t>panel’s</w:t>
            </w:r>
            <w:r>
              <w:t xml:space="preserve"> observation of making SEPRP a high level policy research group especially for the Arab region, but also values </w:t>
            </w:r>
            <w:r w:rsidR="00D30C5C">
              <w:t>the gr</w:t>
            </w:r>
            <w:r>
              <w:t>oup</w:t>
            </w:r>
            <w:r w:rsidR="00D30C5C">
              <w:t>’</w:t>
            </w:r>
            <w:r>
              <w:t xml:space="preserve">s </w:t>
            </w:r>
            <w:r w:rsidR="00D30C5C">
              <w:t>r</w:t>
            </w:r>
            <w:r>
              <w:t>ole a</w:t>
            </w:r>
            <w:r w:rsidR="00D30C5C">
              <w:t>s</w:t>
            </w:r>
            <w:r>
              <w:t xml:space="preserve"> part of </w:t>
            </w:r>
            <w:r w:rsidR="00641A33">
              <w:t xml:space="preserve">the center’s </w:t>
            </w:r>
            <w:r>
              <w:t>integrated resea</w:t>
            </w:r>
            <w:r w:rsidR="00D30C5C">
              <w:t>r</w:t>
            </w:r>
            <w:r>
              <w:t xml:space="preserve">ch in </w:t>
            </w:r>
            <w:r w:rsidR="00CB4F3F">
              <w:t>dryland</w:t>
            </w:r>
            <w:r>
              <w:t xml:space="preserve"> systems</w:t>
            </w:r>
            <w:r w:rsidR="00691032">
              <w:t xml:space="preserve"> at the global level</w:t>
            </w:r>
            <w:r>
              <w:t xml:space="preserve">. Although challenging, ICARDA </w:t>
            </w:r>
            <w:r w:rsidR="00D30C5C">
              <w:t xml:space="preserve">believes </w:t>
            </w:r>
            <w:r>
              <w:t xml:space="preserve">the </w:t>
            </w:r>
            <w:r w:rsidR="00D30C5C">
              <w:t>two objectives</w:t>
            </w:r>
            <w:r w:rsidR="00BD5007">
              <w:t xml:space="preserve"> (at the global level and at the regional level)</w:t>
            </w:r>
            <w:r w:rsidR="00D30C5C">
              <w:t xml:space="preserve"> </w:t>
            </w:r>
            <w:r>
              <w:t xml:space="preserve">can be </w:t>
            </w:r>
            <w:r w:rsidR="00D30C5C">
              <w:t xml:space="preserve">simultaneously </w:t>
            </w:r>
            <w:r>
              <w:t>achieved; specif</w:t>
            </w:r>
            <w:r w:rsidR="00D30C5C">
              <w:t>i</w:t>
            </w:r>
            <w:r>
              <w:t>c efforts will be</w:t>
            </w:r>
            <w:r w:rsidR="00D30C5C">
              <w:t xml:space="preserve"> </w:t>
            </w:r>
            <w:r>
              <w:t xml:space="preserve">made to </w:t>
            </w:r>
            <w:r w:rsidR="00641A33">
              <w:t xml:space="preserve">articulate the vision and mission of the SEPRP that will enable the team to carry out strategic social, economic and policy research which is </w:t>
            </w:r>
            <w:r w:rsidR="00CA4424">
              <w:t xml:space="preserve">beyond the scope of work done by SEPRP team under </w:t>
            </w:r>
            <w:r w:rsidR="00641A33">
              <w:t>the technology led projects</w:t>
            </w:r>
            <w:r w:rsidR="00CA4424">
              <w:t xml:space="preserve">. In the future, ICARDA will make concerted effort to </w:t>
            </w:r>
            <w:r>
              <w:t>ra</w:t>
            </w:r>
            <w:r w:rsidR="00D30C5C">
              <w:t>i</w:t>
            </w:r>
            <w:r>
              <w:t xml:space="preserve">se funds for </w:t>
            </w:r>
            <w:r w:rsidR="00641A33">
              <w:t xml:space="preserve">such strategic </w:t>
            </w:r>
            <w:r>
              <w:t xml:space="preserve">policy research that </w:t>
            </w:r>
            <w:r w:rsidR="00CA4424">
              <w:t xml:space="preserve">would make </w:t>
            </w:r>
            <w:r w:rsidR="00EC751C">
              <w:t>SEPRP a center</w:t>
            </w:r>
            <w:r w:rsidR="00CA4424">
              <w:t xml:space="preserve"> of excellence for regional </w:t>
            </w:r>
            <w:r w:rsidR="00BD5007">
              <w:t xml:space="preserve">and global </w:t>
            </w:r>
            <w:r w:rsidR="00CA4424">
              <w:t xml:space="preserve">policy research </w:t>
            </w:r>
            <w:r>
              <w:t xml:space="preserve">thus giving the group the visibility in the discipline as recommended by the panel. </w:t>
            </w:r>
          </w:p>
        </w:tc>
      </w:tr>
      <w:tr w:rsidR="00F819B5" w:rsidTr="00B6403B">
        <w:trPr>
          <w:trHeight w:val="719"/>
        </w:trPr>
        <w:tc>
          <w:tcPr>
            <w:tcW w:w="13471" w:type="dxa"/>
            <w:gridSpan w:val="2"/>
            <w:shd w:val="clear" w:color="auto" w:fill="D9D9D9" w:themeFill="background1" w:themeFillShade="D9"/>
          </w:tcPr>
          <w:p w:rsidR="00F819B5" w:rsidRDefault="00F819B5" w:rsidP="00B6403B">
            <w:pPr>
              <w:pStyle w:val="Heading2"/>
              <w:outlineLvl w:val="1"/>
            </w:pPr>
            <w:bookmarkStart w:id="1" w:name="_Toc389740809"/>
            <w:bookmarkStart w:id="2" w:name="_Toc399751408"/>
            <w:r w:rsidRPr="0045470C">
              <w:t>7.2</w:t>
            </w:r>
            <w:r w:rsidRPr="0045470C">
              <w:tab/>
              <w:t>Science quality</w:t>
            </w:r>
            <w:bookmarkEnd w:id="1"/>
            <w:bookmarkEnd w:id="2"/>
          </w:p>
        </w:tc>
      </w:tr>
      <w:tr w:rsidR="006F75B7" w:rsidTr="00B6403B">
        <w:trPr>
          <w:trHeight w:val="433"/>
        </w:trPr>
        <w:tc>
          <w:tcPr>
            <w:tcW w:w="6735" w:type="dxa"/>
          </w:tcPr>
          <w:p w:rsidR="006F75B7" w:rsidRDefault="00F819B5" w:rsidP="00F2445C">
            <w:pPr>
              <w:pStyle w:val="ListParagraph"/>
              <w:numPr>
                <w:ilvl w:val="0"/>
                <w:numId w:val="3"/>
              </w:numPr>
              <w:ind w:left="426" w:hanging="426"/>
            </w:pPr>
            <w:r>
              <w:t>T</w:t>
            </w:r>
            <w:r w:rsidRPr="00C36BEE">
              <w:t xml:space="preserve">he panel recommends re-initiating the in-house seminar program </w:t>
            </w:r>
            <w:r w:rsidRPr="00950F2B">
              <w:t>in order to achieve cutting edge socioeconomic research especially in terms of methodological rigor and research strategy</w:t>
            </w:r>
            <w:r w:rsidRPr="00C36BEE">
              <w:t xml:space="preserve">.  SEPRP should invite mentors and reviewers to these seminars to act as commentator </w:t>
            </w:r>
            <w:r>
              <w:t>and</w:t>
            </w:r>
            <w:r w:rsidRPr="00C36BEE">
              <w:t xml:space="preserve"> provide constructive criticisms to the papers presented.</w:t>
            </w:r>
          </w:p>
        </w:tc>
        <w:tc>
          <w:tcPr>
            <w:tcW w:w="6736" w:type="dxa"/>
          </w:tcPr>
          <w:p w:rsidR="00F819B5" w:rsidRPr="006149D9" w:rsidRDefault="00F819B5" w:rsidP="00B6403B">
            <w:pPr>
              <w:rPr>
                <w:b/>
              </w:rPr>
            </w:pPr>
            <w:r w:rsidRPr="006149D9">
              <w:rPr>
                <w:b/>
              </w:rPr>
              <w:t>Accepted</w:t>
            </w:r>
          </w:p>
          <w:p w:rsidR="006B49D0" w:rsidRDefault="004C55A8" w:rsidP="00B953F9">
            <w:r>
              <w:t xml:space="preserve">ICARDA accepts to </w:t>
            </w:r>
            <w:r w:rsidR="00F819B5">
              <w:t>re-initiate</w:t>
            </w:r>
            <w:r>
              <w:t xml:space="preserve"> the in-house seminars program in Amman and </w:t>
            </w:r>
            <w:r w:rsidR="00F819B5">
              <w:t>scholarly mentors and specialists in different subjects will be invited to these seminars</w:t>
            </w:r>
            <w:r w:rsidR="00CB4F3F">
              <w:t>; to</w:t>
            </w:r>
            <w:r w:rsidR="00F819B5">
              <w:t xml:space="preserve"> provide feedback in </w:t>
            </w:r>
            <w:r w:rsidR="00F819B5" w:rsidRPr="00950F2B">
              <w:t>terms of methodological rigor and research strategy</w:t>
            </w:r>
            <w:r w:rsidR="00F819B5" w:rsidRPr="00C36BEE">
              <w:t xml:space="preserve">.  </w:t>
            </w:r>
            <w:r w:rsidR="006B49D0">
              <w:t xml:space="preserve">One </w:t>
            </w:r>
            <w:r w:rsidR="00F819B5">
              <w:t>semin</w:t>
            </w:r>
            <w:r w:rsidR="006B49D0">
              <w:t>a</w:t>
            </w:r>
            <w:r w:rsidR="00F819B5">
              <w:t>r per year per scientist is the</w:t>
            </w:r>
            <w:r w:rsidR="006B49D0">
              <w:t xml:space="preserve"> </w:t>
            </w:r>
            <w:r w:rsidR="00F819B5">
              <w:t>ta</w:t>
            </w:r>
            <w:r w:rsidR="006B49D0">
              <w:t>r</w:t>
            </w:r>
            <w:r w:rsidR="00F819B5">
              <w:t>get</w:t>
            </w:r>
            <w:r w:rsidR="006B49D0">
              <w:t xml:space="preserve"> </w:t>
            </w:r>
            <w:r w:rsidR="00EB3505">
              <w:t xml:space="preserve">in </w:t>
            </w:r>
            <w:r w:rsidR="006B49D0">
              <w:t>the presence of a prominent scientist in that fi</w:t>
            </w:r>
            <w:r w:rsidR="00FA0972">
              <w:t>e</w:t>
            </w:r>
            <w:r w:rsidR="006B49D0">
              <w:t xml:space="preserve">ld. </w:t>
            </w:r>
          </w:p>
        </w:tc>
      </w:tr>
      <w:tr w:rsidR="006F75B7" w:rsidTr="00B6403B">
        <w:trPr>
          <w:trHeight w:val="433"/>
        </w:trPr>
        <w:tc>
          <w:tcPr>
            <w:tcW w:w="6735" w:type="dxa"/>
          </w:tcPr>
          <w:p w:rsidR="006F75B7" w:rsidRDefault="00F819B5" w:rsidP="00C540C4">
            <w:pPr>
              <w:pStyle w:val="ListParagraph"/>
              <w:numPr>
                <w:ilvl w:val="0"/>
                <w:numId w:val="3"/>
              </w:numPr>
              <w:ind w:left="426" w:hanging="426"/>
            </w:pPr>
            <w:r>
              <w:lastRenderedPageBreak/>
              <w:t>SEPRP should e</w:t>
            </w:r>
            <w:r w:rsidRPr="00DF051F">
              <w:t xml:space="preserve">ngage more </w:t>
            </w:r>
            <w:r>
              <w:t>completely</w:t>
            </w:r>
            <w:r w:rsidRPr="00DF051F">
              <w:t xml:space="preserve"> with ARIs and SPIA with the aim to especially increase the rigor and science quality of impact assessments. </w:t>
            </w:r>
            <w:r>
              <w:t xml:space="preserve">Particular issues to be addressed are establishment of </w:t>
            </w:r>
            <w:r w:rsidRPr="00DF051F">
              <w:t>control and</w:t>
            </w:r>
            <w:r>
              <w:t xml:space="preserve"> </w:t>
            </w:r>
            <w:r w:rsidRPr="00DF051F">
              <w:t>treatment group</w:t>
            </w:r>
            <w:r>
              <w:t xml:space="preserve"> and i</w:t>
            </w:r>
            <w:r w:rsidRPr="00DF051F">
              <w:t>nvestments in data collection</w:t>
            </w:r>
            <w:r>
              <w:t xml:space="preserve"> and data management.</w:t>
            </w:r>
            <w:r w:rsidRPr="00335ED1">
              <w:t xml:space="preserve"> </w:t>
            </w:r>
            <w:r>
              <w:t>C</w:t>
            </w:r>
            <w:r w:rsidRPr="00335ED1">
              <w:t>omplement impact assessment of complex integrated technologies, with baseline assessment of the norms and values</w:t>
            </w:r>
            <w:r>
              <w:t>.</w:t>
            </w:r>
            <w:r w:rsidRPr="00335ED1">
              <w:t xml:space="preserve"> Communicat</w:t>
            </w:r>
            <w:r>
              <w:t>e</w:t>
            </w:r>
            <w:r w:rsidRPr="00335ED1">
              <w:t xml:space="preserve"> the results of </w:t>
            </w:r>
            <w:r>
              <w:t xml:space="preserve">impact assessment especially </w:t>
            </w:r>
            <w:r w:rsidRPr="00335ED1">
              <w:t xml:space="preserve">social and gender-related research </w:t>
            </w:r>
            <w:r>
              <w:t xml:space="preserve">more effectively </w:t>
            </w:r>
            <w:r w:rsidRPr="00335ED1">
              <w:t>to policy makers and wider development partners</w:t>
            </w:r>
            <w:r w:rsidR="00C540C4">
              <w:t xml:space="preserve">. </w:t>
            </w:r>
          </w:p>
        </w:tc>
        <w:tc>
          <w:tcPr>
            <w:tcW w:w="6736" w:type="dxa"/>
          </w:tcPr>
          <w:p w:rsidR="006F75B7" w:rsidRPr="006149D9" w:rsidRDefault="006B49D0" w:rsidP="00B6403B">
            <w:pPr>
              <w:rPr>
                <w:b/>
              </w:rPr>
            </w:pPr>
            <w:r w:rsidRPr="006149D9">
              <w:rPr>
                <w:b/>
              </w:rPr>
              <w:t>Accepted</w:t>
            </w:r>
          </w:p>
          <w:p w:rsidR="006B49D0" w:rsidRDefault="000800DA" w:rsidP="00B6403B">
            <w:r>
              <w:t xml:space="preserve">ICARDA accepts the panel </w:t>
            </w:r>
            <w:r w:rsidR="00BD5007">
              <w:t xml:space="preserve">this </w:t>
            </w:r>
            <w:r>
              <w:t xml:space="preserve">recommendation and thus SEPRP will </w:t>
            </w:r>
            <w:r w:rsidR="006B49D0">
              <w:t>increase its engagement with ARI</w:t>
            </w:r>
            <w:r>
              <w:t>s</w:t>
            </w:r>
            <w:r w:rsidR="006B49D0">
              <w:t xml:space="preserve"> and </w:t>
            </w:r>
            <w:r>
              <w:t>w</w:t>
            </w:r>
            <w:r w:rsidR="006B49D0">
              <w:t>ith SPIA th</w:t>
            </w:r>
            <w:r>
              <w:t>r</w:t>
            </w:r>
            <w:r w:rsidR="006B49D0">
              <w:t>ough participation in call</w:t>
            </w:r>
            <w:r>
              <w:t>s</w:t>
            </w:r>
            <w:r w:rsidR="006B49D0">
              <w:t xml:space="preserve"> for impact studies, graduate studies and post-doctoral fellows and through joint research projects</w:t>
            </w:r>
            <w:r>
              <w:t>; this will include more systematic impact assessments, establishment of control groups and collection of baseline and panel data; inclusion of social aspects such as norms and values in data collection; and  effective communication of research results to  policy makers and development partners</w:t>
            </w:r>
            <w:r w:rsidR="006B49D0">
              <w:t>.</w:t>
            </w:r>
            <w:r>
              <w:t xml:space="preserve"> </w:t>
            </w:r>
          </w:p>
        </w:tc>
      </w:tr>
      <w:tr w:rsidR="006F75B7" w:rsidTr="00B6403B">
        <w:trPr>
          <w:trHeight w:val="433"/>
        </w:trPr>
        <w:tc>
          <w:tcPr>
            <w:tcW w:w="6735" w:type="dxa"/>
          </w:tcPr>
          <w:p w:rsidR="006F75B7" w:rsidRDefault="00F819B5" w:rsidP="00F2445C">
            <w:pPr>
              <w:pStyle w:val="ListParagraph"/>
              <w:numPr>
                <w:ilvl w:val="0"/>
                <w:numId w:val="3"/>
              </w:numPr>
            </w:pPr>
            <w:r w:rsidRPr="00335ED1">
              <w:t xml:space="preserve">In order to obtain critical mass </w:t>
            </w:r>
            <w:r>
              <w:t>of socioeconomics research staff the panel recommends that SEPRP focus its research in fewer areas along with an adequate staff hiring policy</w:t>
            </w:r>
            <w:r w:rsidRPr="0029261C">
              <w:t>.  For example an applied econometrician with interests in natural resource economics could support impact assessment, policy work</w:t>
            </w:r>
            <w:r>
              <w:t>, and many of the other areas.</w:t>
            </w:r>
          </w:p>
        </w:tc>
        <w:tc>
          <w:tcPr>
            <w:tcW w:w="6736" w:type="dxa"/>
          </w:tcPr>
          <w:p w:rsidR="006F75B7" w:rsidRPr="006149D9" w:rsidRDefault="00195CAB" w:rsidP="00B6403B">
            <w:pPr>
              <w:rPr>
                <w:b/>
              </w:rPr>
            </w:pPr>
            <w:r w:rsidRPr="006149D9">
              <w:rPr>
                <w:b/>
              </w:rPr>
              <w:t>Partially Accepted</w:t>
            </w:r>
          </w:p>
          <w:p w:rsidR="00195CAB" w:rsidRDefault="00195CAB" w:rsidP="008E2AF5">
            <w:r>
              <w:t xml:space="preserve">ICARDA </w:t>
            </w:r>
            <w:r w:rsidR="003952B6" w:rsidRPr="00500C0A">
              <w:t>partially accepts</w:t>
            </w:r>
            <w:r w:rsidR="00221FAC" w:rsidRPr="00500C0A">
              <w:t xml:space="preserve"> </w:t>
            </w:r>
            <w:r w:rsidR="00221FAC">
              <w:t xml:space="preserve">the panel recommendation.  ICARDA </w:t>
            </w:r>
            <w:r w:rsidR="00F51B38">
              <w:t>has</w:t>
            </w:r>
            <w:r w:rsidR="00221FAC">
              <w:t>,</w:t>
            </w:r>
            <w:r w:rsidR="00F51B38">
              <w:t xml:space="preserve"> over years</w:t>
            </w:r>
            <w:r w:rsidR="00221FAC">
              <w:t>,</w:t>
            </w:r>
            <w:r w:rsidR="00F51B38">
              <w:t xml:space="preserve"> worked on a set of priorit</w:t>
            </w:r>
            <w:r w:rsidR="005728A7">
              <w:t xml:space="preserve">ies on </w:t>
            </w:r>
            <w:r w:rsidR="00F51B38">
              <w:t>social, economic and policy research activities which are essential in integrated dryland systems research; these include adoption and impact assessment, market research, NRM research, policy and gender research. These research areas still remain important. However, ICARDA accepts panel’s recommendation of increasing the capacity of</w:t>
            </w:r>
            <w:r w:rsidR="00221FAC">
              <w:t xml:space="preserve"> social, economic and policy research </w:t>
            </w:r>
            <w:r w:rsidR="00F51B38">
              <w:t>th</w:t>
            </w:r>
            <w:r w:rsidR="00221FAC">
              <w:t xml:space="preserve">rough the recruitment of </w:t>
            </w:r>
            <w:r w:rsidR="00F51B38">
              <w:t>additional resources</w:t>
            </w:r>
            <w:r w:rsidR="00221FAC">
              <w:t>; particularly staff with strong econometric skills</w:t>
            </w:r>
            <w:r w:rsidR="003952B6">
              <w:t xml:space="preserve">. </w:t>
            </w:r>
            <w:r w:rsidR="003952B6" w:rsidRPr="00500C0A">
              <w:t>However, this will depend on funding availability.</w:t>
            </w:r>
            <w:r w:rsidR="003952B6">
              <w:t xml:space="preserve"> </w:t>
            </w:r>
          </w:p>
        </w:tc>
      </w:tr>
      <w:tr w:rsidR="006F75B7" w:rsidTr="00B6403B">
        <w:trPr>
          <w:trHeight w:val="94"/>
        </w:trPr>
        <w:tc>
          <w:tcPr>
            <w:tcW w:w="6735" w:type="dxa"/>
          </w:tcPr>
          <w:p w:rsidR="00F819B5" w:rsidRDefault="00F819B5" w:rsidP="00F2445C">
            <w:pPr>
              <w:pStyle w:val="ListParagraph"/>
              <w:numPr>
                <w:ilvl w:val="0"/>
                <w:numId w:val="3"/>
              </w:numPr>
              <w:ind w:left="426" w:hanging="426"/>
            </w:pPr>
            <w:r w:rsidRPr="0029261C">
              <w:t>The review panel recommends that ICARDA consider setting up more policy studies particularly in countries where political markets are becoming more open.  Such studies will provide a wealth of information on the impact pathway and how it is affected by political change.</w:t>
            </w:r>
          </w:p>
          <w:p w:rsidR="006F75B7" w:rsidRDefault="006F75B7" w:rsidP="00BB6F4C">
            <w:pPr>
              <w:jc w:val="center"/>
            </w:pPr>
          </w:p>
        </w:tc>
        <w:tc>
          <w:tcPr>
            <w:tcW w:w="6736" w:type="dxa"/>
          </w:tcPr>
          <w:p w:rsidR="006B49D0" w:rsidRPr="00405A28" w:rsidRDefault="00405A28" w:rsidP="00B6403B">
            <w:pPr>
              <w:rPr>
                <w:b/>
              </w:rPr>
            </w:pPr>
            <w:r>
              <w:rPr>
                <w:b/>
              </w:rPr>
              <w:t>Accepted</w:t>
            </w:r>
          </w:p>
          <w:p w:rsidR="006F75B7" w:rsidRPr="002A5880" w:rsidRDefault="006B49D0" w:rsidP="008E2AF5">
            <w:pPr>
              <w:tabs>
                <w:tab w:val="left" w:pos="4005"/>
              </w:tabs>
              <w:rPr>
                <w:color w:val="FF0000"/>
              </w:rPr>
            </w:pPr>
            <w:r>
              <w:t xml:space="preserve">ICARDA </w:t>
            </w:r>
            <w:r w:rsidR="009B06AA">
              <w:t xml:space="preserve">accepts the panel recommendation and </w:t>
            </w:r>
            <w:r>
              <w:t xml:space="preserve">will enhance its agricultural policy research particularly those related </w:t>
            </w:r>
            <w:r w:rsidR="00BD5007">
              <w:t xml:space="preserve">to </w:t>
            </w:r>
            <w:r>
              <w:t>food security</w:t>
            </w:r>
            <w:r w:rsidR="009B06AA">
              <w:t>, resilience of dry land farming, sustainable intensification of production systems</w:t>
            </w:r>
            <w:r w:rsidR="005728A7">
              <w:t>,</w:t>
            </w:r>
            <w:r w:rsidR="009B06AA">
              <w:t xml:space="preserve"> natural</w:t>
            </w:r>
            <w:r>
              <w:t xml:space="preserve"> </w:t>
            </w:r>
            <w:r w:rsidR="009B06AA">
              <w:t>resource</w:t>
            </w:r>
            <w:r w:rsidR="005728A7">
              <w:t>s</w:t>
            </w:r>
            <w:r w:rsidR="009B06AA">
              <w:t xml:space="preserve"> </w:t>
            </w:r>
            <w:r w:rsidR="005728A7">
              <w:t>management</w:t>
            </w:r>
            <w:r w:rsidR="009B06AA">
              <w:t xml:space="preserve"> and social and gender equity, particularly in </w:t>
            </w:r>
            <w:r>
              <w:t>relation to the on-go</w:t>
            </w:r>
            <w:r w:rsidR="00B82829">
              <w:t>ing changes in the MENA region.</w:t>
            </w:r>
            <w:r w:rsidR="00BD5007">
              <w:t xml:space="preserve"> </w:t>
            </w:r>
          </w:p>
        </w:tc>
      </w:tr>
      <w:tr w:rsidR="006F75B7" w:rsidTr="00B6403B">
        <w:trPr>
          <w:trHeight w:val="433"/>
        </w:trPr>
        <w:tc>
          <w:tcPr>
            <w:tcW w:w="6735" w:type="dxa"/>
            <w:tcBorders>
              <w:bottom w:val="single" w:sz="4" w:space="0" w:color="auto"/>
            </w:tcBorders>
          </w:tcPr>
          <w:p w:rsidR="006F75B7" w:rsidRDefault="00F819B5" w:rsidP="00F2445C">
            <w:pPr>
              <w:pStyle w:val="ListParagraph"/>
              <w:numPr>
                <w:ilvl w:val="0"/>
                <w:numId w:val="3"/>
              </w:numPr>
            </w:pPr>
            <w:r w:rsidRPr="00721F08">
              <w:t>The recruitment of the senior social analysis/gender specialist should be pursued as a matter of urgency. Recruitment of a further social scientist with gender expertise should be seriously considered if the ICARDA programs have resources to allocate to social and gender research within their portfolios.</w:t>
            </w:r>
          </w:p>
        </w:tc>
        <w:tc>
          <w:tcPr>
            <w:tcW w:w="6736" w:type="dxa"/>
            <w:tcBorders>
              <w:bottom w:val="single" w:sz="4" w:space="0" w:color="auto"/>
            </w:tcBorders>
          </w:tcPr>
          <w:p w:rsidR="006F75B7" w:rsidRPr="00405A28" w:rsidRDefault="006B49D0" w:rsidP="00B6403B">
            <w:pPr>
              <w:rPr>
                <w:b/>
              </w:rPr>
            </w:pPr>
            <w:r w:rsidRPr="00405A28">
              <w:rPr>
                <w:b/>
              </w:rPr>
              <w:t>Accepted</w:t>
            </w:r>
          </w:p>
          <w:p w:rsidR="00F97EE4" w:rsidRPr="002A5880" w:rsidRDefault="006B49D0" w:rsidP="00500C0A">
            <w:pPr>
              <w:rPr>
                <w:color w:val="FF0000"/>
              </w:rPr>
            </w:pPr>
            <w:r>
              <w:t xml:space="preserve">ICARDA </w:t>
            </w:r>
            <w:r w:rsidR="009B06AA">
              <w:t xml:space="preserve">accepts the panel recommendation. ICARDA </w:t>
            </w:r>
            <w:r w:rsidR="00F97EE4">
              <w:t xml:space="preserve">has been </w:t>
            </w:r>
            <w:r>
              <w:t>pursu</w:t>
            </w:r>
            <w:r w:rsidR="00F97EE4">
              <w:t xml:space="preserve">ing </w:t>
            </w:r>
            <w:r>
              <w:t>t</w:t>
            </w:r>
            <w:r w:rsidRPr="00721F08">
              <w:t xml:space="preserve">he recruitment of the senior social analysis/gender specialist </w:t>
            </w:r>
            <w:r w:rsidR="009B06AA">
              <w:t xml:space="preserve">and will continue this effort </w:t>
            </w:r>
            <w:r w:rsidRPr="00721F08">
              <w:t xml:space="preserve">as a matter of </w:t>
            </w:r>
            <w:r w:rsidR="009B06AA" w:rsidRPr="00721F08">
              <w:t>urgency</w:t>
            </w:r>
            <w:r w:rsidR="009B06AA">
              <w:t>;</w:t>
            </w:r>
            <w:r w:rsidR="00F97EE4">
              <w:t xml:space="preserve"> however challenges </w:t>
            </w:r>
            <w:r w:rsidR="009B06AA">
              <w:t xml:space="preserve">remain </w:t>
            </w:r>
            <w:r w:rsidR="00F97EE4">
              <w:t>in filling th</w:t>
            </w:r>
            <w:r w:rsidR="009B06AA">
              <w:t>is</w:t>
            </w:r>
            <w:r w:rsidR="00F97EE4">
              <w:t xml:space="preserve"> position</w:t>
            </w:r>
            <w:r w:rsidR="009B06AA">
              <w:t xml:space="preserve"> given the very small pool of qualified personnel. </w:t>
            </w:r>
            <w:r w:rsidR="00F97EE4">
              <w:t xml:space="preserve">ICARDA will continue this pursuit until </w:t>
            </w:r>
            <w:r w:rsidR="00BD5007">
              <w:t xml:space="preserve">a </w:t>
            </w:r>
            <w:r w:rsidR="00F97EE4">
              <w:t xml:space="preserve">suitable </w:t>
            </w:r>
            <w:r w:rsidR="00F97EE4" w:rsidRPr="00B82829">
              <w:t>candidate is found.</w:t>
            </w:r>
            <w:r w:rsidR="002A5880" w:rsidRPr="00B82829">
              <w:t xml:space="preserve"> </w:t>
            </w:r>
            <w:r w:rsidR="00500C0A" w:rsidRPr="00B82829">
              <w:t>In addition, ICARDA will consider the recruitment of social scientists with gender expertise that will support ICARDA research programs on social and gender analysis needed as part of the research portfolio.</w:t>
            </w:r>
            <w:r w:rsidR="00500C0A">
              <w:t xml:space="preserve"> </w:t>
            </w:r>
            <w:r w:rsidR="002A5880">
              <w:rPr>
                <w:color w:val="FF0000"/>
              </w:rPr>
              <w:t xml:space="preserve"> </w:t>
            </w:r>
          </w:p>
        </w:tc>
      </w:tr>
      <w:tr w:rsidR="00ED3858" w:rsidTr="00B6403B">
        <w:trPr>
          <w:trHeight w:val="433"/>
        </w:trPr>
        <w:tc>
          <w:tcPr>
            <w:tcW w:w="6735" w:type="dxa"/>
            <w:tcBorders>
              <w:bottom w:val="single" w:sz="4" w:space="0" w:color="auto"/>
            </w:tcBorders>
          </w:tcPr>
          <w:p w:rsidR="00ED3858" w:rsidRPr="00721F08" w:rsidRDefault="00ED3858" w:rsidP="00F2445C">
            <w:pPr>
              <w:pStyle w:val="ListParagraph"/>
              <w:numPr>
                <w:ilvl w:val="0"/>
                <w:numId w:val="3"/>
              </w:numPr>
            </w:pPr>
            <w:r w:rsidRPr="00721F08">
              <w:t xml:space="preserve">Focus on sharpening theory in gender related research, in particular to understanding the social constructions of social and gender </w:t>
            </w:r>
            <w:r w:rsidRPr="00721F08">
              <w:lastRenderedPageBreak/>
              <w:t>norms and the conditions for their transformation. The social construction of masculinity and examination of the social norms influencing men’s behavior ar</w:t>
            </w:r>
            <w:r>
              <w:t>e important areas for inclusion and l</w:t>
            </w:r>
            <w:r w:rsidRPr="00721F08">
              <w:t>ink gender research more explicitly to broader applicatio</w:t>
            </w:r>
            <w:r>
              <w:t xml:space="preserve">n of methods of social analysis. These </w:t>
            </w:r>
            <w:r w:rsidRPr="00721F08">
              <w:t>include</w:t>
            </w:r>
            <w:r>
              <w:t xml:space="preserve"> the</w:t>
            </w:r>
            <w:r w:rsidRPr="00721F08">
              <w:t xml:space="preserve"> examination of other potential forms of social differentiation which can influence outcomes from poverty oriented agricultural and rural development, for example age, language, culture, religion etc.  </w:t>
            </w:r>
          </w:p>
        </w:tc>
        <w:tc>
          <w:tcPr>
            <w:tcW w:w="6736" w:type="dxa"/>
            <w:tcBorders>
              <w:bottom w:val="single" w:sz="4" w:space="0" w:color="auto"/>
            </w:tcBorders>
          </w:tcPr>
          <w:p w:rsidR="00ED3858" w:rsidRPr="00405A28" w:rsidRDefault="00405A28" w:rsidP="00B6403B">
            <w:pPr>
              <w:rPr>
                <w:b/>
              </w:rPr>
            </w:pPr>
            <w:r w:rsidRPr="00405A28">
              <w:rPr>
                <w:b/>
              </w:rPr>
              <w:lastRenderedPageBreak/>
              <w:t>Accepted</w:t>
            </w:r>
          </w:p>
          <w:p w:rsidR="00ED3858" w:rsidRPr="00DA5F4B" w:rsidRDefault="00ED3858" w:rsidP="006913DD">
            <w:pPr>
              <w:rPr>
                <w:color w:val="FF0000"/>
              </w:rPr>
            </w:pPr>
            <w:r>
              <w:t xml:space="preserve">ICARDA </w:t>
            </w:r>
            <w:r w:rsidR="009B06AA">
              <w:t xml:space="preserve">accepts the panel recommendation and </w:t>
            </w:r>
            <w:r w:rsidR="00195CAB">
              <w:t xml:space="preserve">will sharpen </w:t>
            </w:r>
            <w:r w:rsidR="00CB4F3F">
              <w:t xml:space="preserve">the </w:t>
            </w:r>
            <w:r w:rsidR="00195CAB">
              <w:t xml:space="preserve">theory </w:t>
            </w:r>
            <w:r w:rsidR="00195CAB">
              <w:lastRenderedPageBreak/>
              <w:t xml:space="preserve">in gender research to </w:t>
            </w:r>
            <w:r w:rsidR="00BD5007">
              <w:t xml:space="preserve">better </w:t>
            </w:r>
            <w:r w:rsidR="00195CAB">
              <w:t xml:space="preserve">understand social constructions and gender norms and the conditions of their transformation including examination of forms of social differentiation </w:t>
            </w:r>
            <w:r w:rsidR="00195CAB" w:rsidRPr="00B82829">
              <w:t xml:space="preserve">which influence outcomes from agricultural research and rural development. </w:t>
            </w:r>
            <w:r w:rsidR="00500C0A" w:rsidRPr="00B82829">
              <w:t>ICARDA will also elaborate in its gender work</w:t>
            </w:r>
            <w:r w:rsidR="00BD5007">
              <w:t xml:space="preserve"> the </w:t>
            </w:r>
            <w:r w:rsidR="00500C0A" w:rsidRPr="00B82829">
              <w:t xml:space="preserve">methods </w:t>
            </w:r>
            <w:r w:rsidR="00BD5007">
              <w:t xml:space="preserve">needed </w:t>
            </w:r>
            <w:r w:rsidR="00500C0A" w:rsidRPr="00B82829">
              <w:t>to analyze the social construction of masculinity</w:t>
            </w:r>
            <w:r w:rsidR="00BD5007">
              <w:t xml:space="preserve"> which </w:t>
            </w:r>
            <w:r w:rsidR="00500C0A" w:rsidRPr="00B82829">
              <w:t>influenc</w:t>
            </w:r>
            <w:r w:rsidR="00BD5007">
              <w:t>e</w:t>
            </w:r>
            <w:r w:rsidR="00500C0A" w:rsidRPr="00B82829">
              <w:t xml:space="preserve"> men’s behavior and attitudes towards gender equity. </w:t>
            </w:r>
            <w:r w:rsidR="00195CAB" w:rsidRPr="00B82829">
              <w:t xml:space="preserve">ICARDA is </w:t>
            </w:r>
            <w:r w:rsidRPr="00B82829">
              <w:t>working with the CGIAR</w:t>
            </w:r>
            <w:r w:rsidR="00195CAB" w:rsidRPr="00B82829">
              <w:t xml:space="preserve"> gender network, in collaboration with ARIs, where a global gender</w:t>
            </w:r>
            <w:r w:rsidR="00195CAB">
              <w:t xml:space="preserve"> research, with strong theory foundation on social norms, is </w:t>
            </w:r>
            <w:r w:rsidR="006913DD">
              <w:t xml:space="preserve">currently </w:t>
            </w:r>
            <w:r w:rsidR="00195CAB">
              <w:t xml:space="preserve">underway. </w:t>
            </w:r>
          </w:p>
        </w:tc>
      </w:tr>
      <w:tr w:rsidR="006F75B7" w:rsidTr="00B6403B">
        <w:trPr>
          <w:trHeight w:val="701"/>
        </w:trPr>
        <w:tc>
          <w:tcPr>
            <w:tcW w:w="6735" w:type="dxa"/>
            <w:shd w:val="clear" w:color="auto" w:fill="D9D9D9" w:themeFill="background1" w:themeFillShade="D9"/>
          </w:tcPr>
          <w:p w:rsidR="006F75B7" w:rsidRDefault="00F97EE4" w:rsidP="00BB6F4C">
            <w:pPr>
              <w:pStyle w:val="Heading2"/>
              <w:jc w:val="center"/>
              <w:outlineLvl w:val="1"/>
            </w:pPr>
            <w:bookmarkStart w:id="3" w:name="_Toc389740810"/>
            <w:bookmarkStart w:id="4" w:name="_Toc399751409"/>
            <w:r w:rsidRPr="0045470C">
              <w:lastRenderedPageBreak/>
              <w:t>7.3</w:t>
            </w:r>
            <w:r w:rsidRPr="0045470C">
              <w:tab/>
              <w:t>International cooperation</w:t>
            </w:r>
            <w:bookmarkEnd w:id="3"/>
            <w:bookmarkEnd w:id="4"/>
          </w:p>
        </w:tc>
        <w:tc>
          <w:tcPr>
            <w:tcW w:w="6736" w:type="dxa"/>
            <w:shd w:val="clear" w:color="auto" w:fill="D9D9D9" w:themeFill="background1" w:themeFillShade="D9"/>
          </w:tcPr>
          <w:p w:rsidR="006F75B7" w:rsidRDefault="006F75B7" w:rsidP="00B6403B"/>
        </w:tc>
      </w:tr>
      <w:tr w:rsidR="00F97EE4" w:rsidTr="00B6403B">
        <w:trPr>
          <w:trHeight w:val="433"/>
        </w:trPr>
        <w:tc>
          <w:tcPr>
            <w:tcW w:w="6735" w:type="dxa"/>
          </w:tcPr>
          <w:p w:rsidR="00F97EE4" w:rsidRDefault="00F97EE4" w:rsidP="00F2445C">
            <w:pPr>
              <w:pStyle w:val="ListParagraph"/>
              <w:numPr>
                <w:ilvl w:val="0"/>
                <w:numId w:val="4"/>
              </w:numPr>
            </w:pPr>
            <w:r w:rsidRPr="00CB4D09">
              <w:t xml:space="preserve">The review panel strongly feels that ICARDA should take efforts to increase the strength and breadth of its linkages </w:t>
            </w:r>
            <w:r>
              <w:t xml:space="preserve">on social, economic and policy issues </w:t>
            </w:r>
            <w:r w:rsidRPr="00CB4D09">
              <w:t>to ARIs</w:t>
            </w:r>
            <w:r>
              <w:t>, including i</w:t>
            </w:r>
            <w:r w:rsidRPr="0045470C">
              <w:t>dentify</w:t>
            </w:r>
            <w:r>
              <w:t xml:space="preserve">ing </w:t>
            </w:r>
            <w:r w:rsidRPr="0045470C">
              <w:t xml:space="preserve">ARI mentoring partners </w:t>
            </w:r>
            <w:r>
              <w:t xml:space="preserve">especially </w:t>
            </w:r>
            <w:r w:rsidRPr="0045470C">
              <w:t>for junior research staff.</w:t>
            </w:r>
          </w:p>
          <w:p w:rsidR="00F97EE4" w:rsidRDefault="00F97EE4" w:rsidP="00BB6F4C">
            <w:pPr>
              <w:pStyle w:val="ListParagraph"/>
              <w:ind w:left="780"/>
              <w:jc w:val="center"/>
            </w:pPr>
          </w:p>
        </w:tc>
        <w:tc>
          <w:tcPr>
            <w:tcW w:w="6736" w:type="dxa"/>
          </w:tcPr>
          <w:p w:rsidR="00F97EE4" w:rsidRPr="00405A28" w:rsidRDefault="0026261F" w:rsidP="00B6403B">
            <w:pPr>
              <w:rPr>
                <w:b/>
              </w:rPr>
            </w:pPr>
            <w:r w:rsidRPr="00405A28">
              <w:rPr>
                <w:b/>
              </w:rPr>
              <w:t>Accepted</w:t>
            </w:r>
          </w:p>
          <w:p w:rsidR="0026261F" w:rsidRPr="002E3AB4" w:rsidRDefault="0026261F" w:rsidP="00B6403B">
            <w:pPr>
              <w:rPr>
                <w:color w:val="FF0000"/>
              </w:rPr>
            </w:pPr>
            <w:r>
              <w:t>ICARDA</w:t>
            </w:r>
            <w:r w:rsidR="00CB4F3F">
              <w:t xml:space="preserve"> accepts panel recommendation and will further strengthen the linkages of its social, economic and policy research with </w:t>
            </w:r>
            <w:r>
              <w:t xml:space="preserve">ARIs </w:t>
            </w:r>
            <w:r w:rsidR="00BB6F4C">
              <w:t>including mentoring</w:t>
            </w:r>
            <w:r>
              <w:t xml:space="preserve"> junior staff. Th</w:t>
            </w:r>
            <w:r w:rsidR="00CB4F3F">
              <w:t xml:space="preserve">e actions to this recommendation </w:t>
            </w:r>
            <w:r>
              <w:t xml:space="preserve">will be covered as indicated </w:t>
            </w:r>
            <w:r w:rsidR="00BB6F4C">
              <w:t>in item</w:t>
            </w:r>
            <w:r>
              <w:t xml:space="preserve"> </w:t>
            </w:r>
            <w:r w:rsidR="00BB6F4C">
              <w:t xml:space="preserve">no. </w:t>
            </w:r>
            <w:r>
              <w:t>7.</w:t>
            </w:r>
            <w:r w:rsidR="00264BAD">
              <w:t>2</w:t>
            </w:r>
            <w:r>
              <w:t xml:space="preserve"> (a</w:t>
            </w:r>
            <w:r w:rsidR="00B82829">
              <w:t xml:space="preserve">) above under science quality. </w:t>
            </w:r>
            <w:r w:rsidR="002E3AB4">
              <w:rPr>
                <w:color w:val="FF0000"/>
              </w:rPr>
              <w:t xml:space="preserve"> </w:t>
            </w:r>
          </w:p>
        </w:tc>
      </w:tr>
      <w:tr w:rsidR="00F97EE4" w:rsidTr="00B6403B">
        <w:trPr>
          <w:trHeight w:val="433"/>
        </w:trPr>
        <w:tc>
          <w:tcPr>
            <w:tcW w:w="6735" w:type="dxa"/>
          </w:tcPr>
          <w:p w:rsidR="00F97EE4" w:rsidRDefault="00F97EE4" w:rsidP="00C540C4">
            <w:pPr>
              <w:pStyle w:val="ListParagraph"/>
              <w:numPr>
                <w:ilvl w:val="0"/>
                <w:numId w:val="4"/>
              </w:numPr>
            </w:pPr>
            <w:r>
              <w:t>The panel urges SEPRP to p</w:t>
            </w:r>
            <w:r w:rsidRPr="0045470C">
              <w:t>rovide access to ICARDA data sets to stimulate research partnerships. ICARDA conducts its research in a developing area that is of high interest to policy makers worldwide; more widespread use of its data would benefit the institution by raising its profile and could stimulate production of global public goods.</w:t>
            </w:r>
            <w:r w:rsidR="00C540C4">
              <w:t xml:space="preserve"> </w:t>
            </w:r>
          </w:p>
        </w:tc>
        <w:tc>
          <w:tcPr>
            <w:tcW w:w="6736" w:type="dxa"/>
          </w:tcPr>
          <w:p w:rsidR="0026261F" w:rsidRPr="00405A28" w:rsidRDefault="0026261F" w:rsidP="00B6403B">
            <w:pPr>
              <w:rPr>
                <w:b/>
              </w:rPr>
            </w:pPr>
            <w:r w:rsidRPr="00405A28">
              <w:rPr>
                <w:b/>
              </w:rPr>
              <w:t xml:space="preserve">Accepted </w:t>
            </w:r>
          </w:p>
          <w:p w:rsidR="00F97EE4" w:rsidRPr="00634642" w:rsidRDefault="0026261F" w:rsidP="006913DD">
            <w:pPr>
              <w:rPr>
                <w:color w:val="FF0000"/>
              </w:rPr>
            </w:pPr>
            <w:r>
              <w:t>SEPR</w:t>
            </w:r>
            <w:r w:rsidR="00FA0972">
              <w:t>P</w:t>
            </w:r>
            <w:r>
              <w:t xml:space="preserve"> will make its data sets available following </w:t>
            </w:r>
            <w:r w:rsidR="007C3D7C">
              <w:t xml:space="preserve">the data </w:t>
            </w:r>
            <w:r>
              <w:t xml:space="preserve">open access policy of </w:t>
            </w:r>
            <w:r w:rsidR="00264BAD">
              <w:t xml:space="preserve">the </w:t>
            </w:r>
            <w:r>
              <w:t>c</w:t>
            </w:r>
            <w:r w:rsidR="007C3D7C">
              <w:t>e</w:t>
            </w:r>
            <w:r>
              <w:t>nt</w:t>
            </w:r>
            <w:r w:rsidR="007C3D7C">
              <w:t>e</w:t>
            </w:r>
            <w:r>
              <w:t>r and the Co</w:t>
            </w:r>
            <w:r w:rsidR="007C3D7C">
              <w:t>n</w:t>
            </w:r>
            <w:r>
              <w:t>sortium of t</w:t>
            </w:r>
            <w:r w:rsidR="007C3D7C">
              <w:t xml:space="preserve">he </w:t>
            </w:r>
            <w:r>
              <w:t>CG</w:t>
            </w:r>
            <w:r w:rsidR="007C3D7C">
              <w:t>I</w:t>
            </w:r>
            <w:r>
              <w:t>AR</w:t>
            </w:r>
            <w:r w:rsidR="005728A7">
              <w:t>. T</w:t>
            </w:r>
            <w:r>
              <w:t>h</w:t>
            </w:r>
            <w:r w:rsidR="007C3D7C">
              <w:t>e</w:t>
            </w:r>
            <w:r>
              <w:t>se data sets wil</w:t>
            </w:r>
            <w:r w:rsidR="007C3D7C">
              <w:t>l need to be processed in a way that can be understood by all users</w:t>
            </w:r>
            <w:r w:rsidR="005728A7">
              <w:t>;</w:t>
            </w:r>
            <w:r w:rsidR="00264BAD">
              <w:t xml:space="preserve"> thus some resources will be allocated to process and organize the data for </w:t>
            </w:r>
            <w:r w:rsidR="005728A7">
              <w:t xml:space="preserve">this </w:t>
            </w:r>
            <w:r w:rsidR="006913DD">
              <w:t xml:space="preserve">purpose. </w:t>
            </w:r>
          </w:p>
        </w:tc>
      </w:tr>
      <w:tr w:rsidR="00F97EE4" w:rsidTr="00B6403B">
        <w:trPr>
          <w:trHeight w:val="433"/>
        </w:trPr>
        <w:tc>
          <w:tcPr>
            <w:tcW w:w="6735" w:type="dxa"/>
          </w:tcPr>
          <w:p w:rsidR="00F97EE4" w:rsidRPr="0045470C" w:rsidRDefault="00F97EE4" w:rsidP="00F2445C">
            <w:pPr>
              <w:pStyle w:val="ListParagraph"/>
              <w:numPr>
                <w:ilvl w:val="0"/>
                <w:numId w:val="4"/>
              </w:numPr>
            </w:pPr>
            <w:r>
              <w:t>ICARDA/SEPRP should also e</w:t>
            </w:r>
            <w:r w:rsidRPr="0045470C">
              <w:t xml:space="preserve">nable and promote sabbatical leave programs with ARIs. Similarly, sabbatical leaves for SEPRP staff at ARIs </w:t>
            </w:r>
            <w:r>
              <w:t>should be</w:t>
            </w:r>
            <w:r w:rsidRPr="0045470C">
              <w:t xml:space="preserve"> supported by ICARDA</w:t>
            </w:r>
            <w:r>
              <w:t xml:space="preserve"> in order to achieve </w:t>
            </w:r>
            <w:r w:rsidRPr="0045470C">
              <w:t>longer-term and more substantive research interactions.</w:t>
            </w:r>
          </w:p>
          <w:p w:rsidR="00F97EE4" w:rsidRDefault="00F97EE4" w:rsidP="00BB6F4C">
            <w:pPr>
              <w:pStyle w:val="ListParagraph"/>
              <w:ind w:left="426" w:hanging="426"/>
              <w:jc w:val="center"/>
            </w:pPr>
          </w:p>
        </w:tc>
        <w:tc>
          <w:tcPr>
            <w:tcW w:w="6736" w:type="dxa"/>
          </w:tcPr>
          <w:p w:rsidR="00F97EE4" w:rsidRPr="00405A28" w:rsidRDefault="007C3D7C" w:rsidP="00B6403B">
            <w:pPr>
              <w:rPr>
                <w:b/>
              </w:rPr>
            </w:pPr>
            <w:r w:rsidRPr="00405A28">
              <w:rPr>
                <w:b/>
              </w:rPr>
              <w:t>Accepted</w:t>
            </w:r>
          </w:p>
          <w:p w:rsidR="007C3D7C" w:rsidRPr="00634642" w:rsidRDefault="00264BAD" w:rsidP="006913DD">
            <w:pPr>
              <w:rPr>
                <w:color w:val="FF0000"/>
              </w:rPr>
            </w:pPr>
            <w:r w:rsidRPr="00264BAD">
              <w:t>ICARDA accept</w:t>
            </w:r>
            <w:r w:rsidR="006913DD">
              <w:t>s</w:t>
            </w:r>
            <w:r w:rsidRPr="00264BAD">
              <w:t xml:space="preserve"> the panel recommendation and will implement mini-sabbatical </w:t>
            </w:r>
            <w:r w:rsidR="006913DD">
              <w:t xml:space="preserve">leaves </w:t>
            </w:r>
            <w:r w:rsidRPr="00264BAD">
              <w:t>that allow SEPRP staff to visit ARIs for specific periods</w:t>
            </w:r>
            <w:r w:rsidR="006913DD">
              <w:t xml:space="preserve"> of time</w:t>
            </w:r>
            <w:r w:rsidRPr="00264BAD">
              <w:t>, for example several weeks, or months</w:t>
            </w:r>
            <w:r w:rsidR="006913DD">
              <w:t>,</w:t>
            </w:r>
            <w:r w:rsidRPr="00264BAD">
              <w:t xml:space="preserve"> with the focus of advancing the knowledge on specific subject</w:t>
            </w:r>
            <w:r w:rsidR="006913DD">
              <w:t>s. Similarly</w:t>
            </w:r>
            <w:r w:rsidR="00EC751C">
              <w:t xml:space="preserve">, </w:t>
            </w:r>
            <w:r w:rsidR="00EC751C" w:rsidRPr="00264BAD">
              <w:t>ICARDA</w:t>
            </w:r>
            <w:r w:rsidRPr="00264BAD">
              <w:t xml:space="preserve"> will</w:t>
            </w:r>
            <w:r w:rsidR="006913DD">
              <w:t xml:space="preserve"> also</w:t>
            </w:r>
            <w:r w:rsidRPr="00264BAD">
              <w:t xml:space="preserve"> encourage university faculty to spend sabbatical</w:t>
            </w:r>
            <w:r w:rsidR="006913DD">
              <w:t xml:space="preserve"> </w:t>
            </w:r>
            <w:r w:rsidR="00EC751C">
              <w:t xml:space="preserve">leaves </w:t>
            </w:r>
            <w:r w:rsidR="00EC751C" w:rsidRPr="00264BAD">
              <w:t>at</w:t>
            </w:r>
            <w:r w:rsidRPr="00264BAD">
              <w:t xml:space="preserve"> ICARDA </w:t>
            </w:r>
            <w:r w:rsidR="006913DD">
              <w:t xml:space="preserve">to </w:t>
            </w:r>
            <w:r w:rsidR="00EC751C">
              <w:t xml:space="preserve">conduct </w:t>
            </w:r>
            <w:r w:rsidR="00EC751C" w:rsidRPr="00264BAD">
              <w:t>research</w:t>
            </w:r>
            <w:r w:rsidR="006913DD">
              <w:t xml:space="preserve"> and interact with staff</w:t>
            </w:r>
            <w:r w:rsidRPr="00264BAD">
              <w:t xml:space="preserve">. ICARDA fully recognizes the value of sabbaticals </w:t>
            </w:r>
            <w:r w:rsidR="005728A7">
              <w:t xml:space="preserve">and </w:t>
            </w:r>
            <w:r w:rsidRPr="00264BAD">
              <w:t xml:space="preserve">will seek </w:t>
            </w:r>
            <w:r w:rsidR="00EC751C" w:rsidRPr="00264BAD">
              <w:t>fund</w:t>
            </w:r>
            <w:r w:rsidR="00EC751C">
              <w:t xml:space="preserve">ing </w:t>
            </w:r>
            <w:r w:rsidR="00EC751C" w:rsidRPr="00264BAD">
              <w:t>for</w:t>
            </w:r>
            <w:r w:rsidRPr="00264BAD">
              <w:t xml:space="preserve"> accomplishing this important instrument for advancing science.</w:t>
            </w:r>
          </w:p>
        </w:tc>
      </w:tr>
      <w:tr w:rsidR="00F97EE4" w:rsidTr="00B6403B">
        <w:trPr>
          <w:trHeight w:val="433"/>
        </w:trPr>
        <w:tc>
          <w:tcPr>
            <w:tcW w:w="6735" w:type="dxa"/>
          </w:tcPr>
          <w:p w:rsidR="00F97EE4" w:rsidRDefault="00F97EE4" w:rsidP="00B82829">
            <w:pPr>
              <w:pStyle w:val="ListParagraph"/>
              <w:numPr>
                <w:ilvl w:val="0"/>
                <w:numId w:val="4"/>
              </w:numPr>
            </w:pPr>
            <w:r w:rsidRPr="0045470C">
              <w:t xml:space="preserve">Increased advertising for opportunities at ICARDA and engage international researchers in searches for candidates, familiarity with and visibility of the institution are enhanced. Part of the </w:t>
            </w:r>
            <w:r w:rsidRPr="0045470C">
              <w:lastRenderedPageBreak/>
              <w:t>sense that SEPRP staff is “stretched too thin” is evident in the breadth of its partnerships.</w:t>
            </w:r>
            <w:r w:rsidR="00B82829">
              <w:t xml:space="preserve"> </w:t>
            </w:r>
          </w:p>
        </w:tc>
        <w:tc>
          <w:tcPr>
            <w:tcW w:w="6736" w:type="dxa"/>
          </w:tcPr>
          <w:p w:rsidR="00264BAD" w:rsidRPr="00405A28" w:rsidRDefault="00405A28" w:rsidP="00B6403B">
            <w:pPr>
              <w:rPr>
                <w:rFonts w:ascii="Calibri" w:eastAsia="Calibri" w:hAnsi="Calibri" w:cs="Arial"/>
                <w:b/>
              </w:rPr>
            </w:pPr>
            <w:r w:rsidRPr="00405A28">
              <w:rPr>
                <w:rFonts w:ascii="Calibri" w:eastAsia="Calibri" w:hAnsi="Calibri" w:cs="Arial"/>
                <w:b/>
              </w:rPr>
              <w:lastRenderedPageBreak/>
              <w:t>Accepted</w:t>
            </w:r>
          </w:p>
          <w:p w:rsidR="00BB6F4C" w:rsidRPr="00634642" w:rsidRDefault="00264BAD" w:rsidP="00B6403B">
            <w:pPr>
              <w:rPr>
                <w:color w:val="FF0000"/>
              </w:rPr>
            </w:pPr>
            <w:r w:rsidRPr="000A31B1">
              <w:rPr>
                <w:rFonts w:ascii="Calibri" w:eastAsia="Calibri" w:hAnsi="Calibri" w:cs="Arial"/>
              </w:rPr>
              <w:t xml:space="preserve">ICARDA accepts the panel recommendation and </w:t>
            </w:r>
            <w:r w:rsidR="000A31B1" w:rsidRPr="000A31B1">
              <w:rPr>
                <w:rFonts w:ascii="Calibri" w:eastAsia="Calibri" w:hAnsi="Calibri" w:cs="Arial"/>
              </w:rPr>
              <w:t>will expand the search for candidates of positions to wider international researcher</w:t>
            </w:r>
            <w:r w:rsidR="000A31B1">
              <w:rPr>
                <w:rFonts w:ascii="Calibri" w:eastAsia="Calibri" w:hAnsi="Calibri" w:cs="Arial"/>
              </w:rPr>
              <w:t xml:space="preserve"> networks, </w:t>
            </w:r>
            <w:r w:rsidR="005728A7">
              <w:rPr>
                <w:rFonts w:ascii="Calibri" w:eastAsia="Calibri" w:hAnsi="Calibri" w:cs="Arial"/>
              </w:rPr>
              <w:lastRenderedPageBreak/>
              <w:t xml:space="preserve">including </w:t>
            </w:r>
            <w:r w:rsidR="000A31B1">
              <w:rPr>
                <w:rFonts w:ascii="Calibri" w:eastAsia="Calibri" w:hAnsi="Calibri" w:cs="Arial"/>
              </w:rPr>
              <w:t xml:space="preserve">the International Association of Agricultural Economists, and Applied Agricultural Economics Association, and </w:t>
            </w:r>
            <w:r w:rsidR="000A31B1" w:rsidRPr="000A31B1">
              <w:rPr>
                <w:rFonts w:ascii="Calibri" w:eastAsia="Calibri" w:hAnsi="Calibri" w:cs="Arial"/>
              </w:rPr>
              <w:t>universities</w:t>
            </w:r>
            <w:r w:rsidR="005728A7">
              <w:rPr>
                <w:rFonts w:ascii="Calibri" w:eastAsia="Calibri" w:hAnsi="Calibri" w:cs="Arial"/>
              </w:rPr>
              <w:t xml:space="preserve">. ICARDA </w:t>
            </w:r>
            <w:r w:rsidR="000A31B1" w:rsidRPr="000A31B1">
              <w:rPr>
                <w:rFonts w:ascii="Calibri" w:eastAsia="Calibri" w:hAnsi="Calibri" w:cs="Arial"/>
              </w:rPr>
              <w:t xml:space="preserve">agrees that this will enhance </w:t>
            </w:r>
            <w:r w:rsidR="006913DD">
              <w:rPr>
                <w:rFonts w:ascii="Calibri" w:eastAsia="Calibri" w:hAnsi="Calibri" w:cs="Arial"/>
              </w:rPr>
              <w:t xml:space="preserve">the </w:t>
            </w:r>
            <w:r w:rsidR="000A31B1" w:rsidRPr="000A31B1">
              <w:rPr>
                <w:rFonts w:ascii="Calibri" w:eastAsia="Calibri" w:hAnsi="Calibri" w:cs="Arial"/>
              </w:rPr>
              <w:t>center</w:t>
            </w:r>
            <w:r w:rsidR="006913DD">
              <w:rPr>
                <w:rFonts w:ascii="Calibri" w:eastAsia="Calibri" w:hAnsi="Calibri" w:cs="Arial"/>
              </w:rPr>
              <w:t>’</w:t>
            </w:r>
            <w:r w:rsidR="000A31B1" w:rsidRPr="000A31B1">
              <w:rPr>
                <w:rFonts w:ascii="Calibri" w:eastAsia="Calibri" w:hAnsi="Calibri" w:cs="Arial"/>
              </w:rPr>
              <w:t xml:space="preserve">s familiarity and visibility. </w:t>
            </w:r>
          </w:p>
        </w:tc>
      </w:tr>
      <w:tr w:rsidR="00F97EE4" w:rsidTr="00B6403B">
        <w:trPr>
          <w:trHeight w:val="433"/>
        </w:trPr>
        <w:tc>
          <w:tcPr>
            <w:tcW w:w="6735" w:type="dxa"/>
            <w:tcBorders>
              <w:bottom w:val="single" w:sz="4" w:space="0" w:color="auto"/>
            </w:tcBorders>
          </w:tcPr>
          <w:p w:rsidR="00F97EE4" w:rsidRDefault="00F97EE4" w:rsidP="00F2445C">
            <w:pPr>
              <w:pStyle w:val="ListParagraph"/>
              <w:numPr>
                <w:ilvl w:val="0"/>
                <w:numId w:val="4"/>
              </w:numPr>
            </w:pPr>
            <w:r>
              <w:lastRenderedPageBreak/>
              <w:t>T</w:t>
            </w:r>
            <w:r w:rsidRPr="00844888">
              <w:t xml:space="preserve">he panel recommends that </w:t>
            </w:r>
            <w:r>
              <w:t xml:space="preserve">long-term </w:t>
            </w:r>
            <w:r w:rsidRPr="00844888">
              <w:t xml:space="preserve">panel data </w:t>
            </w:r>
            <w:r>
              <w:t xml:space="preserve">be collected </w:t>
            </w:r>
            <w:r w:rsidRPr="00844888">
              <w:t>for</w:t>
            </w:r>
            <w:r>
              <w:t xml:space="preserve"> household </w:t>
            </w:r>
            <w:r w:rsidRPr="00844888">
              <w:t xml:space="preserve">vulnerability assessment </w:t>
            </w:r>
            <w:r>
              <w:t>g</w:t>
            </w:r>
            <w:r w:rsidRPr="0045470C">
              <w:t>iven the interest in the region on household vulnerability and adapt</w:t>
            </w:r>
            <w:r>
              <w:t>ation to climate-related shocks</w:t>
            </w:r>
            <w:r w:rsidRPr="0045470C">
              <w:t>.</w:t>
            </w:r>
          </w:p>
        </w:tc>
        <w:tc>
          <w:tcPr>
            <w:tcW w:w="6736" w:type="dxa"/>
            <w:tcBorders>
              <w:bottom w:val="single" w:sz="4" w:space="0" w:color="auto"/>
            </w:tcBorders>
          </w:tcPr>
          <w:p w:rsidR="00F97EE4" w:rsidRPr="00405A28" w:rsidRDefault="00BB6F4C" w:rsidP="00B6403B">
            <w:pPr>
              <w:rPr>
                <w:b/>
              </w:rPr>
            </w:pPr>
            <w:r w:rsidRPr="00405A28">
              <w:rPr>
                <w:b/>
              </w:rPr>
              <w:t>Accepted</w:t>
            </w:r>
          </w:p>
          <w:p w:rsidR="00BB6F4C" w:rsidRPr="00634642" w:rsidRDefault="00BB6F4C" w:rsidP="00B6403B">
            <w:pPr>
              <w:rPr>
                <w:color w:val="FF0000"/>
              </w:rPr>
            </w:pPr>
            <w:r>
              <w:t xml:space="preserve">ICARDA </w:t>
            </w:r>
            <w:r w:rsidR="00214258">
              <w:t xml:space="preserve">accepts the panel recommendation and SEPRP will increase its intensity in the </w:t>
            </w:r>
            <w:r>
              <w:t xml:space="preserve">collection of long-term </w:t>
            </w:r>
            <w:r w:rsidRPr="00844888">
              <w:t>panel</w:t>
            </w:r>
            <w:r w:rsidR="006913DD">
              <w:t xml:space="preserve"> (what is panel data?)</w:t>
            </w:r>
            <w:r w:rsidRPr="00844888">
              <w:t xml:space="preserve"> data </w:t>
            </w:r>
            <w:r w:rsidR="00214258">
              <w:t xml:space="preserve">that will enable to understand </w:t>
            </w:r>
            <w:r>
              <w:t xml:space="preserve">household </w:t>
            </w:r>
            <w:r w:rsidRPr="00844888">
              <w:t>vulnerability assessment</w:t>
            </w:r>
            <w:r>
              <w:t xml:space="preserve">; this will be part of the CRP Dryland systems </w:t>
            </w:r>
            <w:r w:rsidR="00214258">
              <w:t xml:space="preserve">research </w:t>
            </w:r>
            <w:r>
              <w:t xml:space="preserve">agenda </w:t>
            </w:r>
            <w:r w:rsidR="00214258">
              <w:t xml:space="preserve">and </w:t>
            </w:r>
            <w:r w:rsidR="006913DD">
              <w:t xml:space="preserve">the </w:t>
            </w:r>
            <w:r w:rsidR="00214258">
              <w:t xml:space="preserve">integrated research approach </w:t>
            </w:r>
            <w:r>
              <w:t xml:space="preserve">given the fact that </w:t>
            </w:r>
            <w:r w:rsidR="00214258">
              <w:t xml:space="preserve">systems analysis </w:t>
            </w:r>
            <w:r>
              <w:t xml:space="preserve">is a major theme in the dryland systems research. </w:t>
            </w:r>
          </w:p>
        </w:tc>
      </w:tr>
      <w:tr w:rsidR="00021485" w:rsidTr="00B6403B">
        <w:trPr>
          <w:trHeight w:val="433"/>
        </w:trPr>
        <w:tc>
          <w:tcPr>
            <w:tcW w:w="13471" w:type="dxa"/>
            <w:gridSpan w:val="2"/>
            <w:shd w:val="clear" w:color="auto" w:fill="D9D9D9" w:themeFill="background1" w:themeFillShade="D9"/>
          </w:tcPr>
          <w:p w:rsidR="00021485" w:rsidRDefault="00021485" w:rsidP="00B6403B">
            <w:pPr>
              <w:pStyle w:val="Heading2"/>
              <w:outlineLvl w:val="1"/>
            </w:pPr>
            <w:bookmarkStart w:id="5" w:name="_Toc389740811"/>
            <w:bookmarkStart w:id="6" w:name="_Toc399751410"/>
            <w:r w:rsidRPr="0045470C">
              <w:t>7.4</w:t>
            </w:r>
            <w:r w:rsidRPr="0045470C">
              <w:tab/>
              <w:t>Resources</w:t>
            </w:r>
            <w:bookmarkEnd w:id="5"/>
            <w:bookmarkEnd w:id="6"/>
          </w:p>
        </w:tc>
      </w:tr>
      <w:tr w:rsidR="00F97EE4" w:rsidTr="00B6403B">
        <w:trPr>
          <w:trHeight w:val="433"/>
        </w:trPr>
        <w:tc>
          <w:tcPr>
            <w:tcW w:w="6735" w:type="dxa"/>
          </w:tcPr>
          <w:p w:rsidR="00F97EE4" w:rsidRDefault="00021485" w:rsidP="00634642">
            <w:pPr>
              <w:numPr>
                <w:ilvl w:val="0"/>
                <w:numId w:val="5"/>
              </w:numPr>
              <w:ind w:left="425" w:hanging="425"/>
            </w:pPr>
            <w:r>
              <w:t>In</w:t>
            </w:r>
            <w:r w:rsidRPr="00B42451">
              <w:t xml:space="preserve"> view of the challenges ahead </w:t>
            </w:r>
            <w:r>
              <w:t>and b</w:t>
            </w:r>
            <w:r w:rsidRPr="00903E2D">
              <w:t>ased on the assessment of SEPRP</w:t>
            </w:r>
            <w:r>
              <w:t xml:space="preserve">’s </w:t>
            </w:r>
            <w:r w:rsidRPr="00903E2D">
              <w:t xml:space="preserve">human resources the panel </w:t>
            </w:r>
            <w:r>
              <w:t xml:space="preserve">strongly recommends </w:t>
            </w:r>
            <w:r w:rsidRPr="00903E2D">
              <w:t>the appointment of ad</w:t>
            </w:r>
            <w:r>
              <w:t>ditional research staff in SEPR</w:t>
            </w:r>
            <w:r w:rsidRPr="00903E2D">
              <w:t xml:space="preserve"> </w:t>
            </w:r>
            <w:r>
              <w:t>with the following priorities: (1) E</w:t>
            </w:r>
            <w:r w:rsidRPr="00903E2D">
              <w:t>conometrician who can especially help to improve the work in adoption and impact assessment but also in natural resource economics</w:t>
            </w:r>
            <w:r>
              <w:t>; (2)</w:t>
            </w:r>
            <w:r w:rsidRPr="00903E2D">
              <w:t xml:space="preserve"> Policy research, in order for ICARDA to capitalize on the ongoing changes in agricultural policy </w:t>
            </w:r>
            <w:r>
              <w:t xml:space="preserve">especially </w:t>
            </w:r>
            <w:r w:rsidRPr="00903E2D">
              <w:t xml:space="preserve">in </w:t>
            </w:r>
            <w:r>
              <w:t xml:space="preserve">the </w:t>
            </w:r>
            <w:r w:rsidRPr="00903E2D">
              <w:t xml:space="preserve">Arab countries to become a </w:t>
            </w:r>
            <w:r>
              <w:t>C</w:t>
            </w:r>
            <w:r w:rsidRPr="00903E2D">
              <w:t xml:space="preserve">enter of </w:t>
            </w:r>
            <w:r>
              <w:t>E</w:t>
            </w:r>
            <w:r w:rsidRPr="00903E2D">
              <w:t>xcellen</w:t>
            </w:r>
            <w:r>
              <w:t xml:space="preserve">ce for Agricultural Policy in the region; (3) </w:t>
            </w:r>
            <w:r w:rsidRPr="00903E2D">
              <w:t xml:space="preserve">resource and environmental economics </w:t>
            </w:r>
            <w:r>
              <w:t xml:space="preserve">to </w:t>
            </w:r>
            <w:r w:rsidRPr="00903E2D">
              <w:t>enhance SE</w:t>
            </w:r>
            <w:r w:rsidR="005728A7">
              <w:t>P</w:t>
            </w:r>
            <w:r w:rsidRPr="00903E2D">
              <w:t>RP’s capacity in environmental policy.</w:t>
            </w:r>
            <w:r w:rsidR="00634642">
              <w:t xml:space="preserve"> </w:t>
            </w:r>
          </w:p>
        </w:tc>
        <w:tc>
          <w:tcPr>
            <w:tcW w:w="6736" w:type="dxa"/>
          </w:tcPr>
          <w:p w:rsidR="00DC0C12" w:rsidRPr="00405A28" w:rsidRDefault="00DC0C12" w:rsidP="00B6403B">
            <w:pPr>
              <w:rPr>
                <w:b/>
              </w:rPr>
            </w:pPr>
            <w:r w:rsidRPr="00405A28">
              <w:rPr>
                <w:b/>
              </w:rPr>
              <w:t>Accepted</w:t>
            </w:r>
          </w:p>
          <w:p w:rsidR="007D4B00" w:rsidRPr="00634642" w:rsidRDefault="00DC0C12" w:rsidP="006913DD">
            <w:pPr>
              <w:rPr>
                <w:color w:val="FF0000"/>
              </w:rPr>
            </w:pPr>
            <w:r>
              <w:t xml:space="preserve">ICARDA </w:t>
            </w:r>
            <w:r w:rsidR="007D4B00">
              <w:t xml:space="preserve">welcomes </w:t>
            </w:r>
            <w:r>
              <w:t xml:space="preserve">the panel recommendation and understands the value </w:t>
            </w:r>
            <w:r w:rsidRPr="00B82829">
              <w:t>of increasing the capacity of the social, economic and policy research</w:t>
            </w:r>
            <w:r w:rsidR="007D4B00" w:rsidRPr="00B82829">
              <w:t>. Thus</w:t>
            </w:r>
            <w:r w:rsidRPr="00B82829">
              <w:t xml:space="preserve">, resources permitting, </w:t>
            </w:r>
            <w:r w:rsidR="007D4B00" w:rsidRPr="00B82829">
              <w:t xml:space="preserve">ICARDA </w:t>
            </w:r>
            <w:r w:rsidRPr="00B82829">
              <w:t>will acquire staff with strong econometric skills</w:t>
            </w:r>
            <w:r w:rsidR="007D4B00" w:rsidRPr="00B82829">
              <w:t xml:space="preserve"> </w:t>
            </w:r>
            <w:r w:rsidR="00AB0341" w:rsidRPr="00B82829">
              <w:t>(</w:t>
            </w:r>
            <w:r w:rsidR="006913DD">
              <w:t>e</w:t>
            </w:r>
            <w:r w:rsidR="00AB0341" w:rsidRPr="00B82829">
              <w:t xml:space="preserve">conometrician) </w:t>
            </w:r>
            <w:r w:rsidR="007D4B00" w:rsidRPr="00B82829">
              <w:t>as a priority</w:t>
            </w:r>
            <w:r w:rsidR="00AB0341" w:rsidRPr="00B82829">
              <w:t xml:space="preserve">. The other two proposed positions (policy research and resource and environmental economics) have skills which </w:t>
            </w:r>
            <w:r w:rsidR="00EC751C">
              <w:t xml:space="preserve">may </w:t>
            </w:r>
            <w:r w:rsidR="00EC751C" w:rsidRPr="00B82829">
              <w:t>be</w:t>
            </w:r>
            <w:r w:rsidR="00AB0341" w:rsidRPr="00B82829">
              <w:t xml:space="preserve"> combined in a single position.</w:t>
            </w:r>
            <w:r w:rsidR="00AB0341">
              <w:t xml:space="preserve">  </w:t>
            </w:r>
          </w:p>
          <w:p w:rsidR="00F97EE4" w:rsidRDefault="00F97EE4" w:rsidP="00B6403B"/>
        </w:tc>
      </w:tr>
      <w:tr w:rsidR="00DC0C12" w:rsidTr="00B6403B">
        <w:trPr>
          <w:trHeight w:val="433"/>
        </w:trPr>
        <w:tc>
          <w:tcPr>
            <w:tcW w:w="6735" w:type="dxa"/>
          </w:tcPr>
          <w:p w:rsidR="00DC0C12" w:rsidRDefault="007D4B00" w:rsidP="005728A7">
            <w:pPr>
              <w:numPr>
                <w:ilvl w:val="0"/>
                <w:numId w:val="5"/>
              </w:numPr>
              <w:ind w:left="426" w:hanging="426"/>
            </w:pPr>
            <w:r>
              <w:t>T</w:t>
            </w:r>
            <w:r w:rsidRPr="00903E2D">
              <w:t>he panel strongly encourages ICARDA to seek additional funding outside the CRP</w:t>
            </w:r>
            <w:r w:rsidR="005728A7">
              <w:t>s</w:t>
            </w:r>
            <w:r w:rsidRPr="00903E2D">
              <w:t xml:space="preserve"> in order to establish a SEPRP-specific research program on agricultural policy analysis and capacity building in its partner countries. Effective collaboration with IFPRI and/or appropriate ARIs will be crucial to implement such strategy.</w:t>
            </w:r>
          </w:p>
        </w:tc>
        <w:tc>
          <w:tcPr>
            <w:tcW w:w="6736" w:type="dxa"/>
          </w:tcPr>
          <w:p w:rsidR="00DC0C12" w:rsidRPr="00405A28" w:rsidRDefault="007D4B00" w:rsidP="00B6403B">
            <w:pPr>
              <w:rPr>
                <w:b/>
              </w:rPr>
            </w:pPr>
            <w:r w:rsidRPr="00405A28">
              <w:rPr>
                <w:b/>
              </w:rPr>
              <w:t>Partially a</w:t>
            </w:r>
            <w:r w:rsidR="00405A28" w:rsidRPr="00405A28">
              <w:rPr>
                <w:b/>
              </w:rPr>
              <w:t>ccepted</w:t>
            </w:r>
          </w:p>
          <w:p w:rsidR="00DC0C12" w:rsidRPr="00634642" w:rsidRDefault="00DC0C12" w:rsidP="006913DD">
            <w:pPr>
              <w:rPr>
                <w:color w:val="FF0000"/>
              </w:rPr>
            </w:pPr>
            <w:r>
              <w:t xml:space="preserve">ICARDA </w:t>
            </w:r>
            <w:r w:rsidR="00214258">
              <w:t xml:space="preserve">accepts the panel recommendation and </w:t>
            </w:r>
            <w:r>
              <w:t xml:space="preserve">will seek additional </w:t>
            </w:r>
            <w:r w:rsidR="007D4B00">
              <w:t xml:space="preserve">funding from bilateral sources to support </w:t>
            </w:r>
            <w:r>
              <w:t xml:space="preserve">strategic social, economic and policy research activities and </w:t>
            </w:r>
            <w:r w:rsidRPr="00B82829">
              <w:t>capacity development</w:t>
            </w:r>
            <w:r w:rsidR="0003606B" w:rsidRPr="00B82829">
              <w:t xml:space="preserve">, which may not be sufficiently funded through the CRP, and strengthen the </w:t>
            </w:r>
            <w:r w:rsidRPr="00B82829">
              <w:t>collaboration with advanced research ARIs and IFPRI.</w:t>
            </w:r>
            <w:r w:rsidR="007D4B00" w:rsidRPr="00B82829">
              <w:t xml:space="preserve"> </w:t>
            </w:r>
            <w:r w:rsidR="00AB0341" w:rsidRPr="00B82829">
              <w:t>Well founded social, economic and policy research proposal</w:t>
            </w:r>
            <w:r w:rsidR="006913DD">
              <w:t>s</w:t>
            </w:r>
            <w:r w:rsidR="00AB0341" w:rsidRPr="00B82829">
              <w:t xml:space="preserve"> will be sent to specific donors including IFAD, Arab Fund, EU and other</w:t>
            </w:r>
            <w:r w:rsidR="006913DD">
              <w:t>s</w:t>
            </w:r>
            <w:r w:rsidR="00EC751C">
              <w:t>.</w:t>
            </w:r>
            <w:r w:rsidR="00AB0341">
              <w:t xml:space="preserve"> </w:t>
            </w:r>
          </w:p>
        </w:tc>
      </w:tr>
      <w:tr w:rsidR="00F97EE4" w:rsidTr="00B6403B">
        <w:trPr>
          <w:trHeight w:val="433"/>
        </w:trPr>
        <w:tc>
          <w:tcPr>
            <w:tcW w:w="6735" w:type="dxa"/>
            <w:tcBorders>
              <w:bottom w:val="single" w:sz="4" w:space="0" w:color="auto"/>
            </w:tcBorders>
          </w:tcPr>
          <w:p w:rsidR="0003606B" w:rsidRPr="00903E2D" w:rsidRDefault="0003606B" w:rsidP="0003606B">
            <w:pPr>
              <w:numPr>
                <w:ilvl w:val="0"/>
                <w:numId w:val="5"/>
              </w:numPr>
            </w:pPr>
            <w:r w:rsidRPr="00903E2D">
              <w:t xml:space="preserve">The panel recommends </w:t>
            </w:r>
            <w:r>
              <w:t xml:space="preserve">strengthening </w:t>
            </w:r>
            <w:r w:rsidRPr="00903E2D">
              <w:t>SEPR</w:t>
            </w:r>
            <w:r>
              <w:t>P’s NRM research</w:t>
            </w:r>
            <w:r w:rsidRPr="00903E2D">
              <w:t xml:space="preserve"> in Morocco</w:t>
            </w:r>
            <w:r>
              <w:t xml:space="preserve">, e.g. with </w:t>
            </w:r>
            <w:r w:rsidRPr="00903E2D">
              <w:t xml:space="preserve">focus on climate change and NRM </w:t>
            </w:r>
            <w:r w:rsidRPr="00D15ED6">
              <w:t>activities to</w:t>
            </w:r>
            <w:r>
              <w:t xml:space="preserve"> support both the </w:t>
            </w:r>
            <w:r w:rsidRPr="00110FEE">
              <w:t>Morocco</w:t>
            </w:r>
            <w:r>
              <w:t xml:space="preserve"> country program and to </w:t>
            </w:r>
            <w:r w:rsidRPr="00110FEE">
              <w:t>strengthen the global responsibility of ICARDA’s Research Platform in Morocco</w:t>
            </w:r>
            <w:r>
              <w:t xml:space="preserve">.  </w:t>
            </w:r>
          </w:p>
          <w:p w:rsidR="00F97EE4" w:rsidRDefault="00F97EE4" w:rsidP="0003606B">
            <w:pPr>
              <w:ind w:left="420"/>
            </w:pPr>
          </w:p>
        </w:tc>
        <w:tc>
          <w:tcPr>
            <w:tcW w:w="6736" w:type="dxa"/>
            <w:tcBorders>
              <w:bottom w:val="single" w:sz="4" w:space="0" w:color="auto"/>
            </w:tcBorders>
          </w:tcPr>
          <w:p w:rsidR="00F97EE4" w:rsidRPr="00405A28" w:rsidRDefault="0026261F" w:rsidP="00B6403B">
            <w:pPr>
              <w:rPr>
                <w:b/>
              </w:rPr>
            </w:pPr>
            <w:r>
              <w:t xml:space="preserve"> </w:t>
            </w:r>
            <w:r w:rsidR="0003606B" w:rsidRPr="00405A28">
              <w:rPr>
                <w:b/>
              </w:rPr>
              <w:t>Accepted</w:t>
            </w:r>
          </w:p>
          <w:p w:rsidR="0003606B" w:rsidRPr="00634642" w:rsidRDefault="0003606B" w:rsidP="006913DD">
            <w:pPr>
              <w:rPr>
                <w:color w:val="FF0000"/>
              </w:rPr>
            </w:pPr>
            <w:r>
              <w:t xml:space="preserve">ICARDA </w:t>
            </w:r>
            <w:r w:rsidR="00214258">
              <w:t xml:space="preserve">accepts the panel recommendation and </w:t>
            </w:r>
            <w:r>
              <w:t xml:space="preserve">will strengthen SEPRP’s NRM research in Morocco, including climate change, particularly under the Dryland systems CRP where Morocco is a major research site; </w:t>
            </w:r>
            <w:r w:rsidR="00434A0F">
              <w:t xml:space="preserve">current </w:t>
            </w:r>
            <w:r>
              <w:t xml:space="preserve">research in this site includes bio-economic modeling which </w:t>
            </w:r>
            <w:r w:rsidR="00434A0F">
              <w:t xml:space="preserve">aims </w:t>
            </w:r>
            <w:r w:rsidR="00434A0F">
              <w:lastRenderedPageBreak/>
              <w:t xml:space="preserve">at analyzing the sustainability of the production system by making </w:t>
            </w:r>
            <w:r>
              <w:t xml:space="preserve">simulations </w:t>
            </w:r>
            <w:r w:rsidR="006913DD">
              <w:t xml:space="preserve">under </w:t>
            </w:r>
            <w:r w:rsidR="00434A0F">
              <w:t xml:space="preserve"> different </w:t>
            </w:r>
            <w:r>
              <w:t xml:space="preserve">climate change </w:t>
            </w:r>
            <w:r w:rsidR="00434A0F">
              <w:t xml:space="preserve">scenarios and measuring the effects </w:t>
            </w:r>
            <w:r>
              <w:t xml:space="preserve">on </w:t>
            </w:r>
            <w:r w:rsidR="00434A0F">
              <w:t xml:space="preserve">the quality and quantity of resources and ultimately on </w:t>
            </w:r>
            <w:r>
              <w:t>agricultur</w:t>
            </w:r>
            <w:r w:rsidR="00B82829">
              <w:t xml:space="preserve">al production and farm income. </w:t>
            </w:r>
          </w:p>
        </w:tc>
      </w:tr>
      <w:tr w:rsidR="0003606B" w:rsidTr="00B6403B">
        <w:trPr>
          <w:trHeight w:val="433"/>
        </w:trPr>
        <w:tc>
          <w:tcPr>
            <w:tcW w:w="6735" w:type="dxa"/>
            <w:tcBorders>
              <w:bottom w:val="single" w:sz="4" w:space="0" w:color="auto"/>
            </w:tcBorders>
          </w:tcPr>
          <w:p w:rsidR="0003606B" w:rsidRPr="00903E2D" w:rsidRDefault="0003606B" w:rsidP="0003606B">
            <w:pPr>
              <w:numPr>
                <w:ilvl w:val="0"/>
                <w:numId w:val="5"/>
              </w:numPr>
            </w:pPr>
            <w:r w:rsidRPr="00903E2D">
              <w:lastRenderedPageBreak/>
              <w:t xml:space="preserve">The Review Panel supports ICARDA’s </w:t>
            </w:r>
            <w:r>
              <w:t xml:space="preserve">strategy </w:t>
            </w:r>
            <w:r w:rsidRPr="00903E2D">
              <w:t xml:space="preserve">of placing </w:t>
            </w:r>
            <w:r>
              <w:t xml:space="preserve">or identifying </w:t>
            </w:r>
            <w:r w:rsidRPr="00903E2D">
              <w:t>a national expert in each Ministry of Agriculture of cooperating national programs to be selected from the cooperat</w:t>
            </w:r>
            <w:r>
              <w:t>ing socioeconomic units of NRIs.</w:t>
            </w:r>
          </w:p>
        </w:tc>
        <w:tc>
          <w:tcPr>
            <w:tcW w:w="6736" w:type="dxa"/>
            <w:tcBorders>
              <w:bottom w:val="single" w:sz="4" w:space="0" w:color="auto"/>
            </w:tcBorders>
          </w:tcPr>
          <w:p w:rsidR="0003606B" w:rsidRPr="00405A28" w:rsidRDefault="00450D8F" w:rsidP="00B6403B">
            <w:pPr>
              <w:rPr>
                <w:b/>
              </w:rPr>
            </w:pPr>
            <w:r w:rsidRPr="00405A28">
              <w:rPr>
                <w:b/>
              </w:rPr>
              <w:t xml:space="preserve">Partially </w:t>
            </w:r>
            <w:r w:rsidR="0003606B" w:rsidRPr="00405A28">
              <w:rPr>
                <w:b/>
              </w:rPr>
              <w:t>Accepted</w:t>
            </w:r>
          </w:p>
          <w:p w:rsidR="0003606B" w:rsidRPr="000A6DFA" w:rsidRDefault="0003606B" w:rsidP="00B6403B">
            <w:pPr>
              <w:rPr>
                <w:color w:val="FF0000"/>
              </w:rPr>
            </w:pPr>
            <w:r>
              <w:t>ICARDA</w:t>
            </w:r>
            <w:r w:rsidR="006913DD">
              <w:t xml:space="preserve"> recognizes the importance of this recommendation and</w:t>
            </w:r>
            <w:r>
              <w:t xml:space="preserve"> will further evaluate the feasibility and value of the idea of identifying and placing national socioeconomic expert </w:t>
            </w:r>
            <w:r w:rsidR="006E7130">
              <w:t xml:space="preserve">at </w:t>
            </w:r>
            <w:r>
              <w:t>ministr</w:t>
            </w:r>
            <w:r w:rsidR="006E7130">
              <w:t>ies</w:t>
            </w:r>
            <w:r>
              <w:t xml:space="preserve"> of agriculture to provide detailed understanding of policy-making process and priorities</w:t>
            </w:r>
            <w:r w:rsidR="00ED3858">
              <w:t xml:space="preserve">, and increasing the chances of </w:t>
            </w:r>
            <w:r w:rsidR="00214258">
              <w:t xml:space="preserve">taking up policy research outputs. </w:t>
            </w:r>
            <w:r w:rsidR="00B82829">
              <w:t xml:space="preserve"> </w:t>
            </w:r>
          </w:p>
        </w:tc>
      </w:tr>
      <w:tr w:rsidR="00214258" w:rsidTr="00B6403B">
        <w:trPr>
          <w:trHeight w:val="433"/>
        </w:trPr>
        <w:tc>
          <w:tcPr>
            <w:tcW w:w="13471" w:type="dxa"/>
            <w:gridSpan w:val="2"/>
            <w:shd w:val="clear" w:color="auto" w:fill="D9D9D9" w:themeFill="background1" w:themeFillShade="D9"/>
          </w:tcPr>
          <w:p w:rsidR="00214258" w:rsidRPr="00214258" w:rsidRDefault="00214258" w:rsidP="00B6403B">
            <w:pPr>
              <w:rPr>
                <w:sz w:val="28"/>
                <w:szCs w:val="28"/>
              </w:rPr>
            </w:pPr>
            <w:bookmarkStart w:id="7" w:name="_Toc399751411"/>
            <w:r w:rsidRPr="00214258">
              <w:rPr>
                <w:sz w:val="28"/>
                <w:szCs w:val="28"/>
              </w:rPr>
              <w:t>7.5</w:t>
            </w:r>
            <w:r w:rsidRPr="00214258">
              <w:rPr>
                <w:sz w:val="28"/>
                <w:szCs w:val="28"/>
              </w:rPr>
              <w:tab/>
              <w:t>Research development continuum</w:t>
            </w:r>
            <w:bookmarkEnd w:id="7"/>
          </w:p>
        </w:tc>
      </w:tr>
      <w:tr w:rsidR="00021485" w:rsidTr="00B6403B">
        <w:trPr>
          <w:trHeight w:val="433"/>
        </w:trPr>
        <w:tc>
          <w:tcPr>
            <w:tcW w:w="6735" w:type="dxa"/>
          </w:tcPr>
          <w:p w:rsidR="00021485" w:rsidRPr="0045470C" w:rsidRDefault="00021485" w:rsidP="00F2445C">
            <w:pPr>
              <w:pStyle w:val="ListParagraph"/>
              <w:numPr>
                <w:ilvl w:val="0"/>
                <w:numId w:val="6"/>
              </w:numPr>
              <w:ind w:left="426" w:hanging="426"/>
            </w:pPr>
            <w:r w:rsidRPr="0045470C">
              <w:t>Engagement at the developmental end of the continuum is important to maximize the relevance and impact of SEPRP’s research, but the review panel advises against SEPRP directly implementing development programs, despite encouragement from donors because of ICARDA’s regional presence and administrative capacity.</w:t>
            </w:r>
          </w:p>
          <w:p w:rsidR="00021485" w:rsidRDefault="00021485" w:rsidP="00BB6F4C">
            <w:pPr>
              <w:pStyle w:val="ListParagraph"/>
              <w:ind w:left="426"/>
              <w:jc w:val="center"/>
            </w:pPr>
          </w:p>
        </w:tc>
        <w:tc>
          <w:tcPr>
            <w:tcW w:w="6736" w:type="dxa"/>
          </w:tcPr>
          <w:p w:rsidR="00021485" w:rsidRPr="00405A28" w:rsidRDefault="00405A28" w:rsidP="00B6403B">
            <w:pPr>
              <w:rPr>
                <w:b/>
              </w:rPr>
            </w:pPr>
            <w:r w:rsidRPr="00405A28">
              <w:rPr>
                <w:b/>
              </w:rPr>
              <w:t>Accepted</w:t>
            </w:r>
          </w:p>
          <w:p w:rsidR="00021485" w:rsidRDefault="00021485" w:rsidP="00C27B2F">
            <w:r>
              <w:t>ICARDA</w:t>
            </w:r>
            <w:r w:rsidR="00595C46">
              <w:t xml:space="preserve"> accepts the panel recommendation </w:t>
            </w:r>
            <w:r w:rsidR="00434A0F">
              <w:t xml:space="preserve">that </w:t>
            </w:r>
            <w:r>
              <w:t xml:space="preserve">S, E &amp; P research will not </w:t>
            </w:r>
            <w:r w:rsidR="00595C46">
              <w:t xml:space="preserve">directly </w:t>
            </w:r>
            <w:r>
              <w:t xml:space="preserve">implement </w:t>
            </w:r>
            <w:r w:rsidR="00AA3618">
              <w:t xml:space="preserve">development </w:t>
            </w:r>
            <w:r>
              <w:t>program</w:t>
            </w:r>
            <w:r w:rsidR="00AA3618">
              <w:t>s, but</w:t>
            </w:r>
            <w:r w:rsidR="00C27B2F">
              <w:t xml:space="preserve"> rather</w:t>
            </w:r>
            <w:r w:rsidR="00AA3618">
              <w:t xml:space="preserve"> will conduct development policy research that </w:t>
            </w:r>
            <w:r w:rsidR="00C27B2F">
              <w:t xml:space="preserve">evaluates </w:t>
            </w:r>
            <w:r w:rsidR="00AA3618">
              <w:t xml:space="preserve"> </w:t>
            </w:r>
            <w:r w:rsidR="00C27B2F">
              <w:t xml:space="preserve">how and why different </w:t>
            </w:r>
            <w:r w:rsidR="00AA3618">
              <w:t xml:space="preserve">interventions work </w:t>
            </w:r>
            <w:r w:rsidR="00C27B2F">
              <w:t xml:space="preserve">or not to </w:t>
            </w:r>
            <w:r w:rsidR="00AA3618">
              <w:t xml:space="preserve"> achieve the CGIAR goals and  improv</w:t>
            </w:r>
            <w:r w:rsidR="00C27B2F">
              <w:t>e</w:t>
            </w:r>
            <w:r w:rsidR="00AA3618">
              <w:t xml:space="preserve"> </w:t>
            </w:r>
            <w:r w:rsidR="00C27B2F">
              <w:t xml:space="preserve">on </w:t>
            </w:r>
            <w:r w:rsidR="00AA3618">
              <w:t xml:space="preserve">their efficiency; these may include ways to enhance market value chains, better agricultural advisory services, gender empowerment interventions, </w:t>
            </w:r>
            <w:r w:rsidR="00C27B2F">
              <w:t>etc</w:t>
            </w:r>
            <w:r w:rsidR="00434A0F">
              <w:t xml:space="preserve">. </w:t>
            </w:r>
            <w:r w:rsidR="00595C46">
              <w:t xml:space="preserve">In this regard, SEPRP will </w:t>
            </w:r>
            <w:r w:rsidR="00434A0F">
              <w:t xml:space="preserve">design and implement </w:t>
            </w:r>
            <w:r w:rsidR="00EC751C">
              <w:t>research to</w:t>
            </w:r>
            <w:r w:rsidR="00C27B2F">
              <w:t xml:space="preserve"> </w:t>
            </w:r>
            <w:r w:rsidR="00434A0F">
              <w:t>measur</w:t>
            </w:r>
            <w:r w:rsidR="00C27B2F">
              <w:t>e</w:t>
            </w:r>
            <w:r w:rsidR="00434A0F">
              <w:t xml:space="preserve"> efficacy. Moreover, SEPRP will also </w:t>
            </w:r>
            <w:r w:rsidR="00871895">
              <w:t xml:space="preserve">conduct </w:t>
            </w:r>
            <w:r w:rsidR="00871895" w:rsidRPr="00871895">
              <w:rPr>
                <w:i/>
              </w:rPr>
              <w:t>ex post</w:t>
            </w:r>
            <w:r w:rsidR="00871895">
              <w:t xml:space="preserve"> impact assessment of </w:t>
            </w:r>
            <w:r w:rsidR="00595C46">
              <w:t xml:space="preserve">interventions already rolled out by development agencies </w:t>
            </w:r>
            <w:r w:rsidR="00434A0F">
              <w:t>and partners</w:t>
            </w:r>
            <w:r w:rsidR="00C27B2F">
              <w:t xml:space="preserve"> to better understand research and policy impacts</w:t>
            </w:r>
            <w:r w:rsidR="00434A0F">
              <w:t>.</w:t>
            </w:r>
            <w:r w:rsidR="00325F70">
              <w:t xml:space="preserve"> </w:t>
            </w:r>
          </w:p>
        </w:tc>
      </w:tr>
      <w:tr w:rsidR="00021485" w:rsidTr="00B6403B">
        <w:trPr>
          <w:trHeight w:val="433"/>
        </w:trPr>
        <w:tc>
          <w:tcPr>
            <w:tcW w:w="6735" w:type="dxa"/>
          </w:tcPr>
          <w:p w:rsidR="00021485" w:rsidRPr="0045470C" w:rsidRDefault="00021485" w:rsidP="00F2445C">
            <w:pPr>
              <w:pStyle w:val="ListParagraph"/>
              <w:numPr>
                <w:ilvl w:val="0"/>
                <w:numId w:val="6"/>
              </w:numPr>
              <w:ind w:left="426" w:hanging="426"/>
            </w:pPr>
            <w:r w:rsidRPr="0045470C">
              <w:t>The panel recommends SE</w:t>
            </w:r>
            <w:r w:rsidR="00450D8F">
              <w:t>P</w:t>
            </w:r>
            <w:r w:rsidRPr="0045470C">
              <w:t>RP to clarify its use of the terms ‘Learning Alliance’ and ‘Innovation Platforms’ to avoid confusion as to their purpose, targeted stakeholders and scale of interaction and influence. This will enable SE</w:t>
            </w:r>
            <w:r w:rsidR="00450D8F">
              <w:t>P</w:t>
            </w:r>
            <w:r w:rsidRPr="0045470C">
              <w:t>RP</w:t>
            </w:r>
            <w:r w:rsidR="00450D8F">
              <w:t>’s</w:t>
            </w:r>
            <w:r w:rsidRPr="0045470C">
              <w:t xml:space="preserve"> output in this area to contribute to the growing body of knowledge and experience in these areas, bringing the particular perspectives of introducing such approaches into formerly highly centralized government controlled systems</w:t>
            </w:r>
          </w:p>
          <w:p w:rsidR="00021485" w:rsidRDefault="00021485" w:rsidP="00BB6F4C">
            <w:pPr>
              <w:pStyle w:val="ListParagraph"/>
              <w:ind w:left="780"/>
              <w:jc w:val="center"/>
            </w:pPr>
          </w:p>
        </w:tc>
        <w:tc>
          <w:tcPr>
            <w:tcW w:w="6736" w:type="dxa"/>
          </w:tcPr>
          <w:p w:rsidR="00021485" w:rsidRPr="00405A28" w:rsidRDefault="00AA3618" w:rsidP="00B6403B">
            <w:pPr>
              <w:rPr>
                <w:b/>
              </w:rPr>
            </w:pPr>
            <w:r w:rsidRPr="00405A28">
              <w:rPr>
                <w:b/>
              </w:rPr>
              <w:t>Accepted</w:t>
            </w:r>
          </w:p>
          <w:p w:rsidR="00AA3618" w:rsidRPr="00B953F9" w:rsidRDefault="006E7130" w:rsidP="00C27B2F">
            <w:pPr>
              <w:rPr>
                <w:color w:val="FF0000"/>
              </w:rPr>
            </w:pPr>
            <w:r>
              <w:t xml:space="preserve">ICARDA </w:t>
            </w:r>
            <w:r w:rsidR="002A4483">
              <w:t xml:space="preserve">accepts the panels’ recommendation </w:t>
            </w:r>
            <w:r>
              <w:t xml:space="preserve">that SEPRP </w:t>
            </w:r>
            <w:r w:rsidR="00AA3618">
              <w:t>clarif</w:t>
            </w:r>
            <w:r>
              <w:t>ies</w:t>
            </w:r>
            <w:r w:rsidR="00AA3618">
              <w:t xml:space="preserve"> </w:t>
            </w:r>
            <w:r>
              <w:t xml:space="preserve">the </w:t>
            </w:r>
            <w:r w:rsidR="00AA3618" w:rsidRPr="0045470C">
              <w:t>use of the terms ‘Learning Alliance’ and ‘Innovation Platforms’ to avoid confusion</w:t>
            </w:r>
            <w:r w:rsidR="002A4483">
              <w:t>. ICARDA already initiated action on this recommendation with a workshop for all partner countries in the dryland systems research program where the definition</w:t>
            </w:r>
            <w:r w:rsidR="00C27B2F">
              <w:t>s</w:t>
            </w:r>
            <w:r w:rsidR="002A4483">
              <w:t xml:space="preserve"> and applications of these terms were discussed</w:t>
            </w:r>
            <w:r w:rsidR="00C27B2F">
              <w:t xml:space="preserve">. </w:t>
            </w:r>
            <w:r w:rsidR="002A4483">
              <w:t xml:space="preserve"> </w:t>
            </w:r>
            <w:r w:rsidR="00C27B2F">
              <w:t>D</w:t>
            </w:r>
            <w:r w:rsidR="002A4483">
              <w:t xml:space="preserve">raft papers </w:t>
            </w:r>
            <w:r w:rsidR="00450D8F">
              <w:t>are</w:t>
            </w:r>
            <w:r w:rsidR="002A4483">
              <w:t xml:space="preserve"> now being developed to address this point; this involves </w:t>
            </w:r>
            <w:r w:rsidR="00C27B2F">
              <w:t xml:space="preserve">a </w:t>
            </w:r>
            <w:r w:rsidR="0026261F">
              <w:t>literature</w:t>
            </w:r>
            <w:r w:rsidR="00AA3618">
              <w:t xml:space="preserve"> s</w:t>
            </w:r>
            <w:r w:rsidR="0026261F">
              <w:t xml:space="preserve">urvey </w:t>
            </w:r>
            <w:r w:rsidR="00AA3618">
              <w:t>and compilation of current practices</w:t>
            </w:r>
            <w:r w:rsidR="002A4483">
              <w:t xml:space="preserve"> and will lead to the publication of </w:t>
            </w:r>
            <w:r w:rsidR="00C27B2F">
              <w:t xml:space="preserve">an </w:t>
            </w:r>
            <w:r w:rsidR="0026261F">
              <w:t xml:space="preserve">ISI </w:t>
            </w:r>
            <w:r w:rsidR="002A4483">
              <w:t xml:space="preserve">journal article as well as general publications. </w:t>
            </w:r>
          </w:p>
        </w:tc>
      </w:tr>
    </w:tbl>
    <w:p w:rsidR="006F75B7" w:rsidRDefault="006F75B7"/>
    <w:sectPr w:rsidR="006F75B7" w:rsidSect="001C2625">
      <w:pgSz w:w="15840" w:h="12240" w:orient="landscape"/>
      <w:pgMar w:top="1152" w:right="720" w:bottom="86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042AF"/>
    <w:multiLevelType w:val="hybridMultilevel"/>
    <w:tmpl w:val="8E0A8A50"/>
    <w:lvl w:ilvl="0" w:tplc="ADE23DE2">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4BC7689B"/>
    <w:multiLevelType w:val="hybridMultilevel"/>
    <w:tmpl w:val="9612A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0F0649"/>
    <w:multiLevelType w:val="hybridMultilevel"/>
    <w:tmpl w:val="F092AE1C"/>
    <w:lvl w:ilvl="0" w:tplc="4D2A9D0A">
      <w:start w:val="1"/>
      <w:numFmt w:val="lowerLetter"/>
      <w:lvlText w:val="%1)"/>
      <w:lvlJc w:val="left"/>
      <w:pPr>
        <w:ind w:left="420" w:hanging="3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3">
    <w:nsid w:val="5E7332AE"/>
    <w:multiLevelType w:val="hybridMultilevel"/>
    <w:tmpl w:val="A1A26B84"/>
    <w:lvl w:ilvl="0" w:tplc="14A2E124">
      <w:start w:val="1"/>
      <w:numFmt w:val="lowerLetter"/>
      <w:lvlText w:val="%1)"/>
      <w:lvlJc w:val="left"/>
      <w:pPr>
        <w:ind w:left="360" w:hanging="360"/>
      </w:pPr>
      <w:rPr>
        <w:rFonts w:cs="Times New Roman"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65CB6611"/>
    <w:multiLevelType w:val="hybridMultilevel"/>
    <w:tmpl w:val="F092AE1C"/>
    <w:lvl w:ilvl="0" w:tplc="4D2A9D0A">
      <w:start w:val="1"/>
      <w:numFmt w:val="lowerLetter"/>
      <w:lvlText w:val="%1)"/>
      <w:lvlJc w:val="left"/>
      <w:pPr>
        <w:ind w:left="420" w:hanging="3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5">
    <w:nsid w:val="6E713852"/>
    <w:multiLevelType w:val="hybridMultilevel"/>
    <w:tmpl w:val="048E2B54"/>
    <w:lvl w:ilvl="0" w:tplc="04090017">
      <w:start w:val="1"/>
      <w:numFmt w:val="lowerLetter"/>
      <w:lvlText w:val="%1)"/>
      <w:lvlJc w:val="left"/>
      <w:pPr>
        <w:ind w:left="1636" w:hanging="360"/>
      </w:pPr>
      <w:rPr>
        <w:rFonts w:cs="Times New Roman"/>
      </w:rPr>
    </w:lvl>
    <w:lvl w:ilvl="1" w:tplc="04090019" w:tentative="1">
      <w:start w:val="1"/>
      <w:numFmt w:val="lowerLetter"/>
      <w:lvlText w:val="%2."/>
      <w:lvlJc w:val="left"/>
      <w:pPr>
        <w:ind w:left="2356" w:hanging="360"/>
      </w:pPr>
      <w:rPr>
        <w:rFonts w:cs="Times New Roman"/>
      </w:rPr>
    </w:lvl>
    <w:lvl w:ilvl="2" w:tplc="0409001B" w:tentative="1">
      <w:start w:val="1"/>
      <w:numFmt w:val="lowerRoman"/>
      <w:lvlText w:val="%3."/>
      <w:lvlJc w:val="right"/>
      <w:pPr>
        <w:ind w:left="3076" w:hanging="180"/>
      </w:pPr>
      <w:rPr>
        <w:rFonts w:cs="Times New Roman"/>
      </w:rPr>
    </w:lvl>
    <w:lvl w:ilvl="3" w:tplc="0409000F" w:tentative="1">
      <w:start w:val="1"/>
      <w:numFmt w:val="decimal"/>
      <w:lvlText w:val="%4."/>
      <w:lvlJc w:val="left"/>
      <w:pPr>
        <w:ind w:left="3796" w:hanging="360"/>
      </w:pPr>
      <w:rPr>
        <w:rFonts w:cs="Times New Roman"/>
      </w:rPr>
    </w:lvl>
    <w:lvl w:ilvl="4" w:tplc="04090019" w:tentative="1">
      <w:start w:val="1"/>
      <w:numFmt w:val="lowerLetter"/>
      <w:lvlText w:val="%5."/>
      <w:lvlJc w:val="left"/>
      <w:pPr>
        <w:ind w:left="4516" w:hanging="360"/>
      </w:pPr>
      <w:rPr>
        <w:rFonts w:cs="Times New Roman"/>
      </w:rPr>
    </w:lvl>
    <w:lvl w:ilvl="5" w:tplc="0409001B" w:tentative="1">
      <w:start w:val="1"/>
      <w:numFmt w:val="lowerRoman"/>
      <w:lvlText w:val="%6."/>
      <w:lvlJc w:val="right"/>
      <w:pPr>
        <w:ind w:left="5236" w:hanging="180"/>
      </w:pPr>
      <w:rPr>
        <w:rFonts w:cs="Times New Roman"/>
      </w:rPr>
    </w:lvl>
    <w:lvl w:ilvl="6" w:tplc="0409000F" w:tentative="1">
      <w:start w:val="1"/>
      <w:numFmt w:val="decimal"/>
      <w:lvlText w:val="%7."/>
      <w:lvlJc w:val="left"/>
      <w:pPr>
        <w:ind w:left="5956" w:hanging="360"/>
      </w:pPr>
      <w:rPr>
        <w:rFonts w:cs="Times New Roman"/>
      </w:rPr>
    </w:lvl>
    <w:lvl w:ilvl="7" w:tplc="04090019" w:tentative="1">
      <w:start w:val="1"/>
      <w:numFmt w:val="lowerLetter"/>
      <w:lvlText w:val="%8."/>
      <w:lvlJc w:val="left"/>
      <w:pPr>
        <w:ind w:left="6676" w:hanging="360"/>
      </w:pPr>
      <w:rPr>
        <w:rFonts w:cs="Times New Roman"/>
      </w:rPr>
    </w:lvl>
    <w:lvl w:ilvl="8" w:tplc="0409001B" w:tentative="1">
      <w:start w:val="1"/>
      <w:numFmt w:val="lowerRoman"/>
      <w:lvlText w:val="%9."/>
      <w:lvlJc w:val="right"/>
      <w:pPr>
        <w:ind w:left="7396" w:hanging="180"/>
      </w:pPr>
      <w:rPr>
        <w:rFonts w:cs="Times New Roman"/>
      </w:rPr>
    </w:lvl>
  </w:abstractNum>
  <w:abstractNum w:abstractNumId="6">
    <w:nsid w:val="77566BFC"/>
    <w:multiLevelType w:val="hybridMultilevel"/>
    <w:tmpl w:val="4EDE1166"/>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3"/>
  </w:num>
  <w:num w:numId="2">
    <w:abstractNumId w:val="1"/>
  </w:num>
  <w:num w:numId="3">
    <w:abstractNumId w:val="6"/>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5B7"/>
    <w:rsid w:val="00021485"/>
    <w:rsid w:val="0003606B"/>
    <w:rsid w:val="000800DA"/>
    <w:rsid w:val="000A31B1"/>
    <w:rsid w:val="000A6DFA"/>
    <w:rsid w:val="00127A1B"/>
    <w:rsid w:val="00195CAB"/>
    <w:rsid w:val="001C2625"/>
    <w:rsid w:val="00207C88"/>
    <w:rsid w:val="00214258"/>
    <w:rsid w:val="00221FAC"/>
    <w:rsid w:val="0026261F"/>
    <w:rsid w:val="00264BAD"/>
    <w:rsid w:val="002A4483"/>
    <w:rsid w:val="002A5880"/>
    <w:rsid w:val="002E3AB4"/>
    <w:rsid w:val="00325F70"/>
    <w:rsid w:val="00387F8A"/>
    <w:rsid w:val="003952B6"/>
    <w:rsid w:val="00403B53"/>
    <w:rsid w:val="00405A28"/>
    <w:rsid w:val="00434A0F"/>
    <w:rsid w:val="00450D8F"/>
    <w:rsid w:val="004C55A8"/>
    <w:rsid w:val="00500C0A"/>
    <w:rsid w:val="005728A7"/>
    <w:rsid w:val="00595C46"/>
    <w:rsid w:val="005F3137"/>
    <w:rsid w:val="006149D9"/>
    <w:rsid w:val="00634642"/>
    <w:rsid w:val="00641A33"/>
    <w:rsid w:val="00691032"/>
    <w:rsid w:val="006913DD"/>
    <w:rsid w:val="006B49D0"/>
    <w:rsid w:val="006E6B8A"/>
    <w:rsid w:val="006E7130"/>
    <w:rsid w:val="006F75B7"/>
    <w:rsid w:val="007242B0"/>
    <w:rsid w:val="007564E1"/>
    <w:rsid w:val="007C3D7C"/>
    <w:rsid w:val="007D4B00"/>
    <w:rsid w:val="00827215"/>
    <w:rsid w:val="00871895"/>
    <w:rsid w:val="008E2AF5"/>
    <w:rsid w:val="009227E0"/>
    <w:rsid w:val="009B06AA"/>
    <w:rsid w:val="00AA3618"/>
    <w:rsid w:val="00AB0341"/>
    <w:rsid w:val="00B16DB6"/>
    <w:rsid w:val="00B6403B"/>
    <w:rsid w:val="00B82829"/>
    <w:rsid w:val="00B953F9"/>
    <w:rsid w:val="00BB6F4C"/>
    <w:rsid w:val="00BD5007"/>
    <w:rsid w:val="00C27B2F"/>
    <w:rsid w:val="00C540C4"/>
    <w:rsid w:val="00CA4424"/>
    <w:rsid w:val="00CB4F3F"/>
    <w:rsid w:val="00D30C5C"/>
    <w:rsid w:val="00D4631E"/>
    <w:rsid w:val="00DA5F4B"/>
    <w:rsid w:val="00DC0C12"/>
    <w:rsid w:val="00EB3505"/>
    <w:rsid w:val="00EC751C"/>
    <w:rsid w:val="00ED3858"/>
    <w:rsid w:val="00F2445C"/>
    <w:rsid w:val="00F51B38"/>
    <w:rsid w:val="00F819B5"/>
    <w:rsid w:val="00F97EE4"/>
    <w:rsid w:val="00FA09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9"/>
    <w:qFormat/>
    <w:rsid w:val="00F819B5"/>
    <w:pPr>
      <w:keepNext/>
      <w:spacing w:before="360" w:after="360" w:line="240" w:lineRule="auto"/>
      <w:ind w:left="567" w:hanging="567"/>
      <w:outlineLvl w:val="1"/>
    </w:pPr>
    <w:rPr>
      <w:rFonts w:ascii="Calibri" w:eastAsia="Times New Roman" w:hAnsi="Calibri" w:cs="Times New Roman"/>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75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27215"/>
    <w:pPr>
      <w:ind w:left="720"/>
      <w:contextualSpacing/>
    </w:pPr>
    <w:rPr>
      <w:rFonts w:ascii="Calibri" w:eastAsia="Calibri" w:hAnsi="Calibri" w:cs="Arial"/>
    </w:rPr>
  </w:style>
  <w:style w:type="character" w:customStyle="1" w:styleId="Heading2Char">
    <w:name w:val="Heading 2 Char"/>
    <w:basedOn w:val="DefaultParagraphFont"/>
    <w:link w:val="Heading2"/>
    <w:uiPriority w:val="99"/>
    <w:rsid w:val="00F819B5"/>
    <w:rPr>
      <w:rFonts w:ascii="Calibri" w:eastAsia="Times New Roman" w:hAnsi="Calibri" w:cs="Times New Roman"/>
      <w:bCs/>
      <w:iCs/>
      <w:sz w:val="28"/>
      <w:szCs w:val="28"/>
    </w:rPr>
  </w:style>
  <w:style w:type="paragraph" w:styleId="BalloonText">
    <w:name w:val="Balloon Text"/>
    <w:basedOn w:val="Normal"/>
    <w:link w:val="BalloonTextChar"/>
    <w:uiPriority w:val="99"/>
    <w:semiHidden/>
    <w:unhideWhenUsed/>
    <w:rsid w:val="00F24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45C"/>
    <w:rPr>
      <w:rFonts w:ascii="Tahoma" w:hAnsi="Tahoma" w:cs="Tahoma"/>
      <w:sz w:val="16"/>
      <w:szCs w:val="16"/>
    </w:rPr>
  </w:style>
  <w:style w:type="character" w:styleId="CommentReference">
    <w:name w:val="annotation reference"/>
    <w:basedOn w:val="DefaultParagraphFont"/>
    <w:uiPriority w:val="99"/>
    <w:semiHidden/>
    <w:unhideWhenUsed/>
    <w:rsid w:val="007564E1"/>
    <w:rPr>
      <w:sz w:val="16"/>
      <w:szCs w:val="16"/>
    </w:rPr>
  </w:style>
  <w:style w:type="paragraph" w:styleId="CommentText">
    <w:name w:val="annotation text"/>
    <w:basedOn w:val="Normal"/>
    <w:link w:val="CommentTextChar"/>
    <w:uiPriority w:val="99"/>
    <w:semiHidden/>
    <w:unhideWhenUsed/>
    <w:rsid w:val="007564E1"/>
    <w:pPr>
      <w:spacing w:line="240" w:lineRule="auto"/>
    </w:pPr>
    <w:rPr>
      <w:sz w:val="20"/>
      <w:szCs w:val="20"/>
    </w:rPr>
  </w:style>
  <w:style w:type="character" w:customStyle="1" w:styleId="CommentTextChar">
    <w:name w:val="Comment Text Char"/>
    <w:basedOn w:val="DefaultParagraphFont"/>
    <w:link w:val="CommentText"/>
    <w:uiPriority w:val="99"/>
    <w:semiHidden/>
    <w:rsid w:val="007564E1"/>
    <w:rPr>
      <w:sz w:val="20"/>
      <w:szCs w:val="20"/>
    </w:rPr>
  </w:style>
  <w:style w:type="paragraph" w:styleId="CommentSubject">
    <w:name w:val="annotation subject"/>
    <w:basedOn w:val="CommentText"/>
    <w:next w:val="CommentText"/>
    <w:link w:val="CommentSubjectChar"/>
    <w:uiPriority w:val="99"/>
    <w:semiHidden/>
    <w:unhideWhenUsed/>
    <w:rsid w:val="007564E1"/>
    <w:rPr>
      <w:b/>
      <w:bCs/>
    </w:rPr>
  </w:style>
  <w:style w:type="character" w:customStyle="1" w:styleId="CommentSubjectChar">
    <w:name w:val="Comment Subject Char"/>
    <w:basedOn w:val="CommentTextChar"/>
    <w:link w:val="CommentSubject"/>
    <w:uiPriority w:val="99"/>
    <w:semiHidden/>
    <w:rsid w:val="007564E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9"/>
    <w:qFormat/>
    <w:rsid w:val="00F819B5"/>
    <w:pPr>
      <w:keepNext/>
      <w:spacing w:before="360" w:after="360" w:line="240" w:lineRule="auto"/>
      <w:ind w:left="567" w:hanging="567"/>
      <w:outlineLvl w:val="1"/>
    </w:pPr>
    <w:rPr>
      <w:rFonts w:ascii="Calibri" w:eastAsia="Times New Roman" w:hAnsi="Calibri" w:cs="Times New Roman"/>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75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27215"/>
    <w:pPr>
      <w:ind w:left="720"/>
      <w:contextualSpacing/>
    </w:pPr>
    <w:rPr>
      <w:rFonts w:ascii="Calibri" w:eastAsia="Calibri" w:hAnsi="Calibri" w:cs="Arial"/>
    </w:rPr>
  </w:style>
  <w:style w:type="character" w:customStyle="1" w:styleId="Heading2Char">
    <w:name w:val="Heading 2 Char"/>
    <w:basedOn w:val="DefaultParagraphFont"/>
    <w:link w:val="Heading2"/>
    <w:uiPriority w:val="99"/>
    <w:rsid w:val="00F819B5"/>
    <w:rPr>
      <w:rFonts w:ascii="Calibri" w:eastAsia="Times New Roman" w:hAnsi="Calibri" w:cs="Times New Roman"/>
      <w:bCs/>
      <w:iCs/>
      <w:sz w:val="28"/>
      <w:szCs w:val="28"/>
    </w:rPr>
  </w:style>
  <w:style w:type="paragraph" w:styleId="BalloonText">
    <w:name w:val="Balloon Text"/>
    <w:basedOn w:val="Normal"/>
    <w:link w:val="BalloonTextChar"/>
    <w:uiPriority w:val="99"/>
    <w:semiHidden/>
    <w:unhideWhenUsed/>
    <w:rsid w:val="00F24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45C"/>
    <w:rPr>
      <w:rFonts w:ascii="Tahoma" w:hAnsi="Tahoma" w:cs="Tahoma"/>
      <w:sz w:val="16"/>
      <w:szCs w:val="16"/>
    </w:rPr>
  </w:style>
  <w:style w:type="character" w:styleId="CommentReference">
    <w:name w:val="annotation reference"/>
    <w:basedOn w:val="DefaultParagraphFont"/>
    <w:uiPriority w:val="99"/>
    <w:semiHidden/>
    <w:unhideWhenUsed/>
    <w:rsid w:val="007564E1"/>
    <w:rPr>
      <w:sz w:val="16"/>
      <w:szCs w:val="16"/>
    </w:rPr>
  </w:style>
  <w:style w:type="paragraph" w:styleId="CommentText">
    <w:name w:val="annotation text"/>
    <w:basedOn w:val="Normal"/>
    <w:link w:val="CommentTextChar"/>
    <w:uiPriority w:val="99"/>
    <w:semiHidden/>
    <w:unhideWhenUsed/>
    <w:rsid w:val="007564E1"/>
    <w:pPr>
      <w:spacing w:line="240" w:lineRule="auto"/>
    </w:pPr>
    <w:rPr>
      <w:sz w:val="20"/>
      <w:szCs w:val="20"/>
    </w:rPr>
  </w:style>
  <w:style w:type="character" w:customStyle="1" w:styleId="CommentTextChar">
    <w:name w:val="Comment Text Char"/>
    <w:basedOn w:val="DefaultParagraphFont"/>
    <w:link w:val="CommentText"/>
    <w:uiPriority w:val="99"/>
    <w:semiHidden/>
    <w:rsid w:val="007564E1"/>
    <w:rPr>
      <w:sz w:val="20"/>
      <w:szCs w:val="20"/>
    </w:rPr>
  </w:style>
  <w:style w:type="paragraph" w:styleId="CommentSubject">
    <w:name w:val="annotation subject"/>
    <w:basedOn w:val="CommentText"/>
    <w:next w:val="CommentText"/>
    <w:link w:val="CommentSubjectChar"/>
    <w:uiPriority w:val="99"/>
    <w:semiHidden/>
    <w:unhideWhenUsed/>
    <w:rsid w:val="007564E1"/>
    <w:rPr>
      <w:b/>
      <w:bCs/>
    </w:rPr>
  </w:style>
  <w:style w:type="character" w:customStyle="1" w:styleId="CommentSubjectChar">
    <w:name w:val="Comment Subject Char"/>
    <w:basedOn w:val="CommentTextChar"/>
    <w:link w:val="CommentSubject"/>
    <w:uiPriority w:val="99"/>
    <w:semiHidden/>
    <w:rsid w:val="007564E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CDBBB-3D91-4BDF-A656-067203427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2387</Words>
  <Characters>13608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ICARDA</Company>
  <LinksUpToDate>false</LinksUpToDate>
  <CharactersWithSpaces>15964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AAw-Hassan</dc:creator>
  <cp:lastModifiedBy>EBailey</cp:lastModifiedBy>
  <cp:revision>2</cp:revision>
  <cp:lastPrinted>2014-11-09T08:51:00Z</cp:lastPrinted>
  <dcterms:created xsi:type="dcterms:W3CDTF">2014-12-18T19:07:00Z</dcterms:created>
  <dcterms:modified xsi:type="dcterms:W3CDTF">2014-12-18T19:07:00Z</dcterms:modified>
</cp:coreProperties>
</file>